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w:t>
      </w:r>
      <w:r>
        <w:rPr>
          <w:rFonts w:ascii="Arial" w:cs="Arial" w:eastAsia="Arial" w:hAnsi="Arial"/>
          <w:sz w:val="32"/>
          <w:szCs w:val="32"/>
          <w:b w:val="1"/>
          <w:bCs w:val="1"/>
          <w:color w:val="auto"/>
        </w:rPr>
        <w:t>-</w:t>
      </w:r>
      <w:r>
        <w:rPr>
          <w:rFonts w:ascii="Arial" w:cs="Arial" w:eastAsia="Arial" w:hAnsi="Arial"/>
          <w:sz w:val="25"/>
          <w:szCs w:val="25"/>
          <w:b w:val="1"/>
          <w:bCs w:val="1"/>
          <w:color w:val="auto"/>
        </w:rPr>
        <w:t>Q</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00" w:right="2440" w:hanging="574"/>
        <w:spacing w:after="0" w:line="404" w:lineRule="auto"/>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600" w:hanging="574"/>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600"/>
        <w:spacing w:after="0"/>
        <w:tabs>
          <w:tab w:leader="none" w:pos="36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001-41633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Burke &amp; Herbert Financial Services Corp.</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Virginia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40" w:type="dxa"/>
            <w:vAlign w:val="bottom"/>
            <w:gridSpan w:val="2"/>
          </w:tcPr>
          <w:p>
            <w:pPr>
              <w:jc w:val="right"/>
              <w:ind w:right="1808"/>
              <w:spacing w:after="0"/>
              <w:rPr>
                <w:sz w:val="20"/>
                <w:szCs w:val="20"/>
                <w:color w:val="auto"/>
              </w:rPr>
            </w:pPr>
            <w:r>
              <w:rPr>
                <w:rFonts w:ascii="Arial" w:cs="Arial" w:eastAsia="Arial" w:hAnsi="Arial"/>
                <w:sz w:val="14"/>
                <w:szCs w:val="14"/>
                <w:b w:val="1"/>
                <w:bCs w:val="1"/>
                <w:color w:val="auto"/>
              </w:rPr>
              <w:t>92-0289417</w:t>
            </w:r>
          </w:p>
        </w:tc>
      </w:tr>
      <w:tr>
        <w:trPr>
          <w:trHeight w:val="189"/>
        </w:trPr>
        <w:tc>
          <w:tcPr>
            <w:tcW w:w="4100" w:type="dxa"/>
            <w:vAlign w:val="bottom"/>
          </w:tcPr>
          <w:p>
            <w:pPr>
              <w:jc w:val="center"/>
              <w:ind w:left="24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Pr>
          <w:p>
            <w:pPr>
              <w:jc w:val="center"/>
              <w:ind w:right="628"/>
              <w:spacing w:after="0"/>
              <w:rPr>
                <w:sz w:val="20"/>
                <w:szCs w:val="20"/>
                <w:color w:val="auto"/>
              </w:rPr>
            </w:pPr>
            <w:r>
              <w:rPr>
                <w:rFonts w:ascii="Arial" w:cs="Arial" w:eastAsia="Arial" w:hAnsi="Arial"/>
                <w:sz w:val="14"/>
                <w:szCs w:val="14"/>
                <w:color w:val="auto"/>
                <w:w w:val="96"/>
              </w:rPr>
              <w:t>(I.R.S. Employer Identification No.)</w:t>
            </w:r>
          </w:p>
        </w:tc>
      </w:tr>
      <w:tr>
        <w:trPr>
          <w:trHeight w:val="297"/>
        </w:trPr>
        <w:tc>
          <w:tcPr>
            <w:tcW w:w="41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100 S. Fairfax Street, Alexandria, Virginia</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40" w:type="dxa"/>
            <w:vAlign w:val="bottom"/>
            <w:gridSpan w:val="2"/>
          </w:tcPr>
          <w:p>
            <w:pPr>
              <w:jc w:val="right"/>
              <w:ind w:right="1968"/>
              <w:spacing w:after="0"/>
              <w:rPr>
                <w:sz w:val="20"/>
                <w:szCs w:val="20"/>
                <w:color w:val="auto"/>
              </w:rPr>
            </w:pPr>
            <w:r>
              <w:rPr>
                <w:rFonts w:ascii="Arial" w:cs="Arial" w:eastAsia="Arial" w:hAnsi="Arial"/>
                <w:sz w:val="14"/>
                <w:szCs w:val="14"/>
                <w:b w:val="1"/>
                <w:bCs w:val="1"/>
                <w:color w:val="auto"/>
              </w:rPr>
              <w:t>22314</w:t>
            </w:r>
          </w:p>
        </w:tc>
      </w:tr>
      <w:tr>
        <w:trPr>
          <w:trHeight w:val="189"/>
        </w:trPr>
        <w:tc>
          <w:tcPr>
            <w:tcW w:w="4100" w:type="dxa"/>
            <w:vAlign w:val="bottom"/>
          </w:tcPr>
          <w:p>
            <w:pPr>
              <w:jc w:val="center"/>
              <w:ind w:left="248"/>
              <w:spacing w:after="0"/>
              <w:rPr>
                <w:sz w:val="20"/>
                <w:szCs w:val="20"/>
                <w:color w:val="auto"/>
              </w:rPr>
            </w:pPr>
            <w:r>
              <w:rPr>
                <w:rFonts w:ascii="Arial" w:cs="Arial" w:eastAsia="Arial" w:hAnsi="Arial"/>
                <w:sz w:val="14"/>
                <w:szCs w:val="14"/>
                <w:color w:val="auto"/>
                <w:w w:val="95"/>
              </w:rPr>
              <w:t>(Address of principal executive offices)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Pr>
          <w:p>
            <w:pPr>
              <w:jc w:val="center"/>
              <w:ind w:right="628"/>
              <w:spacing w:after="0"/>
              <w:rPr>
                <w:sz w:val="20"/>
                <w:szCs w:val="20"/>
                <w:color w:val="auto"/>
              </w:rPr>
            </w:pPr>
            <w:r>
              <w:rPr>
                <w:rFonts w:ascii="Arial" w:cs="Arial" w:eastAsia="Arial" w:hAnsi="Arial"/>
                <w:sz w:val="14"/>
                <w:szCs w:val="14"/>
                <w:color w:val="auto"/>
                <w:w w:val="96"/>
              </w:rPr>
              <w:t>(Zip Code)</w:t>
            </w:r>
          </w:p>
        </w:tc>
      </w:tr>
      <w:tr>
        <w:trPr>
          <w:trHeight w:val="297"/>
        </w:trPr>
        <w:tc>
          <w:tcPr>
            <w:tcW w:w="4100" w:type="dxa"/>
            <w:vAlign w:val="bottom"/>
          </w:tcPr>
          <w:p>
            <w:pPr>
              <w:spacing w:after="0"/>
              <w:rPr>
                <w:sz w:val="24"/>
                <w:szCs w:val="24"/>
                <w:color w:val="auto"/>
              </w:rPr>
            </w:pPr>
          </w:p>
        </w:tc>
        <w:tc>
          <w:tcPr>
            <w:tcW w:w="3300" w:type="dxa"/>
            <w:vAlign w:val="bottom"/>
            <w:gridSpan w:val="3"/>
          </w:tcPr>
          <w:p>
            <w:pPr>
              <w:jc w:val="right"/>
              <w:ind w:right="1308"/>
              <w:spacing w:after="0"/>
              <w:rPr>
                <w:sz w:val="20"/>
                <w:szCs w:val="20"/>
                <w:color w:val="auto"/>
              </w:rPr>
            </w:pPr>
            <w:r>
              <w:rPr>
                <w:rFonts w:ascii="Arial" w:cs="Arial" w:eastAsia="Arial" w:hAnsi="Arial"/>
                <w:sz w:val="14"/>
                <w:szCs w:val="14"/>
                <w:b w:val="1"/>
                <w:bCs w:val="1"/>
                <w:color w:val="auto"/>
              </w:rPr>
              <w:t>703-666-3555</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9"/>
        </w:trPr>
        <w:tc>
          <w:tcPr>
            <w:tcW w:w="4100" w:type="dxa"/>
            <w:vAlign w:val="bottom"/>
          </w:tcPr>
          <w:p>
            <w:pPr>
              <w:spacing w:after="0"/>
              <w:rPr>
                <w:sz w:val="16"/>
                <w:szCs w:val="16"/>
                <w:color w:val="auto"/>
              </w:rPr>
            </w:pPr>
          </w:p>
        </w:tc>
        <w:tc>
          <w:tcPr>
            <w:tcW w:w="3300" w:type="dxa"/>
            <w:vAlign w:val="bottom"/>
            <w:gridSpan w:val="3"/>
          </w:tcPr>
          <w:p>
            <w:pPr>
              <w:jc w:val="center"/>
              <w:ind w:right="188"/>
              <w:spacing w:after="0"/>
              <w:rPr>
                <w:sz w:val="20"/>
                <w:szCs w:val="20"/>
                <w:color w:val="auto"/>
              </w:rPr>
            </w:pPr>
            <w:r>
              <w:rPr>
                <w:rFonts w:ascii="Arial" w:cs="Arial" w:eastAsia="Arial" w:hAnsi="Arial"/>
                <w:sz w:val="14"/>
                <w:szCs w:val="14"/>
                <w:color w:val="auto"/>
                <w:w w:val="92"/>
              </w:rPr>
              <w:t>Registrant’s telephone number, including area code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65"/>
        </w:trPr>
        <w:tc>
          <w:tcPr>
            <w:tcW w:w="4100" w:type="dxa"/>
            <w:vAlign w:val="bottom"/>
          </w:tcPr>
          <w:p>
            <w:pPr>
              <w:jc w:val="center"/>
              <w:ind w:left="1388"/>
              <w:spacing w:after="0"/>
              <w:rPr>
                <w:sz w:val="20"/>
                <w:szCs w:val="20"/>
                <w:color w:val="auto"/>
              </w:rPr>
            </w:pPr>
            <w:r>
              <w:rPr>
                <w:rFonts w:ascii="Arial" w:cs="Arial" w:eastAsia="Arial" w:hAnsi="Arial"/>
                <w:sz w:val="14"/>
                <w:szCs w:val="14"/>
                <w:b w:val="1"/>
                <w:bCs w:val="1"/>
                <w:color w:val="auto"/>
                <w:w w:val="93"/>
              </w:rPr>
              <w:t>Title of Each Class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5"/>
        </w:trPr>
        <w:tc>
          <w:tcPr>
            <w:tcW w:w="4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0"/>
        </w:trPr>
        <w:tc>
          <w:tcPr>
            <w:tcW w:w="4100" w:type="dxa"/>
            <w:vAlign w:val="bottom"/>
          </w:tcPr>
          <w:p>
            <w:pPr>
              <w:jc w:val="center"/>
              <w:ind w:left="1388"/>
              <w:spacing w:after="0"/>
              <w:rPr>
                <w:sz w:val="20"/>
                <w:szCs w:val="20"/>
                <w:color w:val="auto"/>
              </w:rPr>
            </w:pPr>
            <w:r>
              <w:rPr>
                <w:rFonts w:ascii="Arial" w:cs="Arial" w:eastAsia="Arial" w:hAnsi="Arial"/>
                <w:sz w:val="14"/>
                <w:szCs w:val="14"/>
                <w:b w:val="1"/>
                <w:bCs w:val="1"/>
                <w:color w:val="auto"/>
                <w:w w:val="92"/>
              </w:rPr>
              <w:t>Common Stock, par value $0.50 per share</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BHRB</w:t>
            </w:r>
          </w:p>
        </w:tc>
        <w:tc>
          <w:tcPr>
            <w:tcW w:w="100" w:type="dxa"/>
            <w:vAlign w:val="bottom"/>
          </w:tcPr>
          <w:p>
            <w:pPr>
              <w:spacing w:after="0"/>
              <w:rPr>
                <w:sz w:val="15"/>
                <w:szCs w:val="15"/>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241"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480"/>
              <w:spacing w:after="0"/>
              <w:rPr>
                <w:sz w:val="20"/>
                <w:szCs w:val="20"/>
                <w:color w:val="auto"/>
              </w:rPr>
            </w:pPr>
            <w:r>
              <w:rPr>
                <w:rFonts w:ascii="Arial" w:cs="Arial" w:eastAsia="Arial" w:hAnsi="Arial"/>
                <w:sz w:val="14"/>
                <w:szCs w:val="14"/>
                <w:color w:val="auto"/>
              </w:rPr>
              <w:t>o</w:t>
            </w:r>
          </w:p>
        </w:tc>
        <w:tc>
          <w:tcPr>
            <w:tcW w:w="4940" w:type="dxa"/>
            <w:vAlign w:val="bottom"/>
          </w:tcPr>
          <w:p>
            <w:pPr>
              <w:ind w:left="282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rPr>
                <w:sz w:val="20"/>
                <w:szCs w:val="20"/>
                <w:color w:val="auto"/>
              </w:rPr>
            </w:pPr>
            <w:r>
              <w:rPr>
                <w:rFonts w:ascii="Arial" w:cs="Arial" w:eastAsia="Arial" w:hAnsi="Arial"/>
                <w:sz w:val="14"/>
                <w:szCs w:val="14"/>
                <w:color w:val="auto"/>
              </w:rPr>
              <w:t>o</w:t>
            </w:r>
          </w:p>
        </w:tc>
      </w:tr>
      <w:tr>
        <w:trPr>
          <w:trHeight w:val="229"/>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rPr>
                <w:sz w:val="20"/>
                <w:szCs w:val="20"/>
                <w:color w:val="auto"/>
              </w:rPr>
            </w:pPr>
            <w:r>
              <w:rPr>
                <w:rFonts w:ascii="Arial" w:cs="Arial" w:eastAsia="Arial" w:hAnsi="Arial"/>
                <w:sz w:val="14"/>
                <w:szCs w:val="14"/>
                <w:color w:val="auto"/>
              </w:rPr>
              <w:t>o</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53"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As of August 10, 2023, there were 7,428,710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70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26"/>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FF"/>
            </w:tcBorders>
            <w:gridSpan w:val="9"/>
            <w:shd w:val="clear" w:color="auto" w:fill="CCEEFF"/>
          </w:tcPr>
          <w:p>
            <w:pPr>
              <w:spacing w:after="0" w:line="182" w:lineRule="exact"/>
              <w:rPr>
                <w:sz w:val="20"/>
                <w:szCs w:val="20"/>
                <w:color w:val="auto"/>
              </w:rPr>
            </w:pPr>
            <w:r>
              <w:rPr>
                <w:rFonts w:ascii="Arial" w:cs="Arial" w:eastAsia="Arial" w:hAnsi="Arial"/>
                <w:sz w:val="18"/>
                <w:szCs w:val="18"/>
                <w:b w:val="1"/>
                <w:bCs w:val="1"/>
                <w:color w:val="0000FF"/>
                <w:w w:val="94"/>
              </w:rPr>
              <w:t>Part I - Financial Information</w:t>
            </w:r>
          </w:p>
        </w:tc>
        <w:tc>
          <w:tcPr>
            <w:tcW w:w="8200" w:type="dxa"/>
            <w:vAlign w:val="bottom"/>
            <w:tcBorders>
              <w:bottom w:val="single" w:sz="8" w:color="CCEEFF"/>
            </w:tcBorders>
            <w:gridSpan w:val="6"/>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center"/>
              <w:spacing w:after="0" w:line="182" w:lineRule="exact"/>
              <w:rPr>
                <w:sz w:val="20"/>
                <w:szCs w:val="20"/>
                <w:color w:val="auto"/>
              </w:rPr>
            </w:pPr>
            <w:r>
              <w:rPr>
                <w:rFonts w:ascii="Arial" w:cs="Arial" w:eastAsia="Arial" w:hAnsi="Arial"/>
                <w:sz w:val="18"/>
                <w:szCs w:val="18"/>
                <w:color w:val="0000FF"/>
                <w:w w:val="99"/>
              </w:rPr>
              <w:t>1</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1. Financial Statements</w:t>
            </w:r>
          </w:p>
        </w:tc>
        <w:tc>
          <w:tcPr>
            <w:tcW w:w="400" w:type="dxa"/>
            <w:vAlign w:val="bottom"/>
            <w:gridSpan w:val="3"/>
          </w:tcPr>
          <w:p>
            <w:pPr>
              <w:jc w:val="center"/>
              <w:ind w:left="212"/>
              <w:spacing w:after="0" w:line="189" w:lineRule="exact"/>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0" w:type="dxa"/>
            <w:vAlign w:val="bottom"/>
            <w:gridSpan w:val="13"/>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89"/>
              </w:rPr>
              <w:t>41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0" w:type="dxa"/>
            <w:vAlign w:val="bottom"/>
            <w:gridSpan w:val="13"/>
          </w:tcPr>
          <w:p>
            <w:pPr>
              <w:ind w:left="20"/>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4"/>
          </w:tcPr>
          <w:p>
            <w:pPr>
              <w:jc w:val="center"/>
              <w:ind w:right="260"/>
              <w:spacing w:after="0" w:line="189" w:lineRule="exact"/>
              <w:rPr>
                <w:sz w:val="20"/>
                <w:szCs w:val="20"/>
                <w:color w:val="auto"/>
              </w:rPr>
            </w:pPr>
            <w:r>
              <w:rPr>
                <w:rFonts w:ascii="Arial" w:cs="Arial" w:eastAsia="Arial" w:hAnsi="Arial"/>
                <w:sz w:val="18"/>
                <w:szCs w:val="18"/>
                <w:color w:val="0000FF"/>
                <w:w w:val="89"/>
              </w:rPr>
              <w:t>65</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4. Controls and Procedures</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66</w:t>
            </w: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67</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1. Legal Proceedings</w:t>
            </w:r>
          </w:p>
        </w:tc>
        <w:tc>
          <w:tcPr>
            <w:tcW w:w="700" w:type="dxa"/>
            <w:vAlign w:val="bottom"/>
            <w:gridSpan w:val="5"/>
          </w:tcPr>
          <w:p>
            <w:pPr>
              <w:jc w:val="center"/>
              <w:spacing w:after="0" w:line="189" w:lineRule="exact"/>
              <w:rPr>
                <w:sz w:val="20"/>
                <w:szCs w:val="20"/>
                <w:color w:val="auto"/>
              </w:rPr>
            </w:pPr>
            <w:r>
              <w:rPr>
                <w:rFonts w:ascii="Arial" w:cs="Arial" w:eastAsia="Arial" w:hAnsi="Arial"/>
                <w:sz w:val="18"/>
                <w:szCs w:val="18"/>
                <w:color w:val="0000FF"/>
                <w:w w:val="89"/>
              </w:rPr>
              <w:t>67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1A. Risk Factors</w:t>
            </w:r>
          </w:p>
        </w:tc>
        <w:tc>
          <w:tcPr>
            <w:tcW w:w="8600" w:type="dxa"/>
            <w:vAlign w:val="bottom"/>
            <w:gridSpan w:val="10"/>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89"/>
              </w:rPr>
              <w:t>67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700" w:type="dxa"/>
            <w:vAlign w:val="bottom"/>
            <w:gridSpan w:val="5"/>
          </w:tcPr>
          <w:p>
            <w:pPr>
              <w:jc w:val="center"/>
              <w:spacing w:after="0" w:line="189" w:lineRule="exact"/>
              <w:rPr>
                <w:sz w:val="20"/>
                <w:szCs w:val="20"/>
                <w:color w:val="auto"/>
              </w:rPr>
            </w:pPr>
            <w:r>
              <w:rPr>
                <w:rFonts w:ascii="Arial" w:cs="Arial" w:eastAsia="Arial" w:hAnsi="Arial"/>
                <w:sz w:val="18"/>
                <w:szCs w:val="18"/>
                <w:color w:val="0000FF"/>
                <w:w w:val="89"/>
              </w:rPr>
              <w:t>67</w:t>
            </w: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20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3.</w:t>
            </w:r>
          </w:p>
        </w:tc>
        <w:tc>
          <w:tcPr>
            <w:tcW w:w="9660" w:type="dxa"/>
            <w:vAlign w:val="bottom"/>
            <w:gridSpan w:val="13"/>
            <w:shd w:val="clear" w:color="auto" w:fill="CCEEFF"/>
          </w:tcPr>
          <w:p>
            <w:pPr>
              <w:ind w:left="20"/>
              <w:spacing w:after="0" w:line="189" w:lineRule="exact"/>
              <w:rPr>
                <w:sz w:val="20"/>
                <w:szCs w:val="20"/>
                <w:color w:val="auto"/>
              </w:rPr>
            </w:pPr>
            <w:r>
              <w:rPr>
                <w:rFonts w:ascii="Arial" w:cs="Arial" w:eastAsia="Arial" w:hAnsi="Arial"/>
                <w:sz w:val="18"/>
                <w:szCs w:val="18"/>
                <w:color w:val="0000FF"/>
              </w:rPr>
              <w:t>Defaults Upon Senior Securities</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Arial" w:cs="Arial" w:eastAsia="Arial" w:hAnsi="Arial"/>
                <w:sz w:val="18"/>
                <w:szCs w:val="18"/>
                <w:color w:val="0000FF"/>
                <w:w w:val="90"/>
              </w:rPr>
              <w:t>Item 4.</w:t>
            </w:r>
          </w:p>
        </w:tc>
        <w:tc>
          <w:tcPr>
            <w:tcW w:w="2340" w:type="dxa"/>
            <w:vAlign w:val="bottom"/>
            <w:gridSpan w:val="10"/>
          </w:tcPr>
          <w:p>
            <w:pPr>
              <w:ind w:left="20"/>
              <w:spacing w:after="0" w:line="189" w:lineRule="exact"/>
              <w:rPr>
                <w:sz w:val="20"/>
                <w:szCs w:val="20"/>
                <w:color w:val="auto"/>
              </w:rPr>
            </w:pPr>
            <w:r>
              <w:rPr>
                <w:rFonts w:ascii="Arial" w:cs="Arial" w:eastAsia="Arial" w:hAnsi="Arial"/>
                <w:sz w:val="18"/>
                <w:szCs w:val="18"/>
                <w:color w:val="0000FF"/>
              </w:rPr>
              <w:t>Mine Safety Disclosures</w:t>
            </w:r>
          </w:p>
        </w:tc>
        <w:tc>
          <w:tcPr>
            <w:tcW w:w="732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4"/>
          </w:tcPr>
          <w:p>
            <w:pPr>
              <w:jc w:val="center"/>
              <w:ind w:right="260"/>
              <w:spacing w:after="0" w:line="189" w:lineRule="exact"/>
              <w:rPr>
                <w:sz w:val="20"/>
                <w:szCs w:val="20"/>
                <w:color w:val="auto"/>
              </w:rPr>
            </w:pPr>
            <w:r>
              <w:rPr>
                <w:rFonts w:ascii="Arial" w:cs="Arial" w:eastAsia="Arial" w:hAnsi="Arial"/>
                <w:sz w:val="18"/>
                <w:szCs w:val="18"/>
                <w:color w:val="0000FF"/>
                <w:w w:val="89"/>
              </w:rPr>
              <w:t>67</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5.</w:t>
            </w:r>
          </w:p>
        </w:tc>
        <w:tc>
          <w:tcPr>
            <w:tcW w:w="134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0000FF"/>
                <w:w w:val="92"/>
              </w:rPr>
              <w:t>Other Information</w:t>
            </w:r>
          </w:p>
        </w:tc>
        <w:tc>
          <w:tcPr>
            <w:tcW w:w="8320" w:type="dxa"/>
            <w:vAlign w:val="bottom"/>
            <w:gridSpan w:val="8"/>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89"/>
              </w:rPr>
              <w:t>67</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Arial" w:cs="Arial" w:eastAsia="Arial" w:hAnsi="Arial"/>
                <w:sz w:val="18"/>
                <w:szCs w:val="18"/>
                <w:color w:val="0000FF"/>
                <w:w w:val="90"/>
              </w:rPr>
              <w:t>Item 6.</w:t>
            </w:r>
          </w:p>
        </w:tc>
        <w:tc>
          <w:tcPr>
            <w:tcW w:w="1340" w:type="dxa"/>
            <w:vAlign w:val="bottom"/>
            <w:gridSpan w:val="5"/>
          </w:tcPr>
          <w:p>
            <w:pPr>
              <w:ind w:left="20"/>
              <w:spacing w:after="0" w:line="189" w:lineRule="exact"/>
              <w:rPr>
                <w:sz w:val="20"/>
                <w:szCs w:val="20"/>
                <w:color w:val="auto"/>
              </w:rPr>
            </w:pPr>
            <w:r>
              <w:rPr>
                <w:rFonts w:ascii="Arial" w:cs="Arial" w:eastAsia="Arial" w:hAnsi="Arial"/>
                <w:sz w:val="18"/>
                <w:szCs w:val="18"/>
                <w:color w:val="0000FF"/>
              </w:rPr>
              <w:t>Exhibits</w:t>
            </w:r>
          </w:p>
        </w:tc>
        <w:tc>
          <w:tcPr>
            <w:tcW w:w="8320" w:type="dxa"/>
            <w:vAlign w:val="bottom"/>
            <w:gridSpan w:val="8"/>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4"/>
          </w:tcPr>
          <w:p>
            <w:pPr>
              <w:jc w:val="center"/>
              <w:ind w:right="260"/>
              <w:spacing w:after="0" w:line="189" w:lineRule="exact"/>
              <w:rPr>
                <w:sz w:val="20"/>
                <w:szCs w:val="20"/>
                <w:color w:val="auto"/>
              </w:rPr>
            </w:pPr>
            <w:r>
              <w:rPr>
                <w:rFonts w:ascii="Arial" w:cs="Arial" w:eastAsia="Arial" w:hAnsi="Arial"/>
                <w:sz w:val="18"/>
                <w:szCs w:val="18"/>
                <w:color w:val="0000FF"/>
                <w:w w:val="89"/>
              </w:rPr>
              <w:t>68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Signatures</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Burke &amp; Herbert Financial Services Corp.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FF"/>
            </w:tcBorders>
            <w:gridSpan w:val="2"/>
            <w:shd w:val="clear" w:color="auto" w:fill="CCEEFF"/>
          </w:tcPr>
          <w:p>
            <w:pPr>
              <w:spacing w:after="0" w:line="182" w:lineRule="exact"/>
              <w:rPr>
                <w:sz w:val="20"/>
                <w:szCs w:val="20"/>
                <w:color w:val="auto"/>
              </w:rPr>
            </w:pPr>
            <w:r>
              <w:rPr>
                <w:rFonts w:ascii="Arial" w:cs="Arial" w:eastAsia="Arial" w:hAnsi="Arial"/>
                <w:sz w:val="18"/>
                <w:szCs w:val="18"/>
                <w:color w:val="0000FF"/>
                <w:w w:val="88"/>
              </w:rPr>
              <w:t>Consolidated Balance Sheets as of June 30, 2023 (Unaudited), and December 31, 2022</w:t>
            </w:r>
          </w:p>
        </w:tc>
        <w:tc>
          <w:tcPr>
            <w:tcW w:w="414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center"/>
              <w:spacing w:after="0" w:line="182" w:lineRule="exact"/>
              <w:rPr>
                <w:sz w:val="20"/>
                <w:szCs w:val="20"/>
                <w:color w:val="auto"/>
              </w:rPr>
            </w:pPr>
            <w:r>
              <w:rPr>
                <w:rFonts w:ascii="Arial" w:cs="Arial" w:eastAsia="Arial" w:hAnsi="Arial"/>
                <w:sz w:val="18"/>
                <w:szCs w:val="18"/>
                <w:color w:val="0000FF"/>
                <w:w w:val="99"/>
              </w:rPr>
              <w:t>2</w:t>
            </w:r>
          </w:p>
        </w:tc>
        <w:tc>
          <w:tcPr>
            <w:tcW w:w="36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0400" w:type="dxa"/>
            <w:vAlign w:val="bottom"/>
            <w:gridSpan w:val="7"/>
          </w:tcPr>
          <w:p>
            <w:pPr>
              <w:spacing w:after="0" w:line="189" w:lineRule="exact"/>
              <w:rPr>
                <w:sz w:val="20"/>
                <w:szCs w:val="20"/>
                <w:color w:val="auto"/>
              </w:rPr>
            </w:pPr>
            <w:r>
              <w:rPr>
                <w:rFonts w:ascii="Arial" w:cs="Arial" w:eastAsia="Arial" w:hAnsi="Arial"/>
                <w:sz w:val="18"/>
                <w:szCs w:val="18"/>
                <w:color w:val="0000FF"/>
              </w:rPr>
              <w:t>Consolidated Statements of Income for the Three and Six Months Ended June 30, 2023, and June 30, 2022 (Unaudited)</w:t>
            </w:r>
          </w:p>
        </w:tc>
        <w:tc>
          <w:tcPr>
            <w:tcW w:w="460" w:type="dxa"/>
            <w:vAlign w:val="bottom"/>
            <w:gridSpan w:val="2"/>
          </w:tcPr>
          <w:p>
            <w:pPr>
              <w:jc w:val="center"/>
              <w:ind w:left="275"/>
              <w:spacing w:after="0" w:line="189" w:lineRule="exact"/>
              <w:rPr>
                <w:sz w:val="20"/>
                <w:szCs w:val="20"/>
                <w:color w:val="auto"/>
              </w:rPr>
            </w:pPr>
            <w:r>
              <w:rPr>
                <w:rFonts w:ascii="Arial" w:cs="Arial" w:eastAsia="Arial" w:hAnsi="Arial"/>
                <w:sz w:val="18"/>
                <w:szCs w:val="18"/>
                <w:color w:val="0000FF"/>
                <w:w w:val="99"/>
              </w:rPr>
              <w:t>3</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040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90"/>
              </w:rPr>
              <w:t>Consolidated Statements of Comprehensive Income (Loss) for the Three and Six Months Ended June 30, 2023, and June 30, 2022 (Unaudited)</w:t>
            </w:r>
          </w:p>
        </w:tc>
        <w:tc>
          <w:tcPr>
            <w:tcW w:w="460" w:type="dxa"/>
            <w:vAlign w:val="bottom"/>
            <w:gridSpan w:val="2"/>
            <w:shd w:val="clear" w:color="auto" w:fill="CCEEFF"/>
          </w:tcPr>
          <w:p>
            <w:pPr>
              <w:jc w:val="center"/>
              <w:ind w:left="275"/>
              <w:spacing w:after="0" w:line="189" w:lineRule="exact"/>
              <w:rPr>
                <w:sz w:val="20"/>
                <w:szCs w:val="20"/>
                <w:color w:val="auto"/>
              </w:rPr>
            </w:pPr>
            <w:r>
              <w:rPr>
                <w:rFonts w:ascii="Arial" w:cs="Arial" w:eastAsia="Arial" w:hAnsi="Arial"/>
                <w:sz w:val="18"/>
                <w:szCs w:val="18"/>
                <w:color w:val="0000FF"/>
                <w:w w:val="99"/>
              </w:rPr>
              <w:t>4</w:t>
            </w:r>
          </w:p>
        </w:tc>
        <w:tc>
          <w:tcPr>
            <w:tcW w:w="360" w:type="dxa"/>
            <w:vAlign w:val="bottom"/>
            <w:shd w:val="clear" w:color="auto" w:fill="CCEEFF"/>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028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w w:val="93"/>
              </w:rPr>
              <w:t>Consolidated Statements of Changes in Shareholders’ Equity for the Three Months Ended June 30, 2023, and June 30, 2022 (Unaudited)</w:t>
            </w: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5</w:t>
            </w:r>
          </w:p>
        </w:tc>
        <w:tc>
          <w:tcPr>
            <w:tcW w:w="36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40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Cash Flows for the Six Months Ended June 30, 2023, and June 30, 2022 (Unaudited)</w:t>
            </w:r>
          </w:p>
        </w:tc>
        <w:tc>
          <w:tcPr>
            <w:tcW w:w="460" w:type="dxa"/>
            <w:vAlign w:val="bottom"/>
            <w:gridSpan w:val="2"/>
            <w:shd w:val="clear" w:color="auto" w:fill="CCEEFF"/>
          </w:tcPr>
          <w:p>
            <w:pPr>
              <w:jc w:val="center"/>
              <w:ind w:left="275"/>
              <w:spacing w:after="0" w:line="189" w:lineRule="exact"/>
              <w:rPr>
                <w:sz w:val="20"/>
                <w:szCs w:val="20"/>
                <w:color w:val="auto"/>
              </w:rPr>
            </w:pPr>
            <w:r>
              <w:rPr>
                <w:rFonts w:ascii="Arial" w:cs="Arial" w:eastAsia="Arial" w:hAnsi="Arial"/>
                <w:sz w:val="18"/>
                <w:szCs w:val="18"/>
                <w:color w:val="0000FF"/>
                <w:w w:val="99"/>
              </w:rPr>
              <w:t>7</w:t>
            </w:r>
          </w:p>
        </w:tc>
        <w:tc>
          <w:tcPr>
            <w:tcW w:w="3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340" w:type="dxa"/>
            <w:vAlign w:val="bottom"/>
            <w:tcBorders>
              <w:top w:val="single" w:sz="8" w:color="0000FF"/>
              <w:bottom w:val="single" w:sz="8" w:color="0000FF"/>
            </w:tcBorders>
          </w:tcPr>
          <w:p>
            <w:pPr>
              <w:spacing w:after="0" w:line="189" w:lineRule="exact"/>
              <w:rPr>
                <w:sz w:val="20"/>
                <w:szCs w:val="20"/>
                <w:color w:val="auto"/>
              </w:rPr>
            </w:pPr>
            <w:r>
              <w:rPr>
                <w:rFonts w:ascii="Arial" w:cs="Arial" w:eastAsia="Arial" w:hAnsi="Arial"/>
                <w:sz w:val="18"/>
                <w:szCs w:val="18"/>
                <w:color w:val="0000FF"/>
                <w:w w:val="90"/>
              </w:rPr>
              <w:t>Notes to the Consolidated Financial Statements (Unaudited)</w:t>
            </w:r>
          </w:p>
        </w:tc>
        <w:tc>
          <w:tcPr>
            <w:tcW w:w="3800" w:type="dxa"/>
            <w:vAlign w:val="bottom"/>
            <w:tcBorders>
              <w:top w:val="single" w:sz="8" w:color="0000FF"/>
            </w:tcBorders>
            <w:gridSpan w:val="2"/>
          </w:tcPr>
          <w:p>
            <w:pPr>
              <w:spacing w:after="0"/>
              <w:rPr>
                <w:sz w:val="16"/>
                <w:szCs w:val="16"/>
                <w:color w:val="auto"/>
              </w:rPr>
            </w:pPr>
          </w:p>
        </w:tc>
        <w:tc>
          <w:tcPr>
            <w:tcW w:w="2260" w:type="dxa"/>
            <w:vAlign w:val="bottom"/>
            <w:tcBorders>
              <w:top w:val="single" w:sz="8" w:color="CCEEFF"/>
            </w:tcBorders>
            <w:gridSpan w:val="4"/>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9</w:t>
            </w:r>
          </w:p>
        </w:tc>
        <w:tc>
          <w:tcPr>
            <w:tcW w:w="360" w:type="dxa"/>
            <w:vAlign w:val="bottom"/>
            <w:tcBorders>
              <w:top w:val="single" w:sz="8" w:color="CCEEFF"/>
            </w:tcBorders>
          </w:tcPr>
          <w:p>
            <w:pPr>
              <w:spacing w:after="0"/>
              <w:rPr>
                <w:sz w:val="16"/>
                <w:szCs w:val="16"/>
                <w:color w:val="auto"/>
              </w:rPr>
            </w:pPr>
          </w:p>
        </w:tc>
      </w:tr>
      <w:tr>
        <w:trPr>
          <w:trHeight w:val="925"/>
        </w:trPr>
        <w:tc>
          <w:tcPr>
            <w:tcW w:w="6280" w:type="dxa"/>
            <w:vAlign w:val="bottom"/>
            <w:gridSpan w:val="3"/>
          </w:tcPr>
          <w:p>
            <w:pPr>
              <w:jc w:val="right"/>
              <w:ind w:right="620"/>
              <w:spacing w:after="0"/>
              <w:rPr>
                <w:sz w:val="20"/>
                <w:szCs w:val="20"/>
                <w:color w:val="auto"/>
              </w:rPr>
            </w:pPr>
            <w:r>
              <w:rPr>
                <w:rFonts w:ascii="Arial" w:cs="Arial" w:eastAsia="Arial" w:hAnsi="Arial"/>
                <w:sz w:val="18"/>
                <w:szCs w:val="18"/>
                <w:color w:val="auto"/>
              </w:rPr>
              <w:t>1</w:t>
            </w: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144"/>
        </w:trPr>
        <w:tc>
          <w:tcPr>
            <w:tcW w:w="8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9,047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Interest-earning deposits with banks</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80,799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50,295</w:t>
            </w:r>
          </w:p>
        </w:tc>
        <w:tc>
          <w:tcPr>
            <w:tcW w:w="0" w:type="dxa"/>
            <w:vAlign w:val="bottom"/>
          </w:tcPr>
          <w:p>
            <w:pPr>
              <w:spacing w:after="0"/>
              <w:rPr>
                <w:sz w:val="1"/>
                <w:szCs w:val="1"/>
                <w:color w:val="auto"/>
              </w:rPr>
            </w:pPr>
          </w:p>
        </w:tc>
      </w:tr>
      <w:tr>
        <w:trPr>
          <w:trHeight w:val="1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Securities available-for-sale, at fair value</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1,252,190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1,371,757</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color w:val="auto"/>
              </w:rPr>
              <w:t>Restricted stock, at cost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16,443</w:t>
            </w:r>
          </w:p>
        </w:tc>
        <w:tc>
          <w:tcPr>
            <w:tcW w:w="0" w:type="dxa"/>
            <w:vAlign w:val="bottom"/>
          </w:tcPr>
          <w:p>
            <w:pPr>
              <w:spacing w:after="0"/>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held-for-sale, at fair value</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Loans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2,000,969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1,887,221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(25,919)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4"/>
                <w:szCs w:val="14"/>
                <w:color w:val="auto"/>
              </w:rPr>
              <w:t>Net loans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1,975,050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1,866,182</w:t>
            </w:r>
          </w:p>
        </w:tc>
        <w:tc>
          <w:tcPr>
            <w:tcW w:w="0" w:type="dxa"/>
            <w:vAlign w:val="bottom"/>
          </w:tcPr>
          <w:p>
            <w:pPr>
              <w:spacing w:after="0"/>
              <w:rPr>
                <w:sz w:val="1"/>
                <w:szCs w:val="1"/>
                <w:color w:val="auto"/>
              </w:rPr>
            </w:pPr>
          </w:p>
        </w:tc>
      </w:tr>
      <w:tr>
        <w:trPr>
          <w:trHeight w:val="1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56,183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53,170</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14,781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15,481</w:t>
            </w:r>
          </w:p>
        </w:tc>
        <w:tc>
          <w:tcPr>
            <w:tcW w:w="0" w:type="dxa"/>
            <w:vAlign w:val="bottom"/>
          </w:tcPr>
          <w:p>
            <w:pPr>
              <w:spacing w:after="0"/>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93,625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92,487</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92,228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97,083</w:t>
            </w:r>
          </w:p>
        </w:tc>
        <w:tc>
          <w:tcPr>
            <w:tcW w:w="0" w:type="dxa"/>
            <w:vAlign w:val="bottom"/>
          </w:tcPr>
          <w:p>
            <w:pPr>
              <w:spacing w:after="0"/>
              <w:rPr>
                <w:sz w:val="1"/>
                <w:szCs w:val="1"/>
                <w:color w:val="auto"/>
              </w:rPr>
            </w:pPr>
          </w:p>
        </w:tc>
      </w:tr>
      <w:tr>
        <w:trPr>
          <w:trHeight w:val="18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3,569,226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3,562,898</w:t>
            </w:r>
          </w:p>
        </w:tc>
        <w:tc>
          <w:tcPr>
            <w:tcW w:w="0" w:type="dxa"/>
            <w:vAlign w:val="bottom"/>
          </w:tcPr>
          <w:p>
            <w:pPr>
              <w:spacing w:after="0"/>
              <w:rPr>
                <w:sz w:val="1"/>
                <w:szCs w:val="1"/>
                <w:color w:val="auto"/>
              </w:rPr>
            </w:pPr>
          </w:p>
        </w:tc>
      </w:tr>
      <w:tr>
        <w:trPr>
          <w:trHeight w:val="213"/>
        </w:trPr>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Non-interest-bearing deposits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876,396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960,692</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color w:val="auto"/>
              </w:rPr>
              <w:t>Interest-bearing deposits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2,128,867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1,959,708</w:t>
            </w:r>
          </w:p>
        </w:tc>
        <w:tc>
          <w:tcPr>
            <w:tcW w:w="0" w:type="dxa"/>
            <w:vAlign w:val="bottom"/>
          </w:tcPr>
          <w:p>
            <w:pPr>
              <w:spacing w:after="0"/>
              <w:rPr>
                <w:sz w:val="1"/>
                <w:szCs w:val="1"/>
                <w:color w:val="auto"/>
              </w:rPr>
            </w:pPr>
          </w:p>
        </w:tc>
      </w:tr>
      <w:tr>
        <w:trPr>
          <w:trHeight w:val="19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deposits</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3,005,263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2,920,400</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Borrowed funds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249,000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343,100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and other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24,891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25,945</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3,279,154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3,289,445</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color w:val="auto"/>
              </w:rPr>
              <w:t>Commitments and contingent liabilities (see Note 10)</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Preferred Stock, $1.00 par value per share; 2,000,000 shares authorized; no shares issued or outstanding</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50"/>
        </w:trPr>
        <w:tc>
          <w:tcPr>
            <w:tcW w:w="8160" w:type="dxa"/>
            <w:vAlign w:val="bottom"/>
          </w:tcPr>
          <w:p>
            <w:pPr>
              <w:ind w:left="20"/>
              <w:spacing w:after="0" w:line="150" w:lineRule="exact"/>
              <w:rPr>
                <w:sz w:val="20"/>
                <w:szCs w:val="20"/>
                <w:color w:val="auto"/>
              </w:rPr>
            </w:pPr>
            <w:r>
              <w:rPr>
                <w:rFonts w:ascii="Arial" w:cs="Arial" w:eastAsia="Arial" w:hAnsi="Arial"/>
                <w:sz w:val="14"/>
                <w:szCs w:val="14"/>
                <w:color w:val="auto"/>
              </w:rPr>
              <w:t>$0.50 par value; 20,000,000 shares authorized and 8,000,000 issued at June 30, 2023, and December 31, 2022; 7,428,710 shares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160" w:type="dxa"/>
            <w:vAlign w:val="bottom"/>
          </w:tcPr>
          <w:p>
            <w:pPr>
              <w:ind w:left="180"/>
              <w:spacing w:after="0"/>
              <w:rPr>
                <w:sz w:val="20"/>
                <w:szCs w:val="20"/>
                <w:color w:val="auto"/>
              </w:rPr>
            </w:pPr>
            <w:r>
              <w:rPr>
                <w:rFonts w:ascii="Arial" w:cs="Arial" w:eastAsia="Arial" w:hAnsi="Arial"/>
                <w:sz w:val="14"/>
                <w:szCs w:val="14"/>
                <w:color w:val="auto"/>
              </w:rPr>
              <w:t>outstanding at June 30, 2023, and 7,425,760 shares outstanding at December 31, 2022</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12,282</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426,625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424,391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(139,495)</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Treasury stock</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(27,584)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(27,725)</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4"/>
                <w:szCs w:val="14"/>
                <w:color w:val="auto"/>
              </w:rPr>
              <w:t>571,290 shares, at cost, at June 30, 2023, and 574,240 shares, at cost, at December 31, 2022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290,072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273,453</w:t>
            </w:r>
          </w:p>
        </w:tc>
        <w:tc>
          <w:tcPr>
            <w:tcW w:w="0" w:type="dxa"/>
            <w:vAlign w:val="bottom"/>
          </w:tcPr>
          <w:p>
            <w:pPr>
              <w:spacing w:after="0"/>
              <w:rPr>
                <w:sz w:val="1"/>
                <w:szCs w:val="1"/>
                <w:color w:val="auto"/>
              </w:rPr>
            </w:pPr>
          </w:p>
        </w:tc>
      </w:tr>
      <w:tr>
        <w:trPr>
          <w:trHeight w:val="176"/>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3,569,226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3,562,898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50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9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Loans, including fees</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25,300</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17,418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48,060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33,868</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Taxable securities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Tax-exempt securities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4,890</w:t>
            </w: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income</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37,116</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26,542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50,794</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Deposits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10,030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Borrowed funds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interest expense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13,324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23,792</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25,631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49,102</w:t>
            </w:r>
          </w:p>
        </w:tc>
      </w:tr>
      <w:tr>
        <w:trPr>
          <w:trHeight w:val="263"/>
        </w:trPr>
        <w:tc>
          <w:tcPr>
            <w:tcW w:w="50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Provision for (recapture of) credit losses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(2,538)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 after credit loss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23,578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28,169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54,278</w:t>
            </w:r>
          </w:p>
        </w:tc>
      </w:tr>
      <w:tr>
        <w:trPr>
          <w:trHeight w:val="263"/>
        </w:trPr>
        <w:tc>
          <w:tcPr>
            <w:tcW w:w="5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Fiduciary and wealth management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2,667</w:t>
            </w: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charges and fees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Net gains (losses) on securities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company-owned life insurance</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non-interest income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r>
      <w:tr>
        <w:trPr>
          <w:trHeight w:val="263"/>
        </w:trPr>
        <w:tc>
          <w:tcPr>
            <w:tcW w:w="5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Salaries and wages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9,922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19,146</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Pensions and other employee benefits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Occupancy</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rentals, depreciation and maintenance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21,348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20,368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39,533</w:t>
            </w:r>
          </w:p>
        </w:tc>
      </w:tr>
      <w:tr>
        <w:trPr>
          <w:trHeight w:val="263"/>
        </w:trPr>
        <w:tc>
          <w:tcPr>
            <w:tcW w:w="5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3,833</w:t>
            </w:r>
          </w:p>
        </w:tc>
      </w:tr>
      <w:tr>
        <w:trPr>
          <w:trHeight w:val="270"/>
        </w:trPr>
        <w:tc>
          <w:tcPr>
            <w:tcW w:w="504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10,397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19,523</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0.81</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Unrealized gains (losses) on securities:</w:t>
            </w:r>
          </w:p>
        </w:tc>
        <w:tc>
          <w:tcPr>
            <w:tcW w:w="268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gridSpan w:val="3"/>
          </w:tcPr>
          <w:p>
            <w:pPr>
              <w:ind w:left="220"/>
              <w:spacing w:after="0" w:line="189" w:lineRule="exact"/>
              <w:rPr>
                <w:sz w:val="20"/>
                <w:szCs w:val="20"/>
                <w:color w:val="auto"/>
              </w:rPr>
            </w:pPr>
            <w:r>
              <w:rPr>
                <w:rFonts w:ascii="Arial" w:cs="Arial" w:eastAsia="Arial" w:hAnsi="Arial"/>
                <w:sz w:val="18"/>
                <w:szCs w:val="18"/>
                <w:color w:val="auto"/>
                <w:w w:val="97"/>
              </w:rPr>
              <w:t>Unrealized gain (loss) arising during period, net of tax of $1,397 and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8"/>
              </w:rPr>
              <w:t>$12,302 for the three months ended June 30, 2023, and June 30,</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rPr>
              <w:t>2022, respectively, net of tax of ($3,180) and $29,263 for the six</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(5,254)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(46,277)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(110,085)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gridSpan w:val="3"/>
          </w:tcPr>
          <w:p>
            <w:pPr>
              <w:ind w:left="380"/>
              <w:spacing w:after="0"/>
              <w:rPr>
                <w:sz w:val="20"/>
                <w:szCs w:val="20"/>
                <w:color w:val="auto"/>
              </w:rPr>
            </w:pPr>
            <w:r>
              <w:rPr>
                <w:rFonts w:ascii="Arial" w:cs="Arial" w:eastAsia="Arial" w:hAnsi="Arial"/>
                <w:sz w:val="18"/>
                <w:szCs w:val="18"/>
                <w:color w:val="auto"/>
              </w:rPr>
              <w:t>months ended June, 30, 2023, and June 30, 2022, respectively</w:t>
            </w:r>
          </w:p>
        </w:tc>
        <w:tc>
          <w:tcPr>
            <w:tcW w:w="2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220"/>
              <w:spacing w:after="0" w:line="182" w:lineRule="exact"/>
              <w:rPr>
                <w:sz w:val="20"/>
                <w:szCs w:val="20"/>
                <w:color w:val="auto"/>
              </w:rPr>
            </w:pPr>
            <w:r>
              <w:rPr>
                <w:rFonts w:ascii="Arial" w:cs="Arial" w:eastAsia="Arial" w:hAnsi="Arial"/>
                <w:sz w:val="18"/>
                <w:szCs w:val="18"/>
                <w:color w:val="auto"/>
                <w:w w:val="97"/>
              </w:rPr>
              <w:t>Reclassification adjustment for loss (gain) on securities, net of tax of</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380"/>
              <w:spacing w:after="0" w:line="176" w:lineRule="exact"/>
              <w:rPr>
                <w:sz w:val="20"/>
                <w:szCs w:val="20"/>
                <w:color w:val="auto"/>
              </w:rPr>
            </w:pPr>
            <w:r>
              <w:rPr>
                <w:rFonts w:ascii="Arial" w:cs="Arial" w:eastAsia="Arial" w:hAnsi="Arial"/>
                <w:sz w:val="18"/>
                <w:szCs w:val="18"/>
                <w:color w:val="auto"/>
              </w:rPr>
              <w:t>($23) and $— for the three months ended June 30, 2023, and</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500" w:type="dxa"/>
            <w:vAlign w:val="bottom"/>
            <w:gridSpan w:val="3"/>
            <w:shd w:val="clear" w:color="auto" w:fill="CCEEFF"/>
          </w:tcPr>
          <w:p>
            <w:pPr>
              <w:ind w:left="380"/>
              <w:spacing w:after="0" w:line="189" w:lineRule="exact"/>
              <w:rPr>
                <w:sz w:val="20"/>
                <w:szCs w:val="20"/>
                <w:color w:val="auto"/>
              </w:rPr>
            </w:pPr>
            <w:r>
              <w:rPr>
                <w:rFonts w:ascii="Arial" w:cs="Arial" w:eastAsia="Arial" w:hAnsi="Arial"/>
                <w:sz w:val="18"/>
                <w:szCs w:val="18"/>
                <w:color w:val="auto"/>
                <w:w w:val="97"/>
              </w:rPr>
              <w:t>June 30, 2022, respectively, net of tax of ($23) and $22 for the six</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months ended June 30, 2023 and June 30, 2022, respectively</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6"/>
              </w:rPr>
              <w:t>Reclassification adjustment for loss (gain) on fair value hedge, net of</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gridSpan w:val="3"/>
          </w:tcPr>
          <w:p>
            <w:pPr>
              <w:ind w:left="380"/>
              <w:spacing w:after="0" w:line="189" w:lineRule="exact"/>
              <w:rPr>
                <w:sz w:val="20"/>
                <w:szCs w:val="20"/>
                <w:color w:val="auto"/>
              </w:rPr>
            </w:pPr>
            <w:r>
              <w:rPr>
                <w:rFonts w:ascii="Arial" w:cs="Arial" w:eastAsia="Arial" w:hAnsi="Arial"/>
                <w:sz w:val="18"/>
                <w:szCs w:val="18"/>
                <w:color w:val="auto"/>
                <w:w w:val="92"/>
              </w:rPr>
              <w:t>tax of ($728) and $— for the three months ended June 30, 2023, and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5"/>
              </w:rPr>
              <w:t>June 30, 2022, respectively, net of tax of ($232) and $— for the six</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80"/>
              <w:spacing w:after="0"/>
              <w:rPr>
                <w:sz w:val="20"/>
                <w:szCs w:val="20"/>
                <w:color w:val="auto"/>
              </w:rPr>
            </w:pPr>
            <w:r>
              <w:rPr>
                <w:rFonts w:ascii="Arial" w:cs="Arial" w:eastAsia="Arial" w:hAnsi="Arial"/>
                <w:sz w:val="18"/>
                <w:szCs w:val="18"/>
                <w:color w:val="auto"/>
              </w:rPr>
              <w:t>months ended June 30, 2023, and June 30, 2022, respectively</w:t>
            </w: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Unrealized gain (loss) on cash flow hedge: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8"/>
              </w:rPr>
              <w:t>Unrealized holding gain (loss) on cash flow hedge, net of tax of $73</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8"/>
              </w:rPr>
              <w:t>and $96 for the three months ended June 30, 2023, and June 30,</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00" w:type="dxa"/>
            <w:vAlign w:val="bottom"/>
            <w:gridSpan w:val="3"/>
          </w:tcPr>
          <w:p>
            <w:pPr>
              <w:ind w:left="380"/>
              <w:spacing w:after="0" w:line="189" w:lineRule="exact"/>
              <w:rPr>
                <w:sz w:val="20"/>
                <w:szCs w:val="20"/>
                <w:color w:val="auto"/>
              </w:rPr>
            </w:pPr>
            <w:r>
              <w:rPr>
                <w:rFonts w:ascii="Arial" w:cs="Arial" w:eastAsia="Arial" w:hAnsi="Arial"/>
                <w:sz w:val="18"/>
                <w:szCs w:val="18"/>
                <w:color w:val="auto"/>
                <w:w w:val="99"/>
              </w:rPr>
              <w:t>2022, respectively, net of tax of $61 and $230 for the six months</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3"/>
          </w:tcPr>
          <w:p>
            <w:pPr>
              <w:ind w:left="380"/>
              <w:spacing w:after="0"/>
              <w:rPr>
                <w:sz w:val="20"/>
                <w:szCs w:val="20"/>
                <w:color w:val="auto"/>
              </w:rPr>
            </w:pPr>
            <w:r>
              <w:rPr>
                <w:rFonts w:ascii="Arial" w:cs="Arial" w:eastAsia="Arial" w:hAnsi="Arial"/>
                <w:sz w:val="18"/>
                <w:szCs w:val="18"/>
                <w:color w:val="auto"/>
              </w:rPr>
              <w:t>ended June 30, 2023, and June 30, 2022, respectively</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Reclassification adjustment for losses (gains) included in net income,</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500" w:type="dxa"/>
            <w:vAlign w:val="bottom"/>
            <w:gridSpan w:val="3"/>
            <w:shd w:val="clear" w:color="auto" w:fill="CCEEFF"/>
          </w:tcPr>
          <w:p>
            <w:pPr>
              <w:ind w:left="380"/>
              <w:spacing w:after="0" w:line="189" w:lineRule="exact"/>
              <w:rPr>
                <w:sz w:val="20"/>
                <w:szCs w:val="20"/>
                <w:color w:val="auto"/>
              </w:rPr>
            </w:pPr>
            <w:r>
              <w:rPr>
                <w:rFonts w:ascii="Arial" w:cs="Arial" w:eastAsia="Arial" w:hAnsi="Arial"/>
                <w:sz w:val="18"/>
                <w:szCs w:val="18"/>
                <w:color w:val="auto"/>
                <w:w w:val="95"/>
              </w:rPr>
              <w:t>net of tax ($89) and $23 for the three months ended June 30, 2023,</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380"/>
              <w:spacing w:after="0" w:line="176" w:lineRule="exact"/>
              <w:rPr>
                <w:sz w:val="20"/>
                <w:szCs w:val="20"/>
                <w:color w:val="auto"/>
              </w:rPr>
            </w:pPr>
            <w:r>
              <w:rPr>
                <w:rFonts w:ascii="Arial" w:cs="Arial" w:eastAsia="Arial" w:hAnsi="Arial"/>
                <w:sz w:val="18"/>
                <w:szCs w:val="18"/>
                <w:color w:val="auto"/>
                <w:w w:val="94"/>
              </w:rPr>
              <w:t>and June 30, 2022, respectively, net of tax of ($166) and $38 for the</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7"/>
              </w:rPr>
              <w:t>six months ended June 30, 2023, and June 30, 2022,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Shares Outstanding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30"/>
              <w:spacing w:after="0" w:line="135" w:lineRule="exact"/>
              <w:rPr>
                <w:sz w:val="20"/>
                <w:szCs w:val="20"/>
                <w:color w:val="auto"/>
              </w:rPr>
            </w:pPr>
            <w:r>
              <w:rPr>
                <w:rFonts w:ascii="Arial" w:cs="Arial" w:eastAsia="Arial" w:hAnsi="Arial"/>
                <w:sz w:val="13"/>
                <w:szCs w:val="13"/>
                <w:b w:val="1"/>
                <w:bCs w:val="1"/>
                <w:color w:val="auto"/>
                <w:w w:val="90"/>
              </w:rPr>
              <w:t>Additional Paid-in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0"/>
              </w:rPr>
              <w:t>Comprehensive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7,427,840</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12,686</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(123,809)</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(27,626)</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289,783</w:t>
            </w:r>
          </w:p>
        </w:tc>
        <w:tc>
          <w:tcPr>
            <w:tcW w:w="0" w:type="dxa"/>
            <w:vAlign w:val="bottom"/>
          </w:tcPr>
          <w:p>
            <w:pPr>
              <w:spacing w:after="0"/>
              <w:rPr>
                <w:sz w:val="1"/>
                <w:szCs w:val="1"/>
                <w:color w:val="auto"/>
              </w:rPr>
            </w:pPr>
          </w:p>
        </w:tc>
      </w:tr>
      <w:tr>
        <w:trPr>
          <w:trHeight w:val="186"/>
        </w:trPr>
        <w:tc>
          <w:tcPr>
            <w:tcW w:w="22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6,034</w:t>
            </w:r>
          </w:p>
        </w:tc>
        <w:tc>
          <w:tcPr>
            <w:tcW w:w="0" w:type="dxa"/>
            <w:vAlign w:val="bottom"/>
          </w:tcPr>
          <w:p>
            <w:pPr>
              <w:spacing w:after="0"/>
              <w:rPr>
                <w:sz w:val="1"/>
                <w:szCs w:val="1"/>
                <w:color w:val="auto"/>
              </w:rPr>
            </w:pPr>
          </w:p>
        </w:tc>
      </w:tr>
      <w:tr>
        <w:trPr>
          <w:trHeight w:val="147"/>
        </w:trPr>
        <w:tc>
          <w:tcPr>
            <w:tcW w:w="220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Other comprehensive income</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35"/>
        </w:trPr>
        <w:tc>
          <w:tcPr>
            <w:tcW w:w="2200" w:type="dxa"/>
            <w:vAlign w:val="bottom"/>
          </w:tcPr>
          <w:p>
            <w:pPr>
              <w:ind w:left="240"/>
              <w:spacing w:after="0" w:line="135" w:lineRule="exact"/>
              <w:rPr>
                <w:sz w:val="20"/>
                <w:szCs w:val="20"/>
                <w:color w:val="auto"/>
              </w:rPr>
            </w:pPr>
            <w:r>
              <w:rPr>
                <w:rFonts w:ascii="Arial" w:cs="Arial" w:eastAsia="Arial" w:hAnsi="Arial"/>
                <w:sz w:val="14"/>
                <w:szCs w:val="14"/>
                <w:color w:val="auto"/>
                <w:w w:val="93"/>
              </w:rPr>
              <w:t>(Purchase) sale of treasury stock,</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net</w:t>
            </w: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135"/>
        </w:trPr>
        <w:tc>
          <w:tcPr>
            <w:tcW w:w="2200" w:type="dxa"/>
            <w:vAlign w:val="bottom"/>
          </w:tcPr>
          <w:p>
            <w:pPr>
              <w:ind w:left="240"/>
              <w:spacing w:after="0" w:line="135" w:lineRule="exact"/>
              <w:rPr>
                <w:sz w:val="20"/>
                <w:szCs w:val="20"/>
                <w:color w:val="auto"/>
              </w:rPr>
            </w:pPr>
            <w:r>
              <w:rPr>
                <w:rFonts w:ascii="Arial" w:cs="Arial" w:eastAsia="Arial" w:hAnsi="Arial"/>
                <w:sz w:val="14"/>
                <w:szCs w:val="14"/>
                <w:color w:val="auto"/>
              </w:rPr>
              <w:t>Share-based compensation</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7,428,710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426,625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(126,177)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290,072</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7,424,320</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(57,497)</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(27,795)</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330,910</w:t>
            </w: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10,397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(46,724)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(46,724)</w:t>
            </w: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w w:val="93"/>
              </w:rPr>
              <w:t>(Purchase) sale of treasury stock,</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net</w:t>
            </w:r>
          </w:p>
        </w:tc>
        <w:tc>
          <w:tcPr>
            <w:tcW w:w="1120" w:type="dxa"/>
            <w:vAlign w:val="bottom"/>
          </w:tcPr>
          <w:p>
            <w:pPr>
              <w:jc w:val="right"/>
              <w:spacing w:after="0"/>
              <w:rPr>
                <w:sz w:val="20"/>
                <w:szCs w:val="20"/>
                <w:color w:val="auto"/>
              </w:rPr>
            </w:pPr>
            <w:r>
              <w:rPr>
                <w:rFonts w:ascii="Arial" w:cs="Arial" w:eastAsia="Arial" w:hAnsi="Arial"/>
                <w:sz w:val="14"/>
                <w:szCs w:val="14"/>
                <w:color w:val="auto"/>
              </w:rPr>
              <w:t>1,440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rPr>
              <w:t>Share-based compensation</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88"/>
        </w:trPr>
        <w:tc>
          <w:tcPr>
            <w:tcW w:w="2200" w:type="dxa"/>
            <w:vAlign w:val="bottom"/>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7,425,760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407,772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(104,221)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291,138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Shares Outstanding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30"/>
              <w:spacing w:after="0" w:line="135" w:lineRule="exact"/>
              <w:rPr>
                <w:sz w:val="20"/>
                <w:szCs w:val="20"/>
                <w:color w:val="auto"/>
              </w:rPr>
            </w:pPr>
            <w:r>
              <w:rPr>
                <w:rFonts w:ascii="Arial" w:cs="Arial" w:eastAsia="Arial" w:hAnsi="Arial"/>
                <w:sz w:val="13"/>
                <w:szCs w:val="13"/>
                <w:b w:val="1"/>
                <w:bCs w:val="1"/>
                <w:color w:val="auto"/>
                <w:w w:val="90"/>
              </w:rPr>
              <w:t>Additional Paid-in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0"/>
              </w:rPr>
              <w:t>Comprehensive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7,425,760</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12,282</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(139,495)</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(27,725)</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273,453</w:t>
            </w:r>
          </w:p>
        </w:tc>
        <w:tc>
          <w:tcPr>
            <w:tcW w:w="0" w:type="dxa"/>
            <w:vAlign w:val="bottom"/>
          </w:tcPr>
          <w:p>
            <w:pPr>
              <w:spacing w:after="0"/>
              <w:rPr>
                <w:sz w:val="1"/>
                <w:szCs w:val="1"/>
                <w:color w:val="auto"/>
              </w:rPr>
            </w:pPr>
          </w:p>
        </w:tc>
      </w:tr>
      <w:tr>
        <w:trPr>
          <w:trHeight w:val="135"/>
        </w:trPr>
        <w:tc>
          <w:tcPr>
            <w:tcW w:w="2200" w:type="dxa"/>
            <w:vAlign w:val="bottom"/>
          </w:tcPr>
          <w:p>
            <w:pPr>
              <w:ind w:left="240"/>
              <w:spacing w:after="0" w:line="135" w:lineRule="exact"/>
              <w:rPr>
                <w:sz w:val="20"/>
                <w:szCs w:val="20"/>
                <w:color w:val="auto"/>
              </w:rPr>
            </w:pPr>
            <w:r>
              <w:rPr>
                <w:rFonts w:ascii="Arial" w:cs="Arial" w:eastAsia="Arial" w:hAnsi="Arial"/>
                <w:sz w:val="14"/>
                <w:szCs w:val="14"/>
                <w:color w:val="auto"/>
              </w:rPr>
              <w:t>Cumulative effect adjustment</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w w:val="95"/>
              </w:rPr>
              <w:t>due to the adoption of CECL, net</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of tax</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13,558</w:t>
            </w: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13,318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13,318</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3"/>
              </w:rPr>
              <w:t>(Purchase) sale of treasury stock,</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w:t>
            </w: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(7,872)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Share-based compensation</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03"/>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7,428,710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13,208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426,625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(126,177)</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(27,584)</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290,072</w:t>
            </w:r>
          </w:p>
        </w:tc>
        <w:tc>
          <w:tcPr>
            <w:tcW w:w="0" w:type="dxa"/>
            <w:vAlign w:val="bottom"/>
          </w:tcPr>
          <w:p>
            <w:pPr>
              <w:spacing w:after="0"/>
              <w:rPr>
                <w:sz w:val="1"/>
                <w:szCs w:val="1"/>
                <w:color w:val="auto"/>
              </w:rPr>
            </w:pPr>
          </w:p>
        </w:tc>
      </w:tr>
      <w:tr>
        <w:trPr>
          <w:trHeight w:val="213"/>
        </w:trPr>
        <w:tc>
          <w:tcPr>
            <w:tcW w:w="2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120" w:type="dxa"/>
            <w:vAlign w:val="bottom"/>
          </w:tcPr>
          <w:p>
            <w:pPr>
              <w:jc w:val="right"/>
              <w:spacing w:after="0"/>
              <w:rPr>
                <w:sz w:val="20"/>
                <w:szCs w:val="20"/>
                <w:color w:val="auto"/>
              </w:rPr>
            </w:pPr>
            <w:r>
              <w:rPr>
                <w:rFonts w:ascii="Arial" w:cs="Arial" w:eastAsia="Arial" w:hAnsi="Arial"/>
                <w:sz w:val="14"/>
                <w:szCs w:val="14"/>
                <w:color w:val="auto"/>
              </w:rPr>
              <w:t>7,423,760</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10,374</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396,120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6,955</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(27,822)</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389,627</w:t>
            </w:r>
          </w:p>
        </w:tc>
        <w:tc>
          <w:tcPr>
            <w:tcW w:w="0" w:type="dxa"/>
            <w:vAlign w:val="bottom"/>
          </w:tcPr>
          <w:p>
            <w:pPr>
              <w:spacing w:after="0"/>
              <w:rPr>
                <w:sz w:val="1"/>
                <w:szCs w:val="1"/>
                <w:color w:val="auto"/>
              </w:rPr>
            </w:pPr>
          </w:p>
        </w:tc>
      </w:tr>
      <w:tr>
        <w:trPr>
          <w:trHeight w:val="184"/>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19,523</w:t>
            </w: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(111,176)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(111,176)</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(Purchase) sale of treasury stock,</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6"/>
        </w:trPr>
        <w:tc>
          <w:tcPr>
            <w:tcW w:w="2200" w:type="dxa"/>
            <w:vAlign w:val="bottom"/>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(7,871)</w:t>
            </w:r>
          </w:p>
        </w:tc>
        <w:tc>
          <w:tcPr>
            <w:tcW w:w="0" w:type="dxa"/>
            <w:vAlign w:val="bottom"/>
          </w:tcPr>
          <w:p>
            <w:pPr>
              <w:spacing w:after="0"/>
              <w:rPr>
                <w:sz w:val="1"/>
                <w:szCs w:val="1"/>
                <w:color w:val="auto"/>
              </w:rPr>
            </w:pPr>
          </w:p>
        </w:tc>
      </w:tr>
      <w:tr>
        <w:trPr>
          <w:trHeight w:val="147"/>
        </w:trPr>
        <w:tc>
          <w:tcPr>
            <w:tcW w:w="220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Share-based compensation</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7,425,760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407,772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(104,221)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(27,726)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291,138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13,558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19,523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Depreciation and amortization of fixed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housing tax 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Realized loss (gain) on sales of available-for-sale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(recapture of) credit losses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Income from company-owned life insurance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(benefit)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Loss on disposal of fixed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 of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Amortization of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5,863</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Repayment of operating lease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loans held-for-sale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Proceeds from sale of loans held-for-sale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9,526</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fair value of loans held-for-sale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Originations of loans held-for-sale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decrease in accrued interest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(968)</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in accrued interest payable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r>
      <w:tr>
        <w:trPr>
          <w:trHeight w:val="206"/>
        </w:trPr>
        <w:tc>
          <w:tcPr>
            <w:tcW w:w="8180" w:type="dxa"/>
            <w:vAlign w:val="bottom"/>
          </w:tcPr>
          <w:p>
            <w:pPr>
              <w:ind w:left="68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22,864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30,972</w:t>
            </w:r>
          </w:p>
        </w:tc>
      </w:tr>
      <w:tr>
        <w:trPr>
          <w:trHeight w:val="199"/>
        </w:trPr>
        <w:tc>
          <w:tcPr>
            <w:tcW w:w="8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maturities, prepayments, and calls of securities available-for-sale,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120,207</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Proceeds from sale of securities available-for-sale,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87,033</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securities available-for-sale,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(262,116)</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Sales of restricted stock</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3,562</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restricted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Purchases of property and equipment, net of disposals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 of) company-owned life insurance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8180" w:type="dxa"/>
            <w:vAlign w:val="bottom"/>
          </w:tcPr>
          <w:p>
            <w:pPr>
              <w:ind w:left="460"/>
              <w:spacing w:after="0"/>
              <w:rPr>
                <w:sz w:val="20"/>
                <w:szCs w:val="20"/>
                <w:color w:val="auto"/>
              </w:rPr>
            </w:pPr>
            <w:r>
              <w:rPr>
                <w:rFonts w:ascii="Arial" w:cs="Arial" w:eastAsia="Arial" w:hAnsi="Arial"/>
                <w:sz w:val="16"/>
                <w:szCs w:val="16"/>
                <w:color w:val="auto"/>
              </w:rPr>
              <w:t>(Increase) in loans made to customers,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(113,748)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(12,639)</w:t>
            </w:r>
          </w:p>
        </w:tc>
      </w:tr>
      <w:tr>
        <w:trPr>
          <w:trHeight w:val="210"/>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flows provided by (used in) investing activities</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(69,674)</w:t>
            </w:r>
          </w:p>
        </w:tc>
      </w:tr>
      <w:tr>
        <w:trPr>
          <w:trHeight w:val="210"/>
        </w:trPr>
        <w:tc>
          <w:tcPr>
            <w:tcW w:w="8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Net increase (decrease) in non-interest-bearing accounts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56,901</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increase (decrease) in interest-bearing accounts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(29,896)</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Increase (decrease) in other short-term borrowings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Cash dividends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(7,871)</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Sale of treasury stock</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7"/>
        </w:trPr>
        <w:tc>
          <w:tcPr>
            <w:tcW w:w="8180" w:type="dxa"/>
            <w:vAlign w:val="bottom"/>
          </w:tcPr>
          <w:p>
            <w:pPr>
              <w:ind w:left="680"/>
              <w:spacing w:after="0"/>
              <w:rPr>
                <w:sz w:val="20"/>
                <w:szCs w:val="20"/>
                <w:color w:val="auto"/>
              </w:rPr>
            </w:pPr>
            <w:r>
              <w:rPr>
                <w:rFonts w:ascii="Arial" w:cs="Arial" w:eastAsia="Arial" w:hAnsi="Arial"/>
                <w:sz w:val="16"/>
                <w:szCs w:val="16"/>
                <w:color w:val="auto"/>
              </w:rPr>
              <w:t>Net cash flows provided by (used in) financing activities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(17,048)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54,154</w:t>
            </w:r>
          </w:p>
        </w:tc>
      </w:tr>
      <w:tr>
        <w:trPr>
          <w:trHeight w:val="213"/>
        </w:trPr>
        <w:tc>
          <w:tcPr>
            <w:tcW w:w="81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Increase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15,452</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77,363</w:t>
            </w:r>
          </w:p>
        </w:tc>
      </w:tr>
      <w:tr>
        <w:trPr>
          <w:trHeight w:val="206"/>
        </w:trPr>
        <w:tc>
          <w:tcPr>
            <w:tcW w:w="8180" w:type="dxa"/>
            <w:vAlign w:val="bottom"/>
          </w:tcPr>
          <w:p>
            <w:pPr>
              <w:ind w:left="460"/>
              <w:spacing w:after="0"/>
              <w:rPr>
                <w:sz w:val="20"/>
                <w:szCs w:val="20"/>
                <w:color w:val="auto"/>
              </w:rPr>
            </w:pPr>
            <w:r>
              <w:rPr>
                <w:rFonts w:ascii="Arial" w:cs="Arial" w:eastAsia="Arial" w:hAnsi="Arial"/>
                <w:sz w:val="16"/>
                <w:szCs w:val="16"/>
                <w:color w:val="auto"/>
              </w:rPr>
              <w:t>End of period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80,799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92,815</w:t>
            </w:r>
          </w:p>
        </w:tc>
      </w:tr>
      <w:tr>
        <w:trPr>
          <w:trHeight w:val="199"/>
        </w:trPr>
        <w:tc>
          <w:tcPr>
            <w:tcW w:w="8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000" w:type="dxa"/>
            <w:vAlign w:val="bottom"/>
          </w:tcPr>
          <w:p>
            <w:pPr>
              <w:ind w:left="460"/>
              <w:spacing w:after="0"/>
              <w:rPr>
                <w:sz w:val="20"/>
                <w:szCs w:val="20"/>
                <w:color w:val="auto"/>
              </w:rPr>
            </w:pPr>
            <w:r>
              <w:rPr>
                <w:rFonts w:ascii="Arial" w:cs="Arial" w:eastAsia="Arial" w:hAnsi="Arial"/>
                <w:sz w:val="16"/>
                <w:szCs w:val="16"/>
                <w:color w:val="auto"/>
              </w:rPr>
              <w:t>Interest paid to depositors</w:t>
            </w:r>
          </w:p>
        </w:tc>
        <w:tc>
          <w:tcPr>
            <w:tcW w:w="27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14,302</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9"/>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paid on other borrowed funds</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8,379</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13"/>
        </w:trPr>
        <w:tc>
          <w:tcPr>
            <w:tcW w:w="6000" w:type="dxa"/>
            <w:vAlign w:val="bottom"/>
          </w:tcPr>
          <w:p>
            <w:pPr>
              <w:ind w:left="460"/>
              <w:spacing w:after="0"/>
              <w:rPr>
                <w:sz w:val="20"/>
                <w:szCs w:val="20"/>
                <w:color w:val="auto"/>
              </w:rPr>
            </w:pPr>
            <w:r>
              <w:rPr>
                <w:rFonts w:ascii="Arial" w:cs="Arial" w:eastAsia="Arial" w:hAnsi="Arial"/>
                <w:sz w:val="16"/>
                <w:szCs w:val="16"/>
                <w:color w:val="auto"/>
              </w:rPr>
              <w:t>Interest paid on finance lease</w:t>
            </w:r>
          </w:p>
        </w:tc>
        <w:tc>
          <w:tcPr>
            <w:tcW w:w="27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taxes</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Change in unrealized gains on available-for-sale securities</w:t>
            </w:r>
          </w:p>
        </w:tc>
        <w:tc>
          <w:tcPr>
            <w:tcW w:w="27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15,255</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(139,452)</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arising from obtaining right-of-use assets</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Transfers from portfolio loans to loans held-for-sale</w:t>
            </w:r>
          </w:p>
        </w:tc>
        <w:tc>
          <w:tcPr>
            <w:tcW w:w="27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19,594</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of sale from loan held-for-sale</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580"/>
        <w:spacing w:after="0" w:line="440" w:lineRule="auto"/>
        <w:rPr>
          <w:sz w:val="20"/>
          <w:szCs w:val="20"/>
          <w:color w:val="auto"/>
        </w:rPr>
      </w:pPr>
      <w:r>
        <w:rPr>
          <w:rFonts w:ascii="Arial" w:cs="Arial" w:eastAsia="Arial" w:hAnsi="Arial"/>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Burke &amp; Herbert Financial Services Corp. was organized as a Virginia corporation on September 14, 2022, to serve as the holding company for Burke &amp; Herbert Bank &amp; Trust Company (“the Bank”), together referred to as the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primary market area includes northern Virginia, and it has over 20 branches throughout the Northern Virginia region and commercial loan offices in Fredericksburg, Loudoun County, and Richmond, Virginia, and in Bethesda, Maryland.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ending December 31, 2022, included in the Company’s Registration Statement on Form 10 filed with the SEC on February 28, 2023, as amended on April 4, 2023, April 20, 2023, and April 21, 2023, and as declared as effective by the SEC on April 21, 2023.</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include the accounts of the Company and its wholly-owned subsidiary. All significant intercompany accounts and transactions between the Company and the Bank have been eliminated. In preparing financial statements in conformity with GAAP, management is required to make estimates and assumptions that affect the reported amounts of assets and liabilities as of the date of the balance sheet and reported amounts of revenues and expenses during the reporting period. Actual results could differ from those estimates.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opinion of management, all adjustments, consisting only of normal recurring adjustments, which are necessary for a fair presentation of the results of operations in these financial statements, have been made. The results of operations for the three and six months ended June 30, 2023, are not necessarily indicative of the results to be expected for any other interim period or for the full year. All amounts and disclosures included in this quarterly report as of December 31, 2022,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March 28, 2022, the Financial Accounting Standards Board issued Accounting Standards Update (“ASU”) 2022-01, Derivatives and Hedging (Topic 815): </w:t>
      </w:r>
      <w:r>
        <w:rPr>
          <w:rFonts w:ascii="Arial" w:cs="Arial" w:eastAsia="Arial" w:hAnsi="Arial"/>
          <w:sz w:val="17"/>
          <w:szCs w:val="17"/>
          <w:i w:val="1"/>
          <w:iCs w:val="1"/>
          <w:color w:val="auto"/>
        </w:rPr>
        <w:t>Fair Value Hedging - Portfolio Layer Method</w:t>
      </w:r>
      <w:r>
        <w:rPr>
          <w:rFonts w:ascii="Arial" w:cs="Arial" w:eastAsia="Arial" w:hAnsi="Arial"/>
          <w:sz w:val="17"/>
          <w:szCs w:val="17"/>
          <w:color w:val="auto"/>
        </w:rPr>
        <w:t>. The purpose of this updated guidance is to further align risk management objectives with hedge accounting results on the application of the last-of-layer method, which was first introduced in ASU 2017-02, Derivatives and Hedging (Topic 815): Targeted Improvements to Accounting for Hedging Activities. ASU 2022-01 is effective for public business entities for fiscal years beginning after December 15, 2022. ASU 2022-01 requires a modified retrospective transition method for basis adjustments in which the entity will recognize the cumulative effect of the change on the opening balance of each affected component of equity in the statement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financial position as of the date of adoption. The Company adopted this ASU on January 1, 2023; therefore, there was no impact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Credit Losses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 2023, the Company adopted ASU 2016-13, Financial Instruments - Credit Losses (Topic 326)</w:t>
      </w:r>
      <w:r>
        <w:rPr>
          <w:rFonts w:ascii="Arial" w:cs="Arial" w:eastAsia="Arial" w:hAnsi="Arial"/>
          <w:sz w:val="16"/>
          <w:szCs w:val="16"/>
          <w:i w:val="1"/>
          <w:iCs w:val="1"/>
          <w:color w:val="auto"/>
        </w:rPr>
        <w:t>: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(“ASC 326”), as amended, which replaces the incurred loss methodology with an expected loss methodology that is referred to as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 (“CECL”) methodology. The CECL methodology requires an estimate of credit losses for the remaining estimated life of the financial asset using historical experience, current conditions, as well as future forecasts including reasonable and supportable forecasts and other forecast periods. CECL generally applies to financial assets measured at amortized cost and some off-balance sheet credit exposures, such as unfunded commitments to extend credit. Financial assets measured at amortized cost are presented as the net amount expected to be collected.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they will be required to sell.</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adopted ASC 326 and all related subsequent amendments thereto effective January 1, 2023, using the modified retrospective approach for all financial assets measured at amortized cost and off-balance sheet credit exposures. The adoption of the new CECL standard resulted in a cumulative-effect adjustment that increased the allowance for credit losses for loans by $4.1 million and increased the allowance for unfunded commitments by $274.8 thousand. Retained earnings, net of deferred taxes, decreased by $3.4 million. Results for reporting periods beginning after January 1, 2023, are presented under ASU 2016-13, while prior period amounts continue to be reported in accordance with the incurred loss model under the previously applicable GAAP.</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impact of the adoption of CECL, and the transition away from the incurred loss method, on January 1, 2023. The impact to the allowance for credit losses (“ACL”) is presented at the loan segment level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ind w:right="368"/>
              <w:spacing w:after="0"/>
              <w:rPr>
                <w:sz w:val="20"/>
                <w:szCs w:val="20"/>
                <w:color w:val="auto"/>
              </w:rPr>
            </w:pPr>
            <w:r>
              <w:rPr>
                <w:rFonts w:ascii="Arial" w:cs="Arial" w:eastAsia="Arial" w:hAnsi="Arial"/>
                <w:sz w:val="14"/>
                <w:szCs w:val="14"/>
                <w:color w:val="auto"/>
              </w:rPr>
              <w:t>January 1, 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00" w:type="dxa"/>
            <w:vAlign w:val="bottom"/>
          </w:tcPr>
          <w:p>
            <w:pPr>
              <w:spacing w:after="0"/>
              <w:rPr>
                <w:sz w:val="11"/>
                <w:szCs w:val="11"/>
                <w:color w:val="auto"/>
              </w:rPr>
            </w:pPr>
          </w:p>
        </w:tc>
        <w:tc>
          <w:tcPr>
            <w:tcW w:w="18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2"/>
              </w:rPr>
              <w:t>Reserves under Incurred Loss</w:t>
            </w:r>
          </w:p>
        </w:tc>
        <w:tc>
          <w:tcPr>
            <w:tcW w:w="100" w:type="dxa"/>
            <w:vAlign w:val="bottom"/>
          </w:tcPr>
          <w:p>
            <w:pPr>
              <w:spacing w:after="0"/>
              <w:rPr>
                <w:sz w:val="11"/>
                <w:szCs w:val="11"/>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color w:val="auto"/>
                <w:w w:val="94"/>
              </w:rPr>
              <w:t>Reserves under CECL Model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vMerge w:val="restart"/>
          </w:tcPr>
          <w:p>
            <w:pPr>
              <w:jc w:val="right"/>
              <w:ind w:right="68"/>
              <w:spacing w:after="0"/>
              <w:rPr>
                <w:sz w:val="20"/>
                <w:szCs w:val="20"/>
                <w:color w:val="auto"/>
              </w:rPr>
            </w:pPr>
            <w:r>
              <w:rPr>
                <w:rFonts w:ascii="Arial" w:cs="Arial" w:eastAsia="Arial" w:hAnsi="Arial"/>
                <w:sz w:val="14"/>
                <w:szCs w:val="14"/>
                <w:color w:val="auto"/>
                <w:w w:val="97"/>
              </w:rPr>
              <w:t>Impact of CECL Adoption</w:t>
            </w: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648"/>
              <w:spacing w:after="0"/>
              <w:rPr>
                <w:sz w:val="20"/>
                <w:szCs w:val="20"/>
                <w:color w:val="auto"/>
              </w:rPr>
            </w:pPr>
            <w:r>
              <w:rPr>
                <w:rFonts w:ascii="Arial" w:cs="Arial" w:eastAsia="Arial" w:hAnsi="Arial"/>
                <w:sz w:val="14"/>
                <w:szCs w:val="14"/>
                <w:color w:val="auto"/>
              </w:rPr>
              <w:t>Model</w:t>
            </w:r>
          </w:p>
        </w:tc>
        <w:tc>
          <w:tcPr>
            <w:tcW w:w="1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4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15,477</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18,163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560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4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6"/>
        </w:trPr>
        <w:tc>
          <w:tcPr>
            <w:tcW w:w="5600" w:type="dxa"/>
            <w:vAlign w:val="bottom"/>
          </w:tcPr>
          <w:p>
            <w:pPr>
              <w:ind w:left="240"/>
              <w:spacing w:after="0"/>
              <w:rPr>
                <w:sz w:val="20"/>
                <w:szCs w:val="20"/>
                <w:color w:val="auto"/>
              </w:rPr>
            </w:pPr>
            <w:r>
              <w:rPr>
                <w:rFonts w:ascii="Arial" w:cs="Arial" w:eastAsia="Arial" w:hAnsi="Arial"/>
                <w:sz w:val="14"/>
                <w:szCs w:val="14"/>
                <w:color w:val="auto"/>
              </w:rPr>
              <w:t>Single family residential (1-4 units)</w:t>
            </w: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7"/>
        </w:trPr>
        <w:tc>
          <w:tcPr>
            <w:tcW w:w="56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Unallocated reserve</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Allowance for credit losses on loans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183"/>
        </w:trPr>
        <w:tc>
          <w:tcPr>
            <w:tcW w:w="5600" w:type="dxa"/>
            <w:vAlign w:val="bottom"/>
          </w:tcPr>
          <w:p>
            <w:pPr>
              <w:ind w:left="20"/>
              <w:spacing w:after="0"/>
              <w:rPr>
                <w:sz w:val="20"/>
                <w:szCs w:val="20"/>
                <w:color w:val="auto"/>
              </w:rPr>
            </w:pPr>
            <w:r>
              <w:rPr>
                <w:rFonts w:ascii="Arial" w:cs="Arial" w:eastAsia="Arial" w:hAnsi="Arial"/>
                <w:sz w:val="14"/>
                <w:szCs w:val="14"/>
                <w:color w:val="auto"/>
              </w:rPr>
              <w:t>Financial Liabilities:</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Allowance for credit losses on off-balance sheet credit exposure</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ASC 326 using the prospective transition approach for debt securities for which other-than-temporary impairment had been recognized prior to January 1, 2023. As of December 31, 2022, the Company did not have any other-than-temporarily impaired investment securities. The Company did not record an ACL for securities upon adoption.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not to measure an ACL for accrued interest receivable and instead elected to reverse interest income on loans or securities that are placed on non-accrual status, which generally occurs when the instrument is 90 days past due,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earlier if the Company believes the collection of interest is doubtful. The Company has concluded that this policy results in the timely reversal of uncollectible interest.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1, 2023, the Company adopted ASU 2022-02, Financial Instruments - Credit Losses (Topic 326), </w:t>
      </w:r>
      <w:r>
        <w:rPr>
          <w:rFonts w:ascii="Arial" w:cs="Arial" w:eastAsia="Arial" w:hAnsi="Arial"/>
          <w:sz w:val="18"/>
          <w:szCs w:val="18"/>
          <w:i w:val="1"/>
          <w:iCs w:val="1"/>
          <w:color w:val="auto"/>
        </w:rPr>
        <w:t>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ASU 2022-02 addresses areas identified by the FASB as part of its implementation review of the credit losses standard (ASU 2016-13) that</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introduced the CECL model. The amendments eliminate the accounting guidance for troubled debt restructurings (“TDRs”) by creditors that have adopted the CECL model and enhance the disclosure requirements for certain loan refinancings and restructurings by creditors when a borrower is experiencing financial difficulty. In addition, the amendments require that the Company disclose current-period gross write-offs for financing receivables and net investment in leases by year of origination in the vintage disclosures. The Company adopted the standard prospectively, and it did not have a material impact on the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available-for-sale debt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all available-for-sale (“AFS”) debt securities in an unrealized loss position on a quarterly basis, and more frequently when economic or market conditions warrant such evaluation.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ACL is recognized in other comprehensive income.</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Changes in the ACL are recorded as credit loss expense (or recapture). Losses are charged against the allowance when management believes the uncollectibility of an AFS security is confirmed or when either of the criteria regarding intent or requirement to sell is met. At June 30, 2023, there was no ACL related to the AFS security portfolio. Refer to </w:t>
      </w:r>
      <w:r>
        <w:rPr>
          <w:rFonts w:ascii="Arial" w:cs="Arial" w:eastAsia="Arial" w:hAnsi="Arial"/>
          <w:sz w:val="17"/>
          <w:szCs w:val="17"/>
          <w:u w:val="single" w:color="auto"/>
          <w:color w:val="0000FF"/>
        </w:rPr>
        <w:t>Note 2 - Securities</w:t>
      </w:r>
      <w:r>
        <w:rPr>
          <w:rFonts w:ascii="Arial" w:cs="Arial" w:eastAsia="Arial" w:hAnsi="Arial"/>
          <w:sz w:val="17"/>
          <w:szCs w:val="17"/>
          <w:color w:val="auto"/>
        </w:rPr>
        <w:t xml:space="preserve"> in Notes to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loans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ACL represents an amount, which, in management’s judgment, reflects expected credit losses in the loan portfolio at the balance sheet date. The estimate for expected credit losses is based on the evaluation of the size and current risk characteristics of the loan portfolio, past events, current conditions, reasonable and supportable forecasts of future economic conditions, and prepayment experience as related to credit contractual term information. The ACL is measured and recorded upon the initial recognition of a financial asset. The ACL is reduced by charge-offs, net of recoveries of previous losses, and is increased or decreased by a provision for (or recapture of) credit losses, which is recorded in the Consolidated Statements of Income.</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for expected credit losses is determined based on a quantitative assessment of two categories of loans: collectively evaluated loans and individually evaluated loans. In addition, the ACL also includes a qualitative component which adjusts the CECL model for risk factors that are not considered within the CECL model, but are relevant in assessing the expected credit losses within the loan portfolio.</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using a remaining useful life or weighted average remaining maturity (“WARM”) methodology to estimate its current expected credit losses. For purposes of calculating reserves in collectively evaluated loans, the ACL calculation segments the Company’s loan portfolio using federal call codes to group loans which share similar risk characteristics. In order to generate reasonable and supportable forecasts of loss rates over a two-year period, the ACL calculation utilizes macroeconomic variable loss drivers, which may include aggregate macroeconomic indicators pertaining to such items as equity market conditions or interest rates, as well as other variables that are portfolio-specific,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as those that pertain to the commercial real estate or residential loan portfolios. A straight-line reversion technique is used for the following four quarters, and in following quarters, the ACL calculation reverts to historical average loss rates.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Many of these qualitative risk factors considered by management are comparable to legacy factors prior to the adoption of CECL and include the following:</w:t>
      </w:r>
    </w:p>
    <w:p>
      <w:pPr>
        <w:spacing w:after="0" w:line="21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Nature and volume of loans;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Concentrations of credit;</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Delinquency trends;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 ability, and depth of management and lending staff;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of loan review system.</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Loans that do not share similar risk characteristics are evaluated on an individual basis and are excluded from the collective evaluation for the ACL. Loans identified to be individually evaluated under CECL include loans on non-accrual status and may include accruing loans that do not share similar risk characteristics to other accruing loans collectively evaluated. A specific reserve analysis is applied to the individually evaluated loans, which considers collateral value, an observable market price, or the present value of the expected future cash flows. A specific reserve may be assigned if the measured value of the loan using one of the before mentioned methods is less than the current carrying value of the loan.</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CECL, for collateral-dependent loans, the Company has adopted the practical expedient to measure the ACL based on the fair value of the collateral. A loan is considered collateral-dependent when the Company determines foreclosure is probable or the borrower is experiencing financial difficulty and the Company expects repayment to be provided substantially through the operation or sale of the collateral. Collateral could be in the form of real estate, equipment, or business assets. An ACL may result for a collateral-dependent loan if the fair value of the underlying collateral, as of the reporting date, adjusted for expected costs to repair or sell, was less than the amortized cost basis of the loan. If repayment of the loan is instead dependent only on the operation, rather than the sale of the collateral, the measure of the ACL does not incorporate estimated costs to sell. For loans analyzed on the basis of projected future principal and interest cash flows, the Company will discount the expected cash flows at the effective interest rate of the loan, and an ACL would result if the present value of the expected cash flows was less than the amortized cost basis of the loan. When the discounted cash flow method is used to determine the ACL, management does not adjust the effective interest rate used to discount cash flows to incorporate expected prepayments.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on off-balance sheet credit exposures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 quarterly basis, the Company estimates expected credit losses over the contractual period in which the Company is exposed to credit risk via a contractual obligation to extend credit, unless that obligation is unconditionally cancellable by the Company. The ACL on off-balance sheet credit exposures is adjusted through the provision for credit losses on the Consolidated Statements of Income. The estimate includes consideration of the likelihood that funding will occur and an estimate of expected credit losses on commitments expected to be funded over its estimated life by loan segment at each balance sheet date under the CECL model using the same methodology as the loan portfolio. The ACL for unfunded commitments is included in accrued interest and other liabilities on the Company’s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Interest Receivable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elected to exclude accrued interest from the amortized cost basis in its determination of the ACL and elected the policy to write-off accrued interest receivable directly through the reversal of interest income. Accrued interest receivable totaled $7.7 million on loans and totaled $7.4 million on AFS securities at June 30, 2023, and is included in accrued interest receivable on the Company’s Consolidated Balance Sheets.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AFS securities and their approximate fair values at June 30, 2023, and December 31, 2022, are summarized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Amortized Cost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Gross Unrealized Gains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53"/>
              <w:spacing w:after="0" w:line="129"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197,592</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22,195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175,397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455,862</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41,990</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296,104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36,086</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76,611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74,479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1,402,600</w:t>
            </w:r>
          </w:p>
        </w:tc>
        <w:tc>
          <w:tcPr>
            <w:tcW w:w="12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150,479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1,252,190</w:t>
            </w:r>
          </w:p>
        </w:tc>
        <w:tc>
          <w:tcPr>
            <w:tcW w:w="0" w:type="dxa"/>
            <w:vAlign w:val="bottom"/>
          </w:tcPr>
          <w:p>
            <w:pPr>
              <w:spacing w:after="0"/>
              <w:rPr>
                <w:sz w:val="1"/>
                <w:szCs w:val="1"/>
                <w:color w:val="auto"/>
              </w:rPr>
            </w:pPr>
          </w:p>
        </w:tc>
      </w:tr>
      <w:tr>
        <w:trPr>
          <w:trHeight w:val="447"/>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Amortized Cost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113"/>
              <w:spacing w:after="0" w:line="133" w:lineRule="exact"/>
              <w:rPr>
                <w:sz w:val="20"/>
                <w:szCs w:val="20"/>
                <w:color w:val="auto"/>
              </w:rPr>
            </w:pPr>
            <w:r>
              <w:rPr>
                <w:rFonts w:ascii="Arial" w:cs="Arial" w:eastAsia="Arial" w:hAnsi="Arial"/>
                <w:sz w:val="14"/>
                <w:szCs w:val="14"/>
                <w:b w:val="1"/>
                <w:bCs w:val="1"/>
                <w:color w:val="auto"/>
                <w:w w:val="95"/>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198,154</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23,161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174,993</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550,590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453,907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53,061</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59,933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183,299</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101,791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98,626</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1,371,757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and December 31, 2022, AFS securities with amortized costs of $834.8 million and $637.1 million, respectively, and with estimated fair values of $735.5 million and $552.5 million, respectively, were pledged to serve as collateral for secured borrowings, derivative exposures, or to secure public deposits as required or permitted by law.</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realized gains, realized losses, and proceeds from the sales of securities for the six months ended June 30, 2023, and June 30,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2022</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securities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87,033</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benefit (provision) related to these net realized gains and losses for June 30, 2023, and June 30, 2022, was $23.3 thousand, and ($21.8) thousand, respectively.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maturities of AFS securities at June 30, 2023,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June 30, 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One Year or Less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One to Five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Five to Ten Years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After Ten 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40,637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127,244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197,592</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538,194</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47,340</w:t>
            </w: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323,519</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37,558</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172,286</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76,611</w:t>
            </w:r>
          </w:p>
        </w:tc>
      </w:tr>
      <w:tr>
        <w:trPr>
          <w:trHeight w:val="22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40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105,665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463,737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615,595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217,603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1,402,600</w:t>
            </w:r>
          </w:p>
        </w:tc>
      </w:tr>
      <w:tr>
        <w:trPr>
          <w:trHeight w:val="447"/>
        </w:trPr>
        <w:tc>
          <w:tcPr>
            <w:tcW w:w="40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June 30, 2023</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One Year or Less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One to Five Years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Five to Ten 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After Ten Years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28,835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35,757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110,805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175,397</w:t>
            </w: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279,357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455,862</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41,990</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296,104</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36,086</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74,479</w:t>
            </w: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w:t>
            </w:r>
          </w:p>
        </w:tc>
      </w:tr>
      <w:tr>
        <w:trPr>
          <w:trHeight w:val="223"/>
        </w:trPr>
        <w:tc>
          <w:tcPr>
            <w:tcW w:w="40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538,874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1,252,190</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and December 31, 2022, there were no holdings of securities of any one issuer, other than the U.S. Government and its agencies, in any amount greater than 10% of shareholders’ equity.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the gross unrealized losses and fair value of the Company’s securities with unrealized losses aggregated by investment category and length of time that individual securities have been in a continuous unrealized loss position at June 30, 2023, and December 31, 2022.</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AFS securities in a continuous unrealized loss position for less than twelve months and more than twelve months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More Than Twelve Months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3"/>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1"/>
                <w:szCs w:val="11"/>
                <w:color w:val="auto"/>
              </w:rPr>
            </w:pPr>
          </w:p>
        </w:tc>
        <w:tc>
          <w:tcPr>
            <w:tcW w:w="1220" w:type="dxa"/>
            <w:vAlign w:val="bottom"/>
          </w:tcPr>
          <w:p>
            <w:pPr>
              <w:jc w:val="center"/>
              <w:ind w:right="33"/>
              <w:spacing w:after="0" w:line="136" w:lineRule="exact"/>
              <w:rPr>
                <w:sz w:val="20"/>
                <w:szCs w:val="20"/>
                <w:color w:val="auto"/>
              </w:rPr>
            </w:pPr>
            <w:r>
              <w:rPr>
                <w:rFonts w:ascii="Arial" w:cs="Arial" w:eastAsia="Arial" w:hAnsi="Arial"/>
                <w:sz w:val="14"/>
                <w:szCs w:val="14"/>
                <w:b w:val="1"/>
                <w:bCs w:val="1"/>
                <w:color w:val="auto"/>
                <w:w w:val="94"/>
              </w:rPr>
              <w:t>Total Unrealized</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175,397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22,195</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73,774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1,169,095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144,457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150,479</w:t>
            </w:r>
          </w:p>
        </w:tc>
        <w:tc>
          <w:tcPr>
            <w:tcW w:w="0" w:type="dxa"/>
            <w:vAlign w:val="bottom"/>
          </w:tcPr>
          <w:p>
            <w:pPr>
              <w:spacing w:after="0"/>
              <w:rPr>
                <w:sz w:val="1"/>
                <w:szCs w:val="1"/>
                <w:color w:val="auto"/>
              </w:rPr>
            </w:pPr>
          </w:p>
        </w:tc>
      </w:tr>
      <w:tr>
        <w:trPr>
          <w:trHeight w:val="454"/>
        </w:trPr>
        <w:tc>
          <w:tcPr>
            <w:tcW w:w="40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More Than Twelve Months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13"/>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1"/>
                <w:szCs w:val="11"/>
                <w:color w:val="auto"/>
              </w:rPr>
            </w:pPr>
          </w:p>
        </w:tc>
        <w:tc>
          <w:tcPr>
            <w:tcW w:w="1220" w:type="dxa"/>
            <w:vAlign w:val="bottom"/>
          </w:tcPr>
          <w:p>
            <w:pPr>
              <w:jc w:val="center"/>
              <w:ind w:right="33"/>
              <w:spacing w:after="0" w:line="136" w:lineRule="exact"/>
              <w:rPr>
                <w:sz w:val="20"/>
                <w:szCs w:val="20"/>
                <w:color w:val="auto"/>
              </w:rPr>
            </w:pPr>
            <w:r>
              <w:rPr>
                <w:rFonts w:ascii="Arial" w:cs="Arial" w:eastAsia="Arial" w:hAnsi="Arial"/>
                <w:sz w:val="14"/>
                <w:szCs w:val="14"/>
                <w:b w:val="1"/>
                <w:bCs w:val="1"/>
                <w:color w:val="auto"/>
                <w:w w:val="94"/>
              </w:rPr>
              <w:t>Total Unrealized</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146,594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23,161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96,695</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165,825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ACL is recorded for the credit loss, limited by the amount that the fair value is less than the amortized cost basis under the CECL standard, and declines due to non-credit factors are recorded in accumulated other comprehensive income (“AOCI”), net of taxes. If a credit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statements of financial condition. Prior to implementation of the CECL standard, unrealized losses caused by a credit event would require the direct write-down of the AFS security through the other-than-temporary impairment approach.</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did not record an ACL on the AFS securities at June 30, 2023. The Company considers the unrealized losses on the AFS securities to be related to fluctuations in market conditions, primarily interest rates, and not reflective of deterioration in credit. The Company had 402 securities in an unrealized loss position as of June 30, 2023. The Company has evaluated AFS securities in an unrealized loss position for credit related impairment at June 30, 2023,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June 30,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the unrealized losses associated with 12 U.S. Treasuries and Government Agency securities, 16 Residential Mortgage Backed – Agency securities, and 16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June 30,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 U.S. States and Municipalities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2023, the unrealized losses associated with 202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June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&amp; Commercial Mortgage Backed – Non-Agency Securities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2023, the unrealized losses associated with 96 Residential Mortgage Backed – Non-Agency securities and 34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Asset-Backed Securities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2023, the unrealized losses associated with 23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June 30, 2023, the unrealized losses associated with 3 securities were primarily driven by interest rates and not the credit quality of the securities. These investments were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June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at cost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investment in Federal Home Loan Bank (“FHLB”) stock totaled $3.9 million and $16.4 million at June 30, 2023, and December 31, 2022,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impaired at June 30, 2023, and no impairment has been recognized. FHLB stock is included in a separate line item Restricted stock, at cost on the Consolidated Balance Sheets and is not part of the Company’s AFS securities portfolio. The Company’s Restricted stock line item on the Consolidated Balance Sheets also includes an investment in Community Bankers’ Bank, totaling $50 thousand at both June 30, 2023, and December 31, 2022, which is carried at cost and is not impaired at June 30,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33" w:lineRule="exact"/>
        <w:rPr>
          <w:sz w:val="20"/>
          <w:szCs w:val="20"/>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Owner-occupied commercial real estate loans carry risk associated with the operations of the business that occupies the property and the value of the collateral.</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&amp; industrial loans carry the risk associated with the operations of the business and the value of the collateral, if 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Consumer non-real estate and other loans carry risk associated with the credit-worthiness of the borrower and the value of the collateral, if 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Loan balances at June 30, 2023, and December 31, 2022, by portfolio segment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right"/>
              <w:ind w:right="39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1,109,315</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Owner-occupied commercial real estate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124,466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127,114</w:t>
            </w: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construction &amp; development</w:t>
            </w: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94,450</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Commercial &amp; industrial</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53,514</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 family residential (1-4 units)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499,362</w:t>
            </w:r>
          </w:p>
        </w:tc>
      </w:tr>
      <w:tr>
        <w:trPr>
          <w:trHeight w:val="24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non-real estate and other</w:t>
            </w: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r>
      <w:tr>
        <w:trPr>
          <w:trHeight w:val="223"/>
        </w:trPr>
        <w:tc>
          <w:tcPr>
            <w:tcW w:w="7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2,000,969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1,887,221</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(21,039)</w:t>
            </w:r>
          </w:p>
        </w:tc>
      </w:tr>
      <w:tr>
        <w:trPr>
          <w:trHeight w:val="23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1,975,050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1,866,182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deferred loan fees included in the above loan categories totaled $3.4 million and $3.3 million at June 30, 2023, and December 31, 2022, respectively. The Company holds $5.7 million and $7.9 million in Paycheck Protection Program (“PPP”) loans, net of deferred fees and costs as of June 30, 2023, and December 31,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January 1, 2023, the Company adopted the CECL methodology as required under ASC 326. The measurement of expected credit losses under the CECL methodology is applicable to financial assets measured at amortized cost, including loan receivables. For further discussion on the Company’s accounting policies and policy elections related to the accounting standards update refer to </w:t>
      </w:r>
      <w:r>
        <w:rPr>
          <w:rFonts w:ascii="Arial" w:cs="Arial" w:eastAsia="Arial" w:hAnsi="Arial"/>
          <w:sz w:val="17"/>
          <w:szCs w:val="17"/>
          <w:u w:val="single" w:color="auto"/>
          <w:color w:val="0000FF"/>
        </w:rPr>
        <w:t>Note 1 - Nature of Business Activities and Significant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Accounting Policies</w:t>
      </w:r>
      <w:r>
        <w:rPr>
          <w:rFonts w:ascii="Arial" w:cs="Arial" w:eastAsia="Arial" w:hAnsi="Arial"/>
          <w:sz w:val="17"/>
          <w:szCs w:val="17"/>
          <w:color w:val="0000FF"/>
        </w:rPr>
        <w:t xml:space="preserve"> </w:t>
      </w:r>
      <w:r>
        <w:rPr>
          <w:rFonts w:ascii="Arial" w:cs="Arial" w:eastAsia="Arial" w:hAnsi="Arial"/>
          <w:sz w:val="17"/>
          <w:szCs w:val="17"/>
          <w:color w:val="000000"/>
        </w:rPr>
        <w:t>in these Notes to Consolidated Financial Statements. All information presented as of June 30, 2023, is in accordance with ASC 326.</w:t>
      </w:r>
      <w:r>
        <w:rPr>
          <w:rFonts w:ascii="Arial" w:cs="Arial" w:eastAsia="Arial" w:hAnsi="Arial"/>
          <w:sz w:val="17"/>
          <w:szCs w:val="17"/>
          <w:color w:val="0000FF"/>
        </w:rPr>
        <w:t xml:space="preserve"> </w:t>
      </w:r>
      <w:r>
        <w:rPr>
          <w:rFonts w:ascii="Arial" w:cs="Arial" w:eastAsia="Arial" w:hAnsi="Arial"/>
          <w:sz w:val="17"/>
          <w:szCs w:val="17"/>
          <w:color w:val="000000"/>
        </w:rPr>
        <w:t>All other information presented prior to January 1, 2023, is in accordance with previous applicable GAAP.</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WARM method. For purposes of estimating the Company’s ACL, management generally evaluates collectively evaluated loans by federal call code in order to group loans with similar risk characteristics.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following tables presents the activity in the ACL, including the impact of the adoption of CECL, for the three months and six months ended June 30, 2023, and the activity for the allowance for loan losses for the three months and six months ended June 30, 2022 (in thousands).</w:t>
      </w:r>
    </w:p>
    <w:tbl>
      <w:tblPr>
        <w:tblLayout w:type="fixed"/>
        <w:tblInd w:w="0" w:type="dxa"/>
        <w:tblCellMar>
          <w:top w:w="0" w:type="dxa"/>
          <w:left w:w="0" w:type="dxa"/>
          <w:bottom w:w="0" w:type="dxa"/>
          <w:right w:w="0" w:type="dxa"/>
        </w:tblCellMar>
      </w:tblPr>
      <w:tr>
        <w:trPr>
          <w:trHeight w:val="127"/>
        </w:trPr>
        <w:tc>
          <w:tcPr>
            <w:tcW w:w="2120" w:type="dxa"/>
            <w:vAlign w:val="bottom"/>
          </w:tcPr>
          <w:p>
            <w:pPr>
              <w:spacing w:after="0"/>
              <w:rPr>
                <w:sz w:val="11"/>
                <w:szCs w:val="11"/>
                <w:color w:val="auto"/>
              </w:rPr>
            </w:pPr>
          </w:p>
        </w:tc>
        <w:tc>
          <w:tcPr>
            <w:tcW w:w="106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4"/>
              </w:rPr>
              <w:t>Commercial real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7"/>
              <w:spacing w:after="0" w:line="128" w:lineRule="exact"/>
              <w:rPr>
                <w:sz w:val="20"/>
                <w:szCs w:val="20"/>
                <w:color w:val="auto"/>
              </w:rPr>
            </w:pPr>
            <w:r>
              <w:rPr>
                <w:rFonts w:ascii="Arial" w:cs="Arial" w:eastAsia="Arial" w:hAnsi="Arial"/>
                <w:sz w:val="13"/>
                <w:szCs w:val="13"/>
                <w:b w:val="1"/>
                <w:bCs w:val="1"/>
                <w:color w:val="auto"/>
                <w:w w:val="86"/>
              </w:rPr>
              <w:t>Owner-occupied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28" w:lineRule="exact"/>
              <w:rPr>
                <w:sz w:val="20"/>
                <w:szCs w:val="20"/>
                <w:color w:val="auto"/>
              </w:rPr>
            </w:pPr>
            <w:r>
              <w:rPr>
                <w:rFonts w:ascii="Arial" w:cs="Arial" w:eastAsia="Arial" w:hAnsi="Arial"/>
                <w:sz w:val="13"/>
                <w:szCs w:val="13"/>
                <w:b w:val="1"/>
                <w:bCs w:val="1"/>
                <w:color w:val="auto"/>
                <w:w w:val="85"/>
              </w:rPr>
              <w:t>Acquisition,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1"/>
              </w:rPr>
              <w:t>Commercial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57"/>
              <w:spacing w:after="0" w:line="128" w:lineRule="exact"/>
              <w:rPr>
                <w:sz w:val="20"/>
                <w:szCs w:val="20"/>
                <w:color w:val="auto"/>
              </w:rPr>
            </w:pPr>
            <w:r>
              <w:rPr>
                <w:rFonts w:ascii="Arial" w:cs="Arial" w:eastAsia="Arial" w:hAnsi="Arial"/>
                <w:sz w:val="13"/>
                <w:szCs w:val="13"/>
                <w:b w:val="1"/>
                <w:bCs w:val="1"/>
                <w:color w:val="auto"/>
                <w:w w:val="87"/>
              </w:rPr>
              <w:t>Single family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28" w:lineRule="exact"/>
              <w:rPr>
                <w:sz w:val="20"/>
                <w:szCs w:val="20"/>
                <w:color w:val="auto"/>
              </w:rPr>
            </w:pPr>
            <w:r>
              <w:rPr>
                <w:rFonts w:ascii="Arial" w:cs="Arial" w:eastAsia="Arial" w:hAnsi="Arial"/>
                <w:sz w:val="13"/>
                <w:szCs w:val="13"/>
                <w:b w:val="1"/>
                <w:bCs w:val="1"/>
                <w:color w:val="auto"/>
                <w:w w:val="87"/>
              </w:rPr>
              <w:t>Consumer non-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88"/>
              </w:rPr>
              <w:t>commercial real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construction &amp;</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85"/>
              </w:rPr>
              <w:t>real estate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estate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development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industrial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other</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4"/>
              </w:rPr>
              <w:t>Unallocated</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June 30,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25,704</w:t>
            </w:r>
          </w:p>
        </w:tc>
        <w:tc>
          <w:tcPr>
            <w:tcW w:w="0" w:type="dxa"/>
            <w:vAlign w:val="bottom"/>
          </w:tcPr>
          <w:p>
            <w:pPr>
              <w:spacing w:after="0"/>
              <w:rPr>
                <w:sz w:val="1"/>
                <w:szCs w:val="1"/>
                <w:color w:val="auto"/>
              </w:rPr>
            </w:pPr>
          </w:p>
        </w:tc>
      </w:tr>
      <w:tr>
        <w:trPr>
          <w:trHeight w:val="134"/>
        </w:trPr>
        <w:tc>
          <w:tcPr>
            <w:tcW w:w="2120" w:type="dxa"/>
            <w:vAlign w:val="bottom"/>
          </w:tcPr>
          <w:p>
            <w:pPr>
              <w:ind w:left="140"/>
              <w:spacing w:after="0" w:line="134" w:lineRule="exact"/>
              <w:rPr>
                <w:sz w:val="20"/>
                <w:szCs w:val="20"/>
                <w:color w:val="auto"/>
              </w:rPr>
            </w:pPr>
            <w:r>
              <w:rPr>
                <w:rFonts w:ascii="Arial" w:cs="Arial" w:eastAsia="Arial" w:hAnsi="Arial"/>
                <w:sz w:val="13"/>
                <w:szCs w:val="13"/>
                <w:color w:val="auto"/>
              </w:rPr>
              <w:t>Provision for (recapture of) credit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18,639</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25,919</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2022</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Balance, beginning of period</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22,773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663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2,316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1,451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1,731</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29,061</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Provision for (recapture of) loan</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(2,538)</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(3,288)</w:t>
            </w:r>
          </w:p>
        </w:tc>
        <w:tc>
          <w:tcPr>
            <w:tcW w:w="0" w:type="dxa"/>
            <w:vAlign w:val="bottom"/>
          </w:tcPr>
          <w:p>
            <w:pPr>
              <w:spacing w:after="0"/>
              <w:rPr>
                <w:sz w:val="1"/>
                <w:szCs w:val="1"/>
                <w:color w:val="auto"/>
              </w:rPr>
            </w:pPr>
          </w:p>
        </w:tc>
      </w:tr>
      <w:tr>
        <w:trPr>
          <w:trHeight w:val="177"/>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15,548</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23,362</w:t>
            </w:r>
          </w:p>
        </w:tc>
        <w:tc>
          <w:tcPr>
            <w:tcW w:w="0" w:type="dxa"/>
            <w:vAlign w:val="bottom"/>
          </w:tcPr>
          <w:p>
            <w:pPr>
              <w:spacing w:after="0"/>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Owner-occupied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Acquisition,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Single family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Consumer non-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060" w:type="dxa"/>
            <w:vAlign w:val="bottom"/>
            <w:gridSpan w:val="2"/>
          </w:tcPr>
          <w:p>
            <w:pPr>
              <w:jc w:val="right"/>
              <w:ind w:right="17"/>
              <w:spacing w:after="0" w:line="126" w:lineRule="exact"/>
              <w:rPr>
                <w:sz w:val="20"/>
                <w:szCs w:val="20"/>
                <w:color w:val="auto"/>
              </w:rPr>
            </w:pPr>
            <w:r>
              <w:rPr>
                <w:rFonts w:ascii="Arial" w:cs="Arial" w:eastAsia="Arial" w:hAnsi="Arial"/>
                <w:sz w:val="13"/>
                <w:szCs w:val="13"/>
                <w:b w:val="1"/>
                <w:bCs w:val="1"/>
                <w:color w:val="auto"/>
                <w:w w:val="94"/>
              </w:rPr>
              <w:t>Commercial real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88"/>
              </w:rPr>
              <w:t>commercial real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87"/>
              </w:rPr>
              <w:t>construction &amp;</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77"/>
              <w:spacing w:after="0" w:line="126" w:lineRule="exact"/>
              <w:rPr>
                <w:sz w:val="20"/>
                <w:szCs w:val="20"/>
                <w:color w:val="auto"/>
              </w:rPr>
            </w:pPr>
            <w:r>
              <w:rPr>
                <w:rFonts w:ascii="Arial" w:cs="Arial" w:eastAsia="Arial" w:hAnsi="Arial"/>
                <w:sz w:val="13"/>
                <w:szCs w:val="13"/>
                <w:b w:val="1"/>
                <w:bCs w:val="1"/>
                <w:color w:val="auto"/>
                <w:w w:val="91"/>
              </w:rPr>
              <w:t>Commercial &amp;</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85"/>
              </w:rPr>
              <w:t>real estate and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4"/>
              </w:rPr>
              <w:t>Unallocated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estate</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estate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development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industrial</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units)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Six months ended</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June 30,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w w:val="99"/>
              </w:rPr>
              <w:t>Beginning balance, prior to adoption</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CECL</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21,039</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Impact of the adoption of CECL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4,125</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rPr>
              <w:t>Provision for (recapture of) credit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168"/>
        </w:trPr>
        <w:tc>
          <w:tcPr>
            <w:tcW w:w="2120" w:type="dxa"/>
            <w:vAlign w:val="bottom"/>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18,639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25,919</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June 30, 2022</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25,112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2,434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3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31,709</w:t>
            </w:r>
          </w:p>
        </w:tc>
        <w:tc>
          <w:tcPr>
            <w:tcW w:w="0" w:type="dxa"/>
            <w:vAlign w:val="bottom"/>
          </w:tcPr>
          <w:p>
            <w:pPr>
              <w:spacing w:after="0"/>
              <w:rPr>
                <w:sz w:val="1"/>
                <w:szCs w:val="1"/>
                <w:color w:val="auto"/>
              </w:rPr>
            </w:pPr>
          </w:p>
        </w:tc>
      </w:tr>
      <w:tr>
        <w:trPr>
          <w:trHeight w:val="122"/>
        </w:trPr>
        <w:tc>
          <w:tcPr>
            <w:tcW w:w="2120" w:type="dxa"/>
            <w:vAlign w:val="bottom"/>
          </w:tcPr>
          <w:p>
            <w:pPr>
              <w:ind w:left="140"/>
              <w:spacing w:after="0" w:line="122" w:lineRule="exact"/>
              <w:rPr>
                <w:sz w:val="20"/>
                <w:szCs w:val="20"/>
                <w:color w:val="auto"/>
              </w:rPr>
            </w:pPr>
            <w:r>
              <w:rPr>
                <w:rFonts w:ascii="Arial" w:cs="Arial" w:eastAsia="Arial" w:hAnsi="Arial"/>
                <w:sz w:val="13"/>
                <w:szCs w:val="13"/>
                <w:color w:val="auto"/>
              </w:rPr>
              <w:t>Provision for (recapture of) loan</w:t>
            </w:r>
          </w:p>
        </w:tc>
        <w:tc>
          <w:tcPr>
            <w:tcW w:w="2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(6,289)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(1,079)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(5,176)</w:t>
            </w:r>
          </w:p>
        </w:tc>
        <w:tc>
          <w:tcPr>
            <w:tcW w:w="0" w:type="dxa"/>
            <w:vAlign w:val="bottom"/>
          </w:tcPr>
          <w:p>
            <w:pPr>
              <w:spacing w:after="0"/>
              <w:rPr>
                <w:sz w:val="1"/>
                <w:szCs w:val="1"/>
                <w:color w:val="auto"/>
              </w:rPr>
            </w:pPr>
          </w:p>
        </w:tc>
      </w:tr>
      <w:tr>
        <w:trPr>
          <w:trHeight w:val="168"/>
        </w:trPr>
        <w:tc>
          <w:tcPr>
            <w:tcW w:w="2120" w:type="dxa"/>
            <w:vAlign w:val="bottom"/>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(3,282)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(3,357)</w:t>
            </w:r>
          </w:p>
        </w:tc>
        <w:tc>
          <w:tcPr>
            <w:tcW w:w="0" w:type="dxa"/>
            <w:vAlign w:val="bottom"/>
          </w:tcPr>
          <w:p>
            <w:pPr>
              <w:spacing w:after="0"/>
              <w:rPr>
                <w:sz w:val="1"/>
                <w:szCs w:val="1"/>
                <w:color w:val="auto"/>
              </w:rPr>
            </w:pPr>
          </w:p>
        </w:tc>
      </w:tr>
      <w:tr>
        <w:trPr>
          <w:trHeight w:val="169"/>
        </w:trPr>
        <w:tc>
          <w:tcPr>
            <w:tcW w:w="212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74"/>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in the table below is not required for periods after the adoption of CECL. The following table summarizes the allowance for loan losses and the recorded investment in loans by portfolio segment and based on the impairment method (individually or collectively evaluated for impairment) as of December 31, 2022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06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4"/>
              </w:rPr>
              <w:t>Commercial real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Owner-occupied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Acquisition,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3"/>
              </w:rPr>
              <w:t>Commercial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Single family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Consumer non-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6"/>
              </w:rPr>
              <w:t>commercial real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construction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5"/>
              </w:rPr>
              <w:t>real estate and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development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industrial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other</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Unallocated</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Allowance for loan losses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Individually evaluated for</w:t>
            </w: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gridSpan w:val="2"/>
            <w:vMerge w:val="continue"/>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32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ind w:left="140"/>
              <w:spacing w:after="0" w:line="122" w:lineRule="exact"/>
              <w:rPr>
                <w:sz w:val="20"/>
                <w:szCs w:val="20"/>
                <w:color w:val="auto"/>
              </w:rPr>
            </w:pPr>
            <w:r>
              <w:rPr>
                <w:rFonts w:ascii="Arial" w:cs="Arial" w:eastAsia="Arial" w:hAnsi="Arial"/>
                <w:sz w:val="13"/>
                <w:szCs w:val="13"/>
                <w:color w:val="auto"/>
              </w:rPr>
              <w:t>Collectively evaluated for</w:t>
            </w: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15,436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2,082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2,283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20,800</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ending allowance balance</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21,039</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 balance: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20" w:type="dxa"/>
            <w:vAlign w:val="bottom"/>
          </w:tcPr>
          <w:p>
            <w:pPr>
              <w:ind w:left="140"/>
              <w:spacing w:after="0" w:line="122" w:lineRule="exact"/>
              <w:rPr>
                <w:sz w:val="20"/>
                <w:szCs w:val="20"/>
                <w:color w:val="auto"/>
              </w:rPr>
            </w:pPr>
            <w:r>
              <w:rPr>
                <w:rFonts w:ascii="Arial" w:cs="Arial" w:eastAsia="Arial" w:hAnsi="Arial"/>
                <w:sz w:val="13"/>
                <w:szCs w:val="13"/>
                <w:color w:val="auto"/>
              </w:rPr>
              <w:t>Individually evaluated for</w:t>
            </w: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331</w:t>
            </w: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2,580</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6,158</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9,069</w:t>
            </w:r>
          </w:p>
        </w:tc>
        <w:tc>
          <w:tcPr>
            <w:tcW w:w="0" w:type="dxa"/>
            <w:vAlign w:val="bottom"/>
          </w:tcPr>
          <w:p>
            <w:pPr>
              <w:spacing w:after="0"/>
              <w:rPr>
                <w:sz w:val="1"/>
                <w:szCs w:val="1"/>
                <w:color w:val="auto"/>
              </w:rPr>
            </w:pPr>
          </w:p>
        </w:tc>
      </w:tr>
      <w:tr>
        <w:trPr>
          <w:trHeight w:val="160"/>
        </w:trPr>
        <w:tc>
          <w:tcPr>
            <w:tcW w:w="2120" w:type="dxa"/>
            <w:vAlign w:val="bottom"/>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12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Collectively evaluated for</w:t>
            </w:r>
          </w:p>
        </w:tc>
        <w:tc>
          <w:tcPr>
            <w:tcW w:w="2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1,108,984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124,534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493,204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3,466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1,878,152</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160"/>
              <w:spacing w:after="0"/>
              <w:rPr>
                <w:sz w:val="20"/>
                <w:szCs w:val="20"/>
                <w:color w:val="auto"/>
              </w:rPr>
            </w:pPr>
            <w:r>
              <w:rPr>
                <w:rFonts w:ascii="Arial" w:cs="Arial" w:eastAsia="Arial" w:hAnsi="Arial"/>
                <w:sz w:val="13"/>
                <w:szCs w:val="13"/>
                <w:color w:val="auto"/>
              </w:rPr>
              <w:t>Total ending loan balance</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1,109,315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499,362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3,466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1,887,221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adoption of CECL, loans were considered impaired when, based on current information and events as of the measurement date, it was probable the Company would be unable to collect all amounts due in accordance with the original contractual terms of the loan agreements. Impaired loans included loans on non-accrual status and accruing TDRs. When determining if the Company would be unable to collect all principal and interest payments due in accordance with the contractual terms of the loan agreement, the Company considered the borrower’s capacity to pay, which included such factors as the borrower’s current financial statements, an analysis of the global cash flow sufficient to pay all debt obligations, and an evaluation of secondary sources of repayment, such as guarantor support and collateral value.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impaired loans (in thousands) by portfolio segment as of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9"/>
              </w:rPr>
              <w:t>Recorded Investment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b w:val="1"/>
                <w:bCs w:val="1"/>
                <w:color w:val="auto"/>
                <w:w w:val="91"/>
              </w:rPr>
              <w:t>Unpaid Principal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7"/>
              </w:rPr>
              <w:t>Related Allowance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b w:val="1"/>
                <w:bCs w:val="1"/>
                <w:color w:val="auto"/>
                <w:w w:val="85"/>
              </w:rPr>
              <w:t>Average Recorded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97"/>
              <w:spacing w:after="0"/>
              <w:rPr>
                <w:sz w:val="20"/>
                <w:szCs w:val="20"/>
                <w:color w:val="auto"/>
              </w:rPr>
            </w:pPr>
            <w:r>
              <w:rPr>
                <w:rFonts w:ascii="Arial" w:cs="Arial" w:eastAsia="Arial" w:hAnsi="Arial"/>
                <w:sz w:val="13"/>
                <w:szCs w:val="13"/>
                <w:b w:val="1"/>
                <w:bCs w:val="1"/>
                <w:color w:val="auto"/>
                <w:w w:val="93"/>
              </w:rPr>
              <w:t>Interest Income</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95"/>
              </w:rPr>
              <w:t xml:space="preserve">Recognized </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December 31, 2022</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Pr>
          <w:p>
            <w:pPr>
              <w:ind w:left="20"/>
              <w:spacing w:after="0"/>
              <w:rPr>
                <w:sz w:val="20"/>
                <w:szCs w:val="20"/>
                <w:color w:val="auto"/>
              </w:rPr>
            </w:pPr>
            <w:r>
              <w:rPr>
                <w:rFonts w:ascii="Arial" w:cs="Arial" w:eastAsia="Arial" w:hAnsi="Arial"/>
                <w:sz w:val="13"/>
                <w:szCs w:val="13"/>
                <w:color w:val="auto"/>
              </w:rPr>
              <w:t>With no related allowance recorded:</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real estate</w:t>
            </w:r>
          </w:p>
        </w:tc>
        <w:tc>
          <w:tcPr>
            <w:tcW w:w="5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Owner-occupied commercial real estate</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7"/>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Acquisition, construction &amp; development</w:t>
            </w:r>
          </w:p>
        </w:tc>
        <w:tc>
          <w:tcPr>
            <w:tcW w:w="5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Commercial &amp; industrial</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Single family residential (1-4 units)</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Consumer non-real estate and other</w:t>
            </w: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 an allowance recorded:</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Commercial real estate</w:t>
            </w: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331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350</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7"/>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Owner-occupied commercial real estate</w:t>
            </w:r>
          </w:p>
        </w:tc>
        <w:tc>
          <w:tcPr>
            <w:tcW w:w="5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Acquisition, construction &amp; development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&amp; industrial</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Single family residential (1-4 units)</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Consumer non-real estate and other</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540" w:type="dxa"/>
            <w:vAlign w:val="bottom"/>
          </w:tcPr>
          <w:p>
            <w:pPr>
              <w:ind w:left="460"/>
              <w:spacing w:after="0"/>
              <w:rPr>
                <w:sz w:val="20"/>
                <w:szCs w:val="20"/>
                <w:color w:val="auto"/>
              </w:rPr>
            </w:pPr>
            <w:r>
              <w:rPr>
                <w:rFonts w:ascii="Arial" w:cs="Arial" w:eastAsia="Arial" w:hAnsi="Arial"/>
                <w:sz w:val="13"/>
                <w:szCs w:val="13"/>
                <w:color w:val="auto"/>
              </w:rPr>
              <w:t>Subtotal</w:t>
            </w:r>
          </w:p>
        </w:tc>
        <w:tc>
          <w:tcPr>
            <w:tcW w:w="5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Cash basis interest income recognized approximates interest income recognized shown as of the twelve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recorded investment in loans excludes accrued interest receivable and loan origination fees, net due to immateriality. The following table presents the aging of the recorded investment in past due loans as of June 30, 2023, and December 31, 2022, by portfolio segment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30"/>
        </w:trPr>
        <w:tc>
          <w:tcPr>
            <w:tcW w:w="2500" w:type="dxa"/>
            <w:vAlign w:val="bottom"/>
          </w:tcPr>
          <w:p>
            <w:pPr>
              <w:spacing w:after="0"/>
              <w:rPr>
                <w:sz w:val="11"/>
                <w:szCs w:val="11"/>
                <w:color w:val="auto"/>
              </w:rPr>
            </w:pPr>
          </w:p>
        </w:tc>
        <w:tc>
          <w:tcPr>
            <w:tcW w:w="100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w w:val="88"/>
              </w:rPr>
              <w:t>30 - 59 Days Past</w:t>
            </w:r>
          </w:p>
        </w:tc>
        <w:tc>
          <w:tcPr>
            <w:tcW w:w="10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w w:val="86"/>
              </w:rPr>
              <w:t>60 - 89 Days Past</w:t>
            </w:r>
          </w:p>
        </w:tc>
        <w:tc>
          <w:tcPr>
            <w:tcW w:w="10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w w:val="91"/>
              </w:rPr>
              <w:t>90 Days or More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w w:val="86"/>
              </w:rPr>
              <w:t>90 Days Past Due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97"/>
              <w:spacing w:after="0" w:line="131" w:lineRule="exact"/>
              <w:rPr>
                <w:sz w:val="20"/>
                <w:szCs w:val="20"/>
                <w:color w:val="auto"/>
              </w:rPr>
            </w:pPr>
            <w:r>
              <w:rPr>
                <w:rFonts w:ascii="Arial" w:cs="Arial" w:eastAsia="Arial" w:hAnsi="Arial"/>
                <w:sz w:val="13"/>
                <w:szCs w:val="13"/>
                <w:b w:val="1"/>
                <w:bCs w:val="1"/>
                <w:color w:val="auto"/>
                <w:w w:val="93"/>
              </w:rPr>
              <w:t>Non-accrual</w:t>
            </w:r>
          </w:p>
        </w:tc>
      </w:tr>
      <w:tr>
        <w:trPr>
          <w:trHeight w:val="174"/>
        </w:trPr>
        <w:tc>
          <w:tcPr>
            <w:tcW w:w="2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Due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Due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Past Due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6"/>
              </w:rPr>
              <w:t>Total Past Due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Current Loans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Total Loans</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&amp; Still Accruing</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loans</w:t>
            </w:r>
          </w:p>
        </w:tc>
      </w:tr>
      <w:tr>
        <w:trPr>
          <w:trHeight w:val="176"/>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1,198,840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1,198,840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500" w:type="dxa"/>
            <w:vAlign w:val="bottom"/>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122,920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124,466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1,066</w:t>
            </w:r>
          </w:p>
        </w:tc>
      </w:tr>
      <w:tr>
        <w:trPr>
          <w:trHeight w:val="29"/>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92,730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59,142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522,737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522,944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1,857</w:t>
            </w:r>
          </w:p>
        </w:tc>
      </w:tr>
      <w:tr>
        <w:trPr>
          <w:trHeight w:val="169"/>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1,999,174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2,000,969</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2,923</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0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88"/>
              </w:rPr>
              <w:t>30 - 59 Days Past</w:t>
            </w:r>
          </w:p>
        </w:tc>
        <w:tc>
          <w:tcPr>
            <w:tcW w:w="10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w w:val="86"/>
              </w:rPr>
              <w:t>60 - 89 Days Past</w:t>
            </w:r>
          </w:p>
        </w:tc>
        <w:tc>
          <w:tcPr>
            <w:tcW w:w="100" w:type="dxa"/>
            <w:vAlign w:val="bottom"/>
          </w:tcPr>
          <w:p>
            <w:pPr>
              <w:spacing w:after="0"/>
              <w:rPr>
                <w:sz w:val="10"/>
                <w:szCs w:val="10"/>
                <w:color w:val="auto"/>
              </w:rPr>
            </w:pPr>
          </w:p>
        </w:tc>
        <w:tc>
          <w:tcPr>
            <w:tcW w:w="98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1"/>
              </w:rPr>
              <w:t>90 Days or More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6"/>
              </w:rPr>
              <w:t>Total Past Due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2"/>
              </w:rPr>
              <w:t>Current Loans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0"/>
              </w:rPr>
              <w:t>Total Loans</w:t>
            </w:r>
          </w:p>
        </w:tc>
        <w:tc>
          <w:tcPr>
            <w:tcW w:w="10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w w:val="86"/>
              </w:rPr>
              <w:t>90 Days Past Due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Arial" w:cs="Arial" w:eastAsia="Arial" w:hAnsi="Arial"/>
                <w:sz w:val="13"/>
                <w:szCs w:val="13"/>
                <w:b w:val="1"/>
                <w:bCs w:val="1"/>
                <w:color w:val="auto"/>
                <w:w w:val="93"/>
              </w:rPr>
              <w:t>Non-accrual</w:t>
            </w: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317"/>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Past Due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&amp; Still Accruing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97"/>
              <w:spacing w:after="0"/>
              <w:rPr>
                <w:sz w:val="20"/>
                <w:szCs w:val="20"/>
                <w:color w:val="auto"/>
              </w:rPr>
            </w:pPr>
            <w:r>
              <w:rPr>
                <w:rFonts w:ascii="Arial" w:cs="Arial" w:eastAsia="Arial" w:hAnsi="Arial"/>
                <w:sz w:val="13"/>
                <w:szCs w:val="13"/>
                <w:b w:val="1"/>
                <w:bCs w:val="1"/>
                <w:color w:val="auto"/>
              </w:rPr>
              <w:t>loans</w:t>
            </w:r>
          </w:p>
        </w:tc>
        <w:tc>
          <w:tcPr>
            <w:tcW w:w="0" w:type="dxa"/>
            <w:vAlign w:val="bottom"/>
          </w:tcPr>
          <w:p>
            <w:pPr>
              <w:spacing w:after="0"/>
              <w:rPr>
                <w:sz w:val="1"/>
                <w:szCs w:val="1"/>
                <w:color w:val="auto"/>
              </w:rPr>
            </w:pPr>
          </w:p>
        </w:tc>
      </w:tr>
      <w:tr>
        <w:trPr>
          <w:trHeight w:val="25"/>
        </w:trPr>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1,109,315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1,109,315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17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Acquisition, construction &amp; development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497,259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499,362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4,313</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Consumer non-real estate and other</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1,885,114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1,887,221</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5,497</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Indicators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w:t>
      </w:r>
      <w:r>
        <w:rPr>
          <w:rFonts w:ascii="Arial" w:cs="Arial" w:eastAsia="Arial" w:hAnsi="Arial"/>
          <w:sz w:val="18"/>
          <w:szCs w:val="18"/>
          <w:color w:val="auto"/>
        </w:rPr>
        <w:t>: These include satisfactory loans that have acceptable levels of risk.</w:t>
      </w:r>
    </w:p>
    <w:p>
      <w:pPr>
        <w:spacing w:after="0" w:line="17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Special Mention</w:t>
      </w:r>
      <w:r>
        <w:rPr>
          <w:rFonts w:ascii="Arial" w:cs="Arial" w:eastAsia="Arial" w:hAnsi="Arial"/>
          <w:sz w:val="16"/>
          <w:szCs w:val="16"/>
          <w:color w:val="auto"/>
        </w:rPr>
        <w:t>: Loans classified as special mention have a potential credit weakness that deserves management’s close attention. If left uncorrected,</w:t>
      </w:r>
      <w:r>
        <w:rPr>
          <w:rFonts w:ascii="Arial" w:cs="Arial" w:eastAsia="Arial" w:hAnsi="Arial"/>
          <w:sz w:val="16"/>
          <w:szCs w:val="16"/>
          <w:b w:val="1"/>
          <w:bCs w:val="1"/>
          <w:color w:val="auto"/>
        </w:rPr>
        <w:t xml:space="preserve"> </w:t>
      </w:r>
      <w:r>
        <w:rPr>
          <w:rFonts w:ascii="Arial" w:cs="Arial" w:eastAsia="Arial" w:hAnsi="Arial"/>
          <w:sz w:val="16"/>
          <w:szCs w:val="16"/>
          <w:color w:val="auto"/>
        </w:rPr>
        <w:t>these potential weaknesses may result in deterioration of the repayment prospects for the loan or of the institution’s credit position at some future date.</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Substandard</w:t>
      </w:r>
      <w:r>
        <w:rPr>
          <w:rFonts w:ascii="Arial" w:cs="Arial" w:eastAsia="Arial" w:hAnsi="Arial"/>
          <w:sz w:val="18"/>
          <w:szCs w:val="18"/>
          <w:color w:val="auto"/>
        </w:rPr>
        <w:t>: Loans classified as substandard have a well-defined weakness or weaknesses that jeopardize the orderly liquidation of debt. Loans 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2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Doubtful</w:t>
      </w:r>
      <w:r>
        <w:rPr>
          <w:rFonts w:ascii="Arial" w:cs="Arial" w:eastAsia="Arial" w:hAnsi="Arial"/>
          <w:sz w:val="17"/>
          <w:szCs w:val="17"/>
          <w:color w:val="auto"/>
        </w:rPr>
        <w:t>: Loans classified as doubtful have all the weaknesses inherent in those classified as substandard, with the added characteristic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weaknesses make collection or liquidation in full, on the basis of currently existing facts, conditions, and values, highly questionable and unlikely.</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Loss</w:t>
      </w:r>
      <w:r>
        <w:rPr>
          <w:rFonts w:ascii="Arial" w:cs="Arial" w:eastAsia="Arial" w:hAnsi="Arial"/>
          <w:sz w:val="18"/>
          <w:szCs w:val="18"/>
          <w:color w:val="auto"/>
        </w:rPr>
        <w:t>: Loans classified as a loss are considered to be uncollectible and cannot be justified to continue as viable assets. While there may be the possibility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some recovery in the future, it is not practical or desirable to defer writing off these loans at the present time.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amortized cost basis of the loan portfolio, by year of origination, loan class, and credit quality, as of June 30, 2023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Term Loans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31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Revolving Loans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r>
      <w:tr>
        <w:trPr>
          <w:trHeight w:val="29"/>
        </w:trPr>
        <w:tc>
          <w:tcPr>
            <w:tcW w:w="2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6"/>
        </w:trPr>
        <w:tc>
          <w:tcPr>
            <w:tcW w:w="23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Commercial real estate</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0"/>
        </w:trPr>
        <w:tc>
          <w:tcPr>
            <w:tcW w:w="234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109,677</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268,807</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170,100</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15,736</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75,506</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422,563</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4,975</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1,067,364</w:t>
            </w:r>
          </w:p>
        </w:tc>
      </w:tr>
      <w:tr>
        <w:trPr>
          <w:trHeight w:val="29"/>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5"/>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71,843</w:t>
            </w: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49,166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59,633</w:t>
            </w:r>
          </w:p>
        </w:tc>
      </w:tr>
      <w:tr>
        <w:trPr>
          <w:trHeight w:val="177"/>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4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109,677</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284,407</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217,324</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24,134</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84,288</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474,035</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1,198,840</w:t>
            </w:r>
          </w:p>
        </w:tc>
      </w:tr>
      <w:tr>
        <w:trPr>
          <w:trHeight w:val="157"/>
        </w:trPr>
        <w:tc>
          <w:tcPr>
            <w:tcW w:w="23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69"/>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23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75"/>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2,569</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29,761</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9,622</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15,225</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13,021</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44,538</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4,535</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119,271</w:t>
            </w:r>
          </w:p>
        </w:tc>
      </w:tr>
      <w:tr>
        <w:trPr>
          <w:trHeight w:val="177"/>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5,195</w:t>
            </w:r>
          </w:p>
        </w:tc>
      </w:tr>
      <w:tr>
        <w:trPr>
          <w:trHeight w:val="183"/>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30,300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9,622</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15,225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13,021</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49,194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124,466</w:t>
            </w:r>
          </w:p>
        </w:tc>
      </w:tr>
      <w:tr>
        <w:trPr>
          <w:trHeight w:val="162"/>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69"/>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9"/>
              </w:rPr>
              <w:t>Acquisition, construction &amp; 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2,941</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26,843</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14,504</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23,960</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1,610</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69,858</w:t>
            </w:r>
          </w:p>
        </w:tc>
      </w:tr>
      <w:tr>
        <w:trPr>
          <w:trHeight w:val="183"/>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w:t>
            </w:r>
          </w:p>
        </w:tc>
      </w:tr>
      <w:tr>
        <w:trPr>
          <w:trHeight w:val="160"/>
        </w:trPr>
        <w:tc>
          <w:tcPr>
            <w:tcW w:w="234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22,093</w:t>
            </w:r>
          </w:p>
        </w:tc>
      </w:tr>
      <w:tr>
        <w:trPr>
          <w:trHeight w:val="29"/>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5"/>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234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26,843</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14,504</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46,053</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92,730</w:t>
            </w:r>
          </w:p>
        </w:tc>
      </w:tr>
      <w:tr>
        <w:trPr>
          <w:trHeight w:val="148"/>
        </w:trPr>
        <w:tc>
          <w:tcPr>
            <w:tcW w:w="2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83"/>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0"/>
        </w:trPr>
        <w:tc>
          <w:tcPr>
            <w:tcW w:w="234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19,732</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17,575</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8,041</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523</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41</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1,595</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11,635</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59,142</w:t>
            </w:r>
          </w:p>
        </w:tc>
      </w:tr>
      <w:tr>
        <w:trPr>
          <w:trHeight w:val="29"/>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5"/>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4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19,732</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17,575</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8,041</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11,635</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59,142</w:t>
            </w:r>
          </w:p>
        </w:tc>
      </w:tr>
      <w:tr>
        <w:trPr>
          <w:trHeight w:val="157"/>
        </w:trPr>
        <w:tc>
          <w:tcPr>
            <w:tcW w:w="23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69"/>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2"/>
        </w:trPr>
        <w:tc>
          <w:tcPr>
            <w:tcW w:w="23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55,068</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130,556</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61,981</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32,645</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41,566</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148,187</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51,084</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521,087</w:t>
            </w:r>
          </w:p>
        </w:tc>
      </w:tr>
      <w:tr>
        <w:trPr>
          <w:trHeight w:val="177"/>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1,857</w:t>
            </w:r>
          </w:p>
        </w:tc>
      </w:tr>
      <w:tr>
        <w:trPr>
          <w:trHeight w:val="183"/>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55,068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130,556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62,272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32,897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41,566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149,501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51,084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522,944</w:t>
            </w:r>
          </w:p>
        </w:tc>
      </w:tr>
      <w:tr>
        <w:trPr>
          <w:trHeight w:val="149"/>
        </w:trPr>
        <w:tc>
          <w:tcPr>
            <w:tcW w:w="2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3"/>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 non-real estate and other</w:t>
            </w: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0"/>
        </w:trPr>
        <w:tc>
          <w:tcPr>
            <w:tcW w:w="2380" w:type="dxa"/>
            <w:vAlign w:val="bottom"/>
          </w:tcPr>
          <w:p>
            <w:pPr>
              <w:ind w:left="140"/>
              <w:spacing w:after="0"/>
              <w:rPr>
                <w:sz w:val="20"/>
                <w:szCs w:val="20"/>
                <w:color w:val="auto"/>
              </w:rPr>
            </w:pPr>
            <w:r>
              <w:rPr>
                <w:rFonts w:ascii="Arial" w:cs="Arial" w:eastAsia="Arial" w:hAnsi="Arial"/>
                <w:sz w:val="13"/>
                <w:szCs w:val="13"/>
                <w:color w:val="auto"/>
              </w:rPr>
              <w:t>Pass</w:t>
            </w: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227</w:t>
            </w:r>
          </w:p>
        </w:tc>
        <w:tc>
          <w:tcPr>
            <w:tcW w:w="52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270</w:t>
            </w:r>
          </w:p>
        </w:tc>
        <w:tc>
          <w:tcPr>
            <w:tcW w:w="52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161</w:t>
            </w:r>
          </w:p>
        </w:tc>
        <w:tc>
          <w:tcPr>
            <w:tcW w:w="52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248</w:t>
            </w:r>
          </w:p>
        </w:tc>
        <w:tc>
          <w:tcPr>
            <w:tcW w:w="50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435</w:t>
            </w:r>
          </w:p>
        </w:tc>
        <w:tc>
          <w:tcPr>
            <w:tcW w:w="52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397</w:t>
            </w:r>
          </w:p>
        </w:tc>
        <w:tc>
          <w:tcPr>
            <w:tcW w:w="480" w:type="dxa"/>
            <w:vAlign w:val="bottom"/>
            <w:gridSpan w:val="2"/>
          </w:tcPr>
          <w:p>
            <w:pPr>
              <w:jc w:val="right"/>
              <w:ind w:right="24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1,109</w:t>
            </w:r>
          </w:p>
        </w:tc>
        <w:tc>
          <w:tcPr>
            <w:tcW w:w="480" w:type="dxa"/>
            <w:vAlign w:val="bottom"/>
            <w:gridSpan w:val="2"/>
          </w:tcPr>
          <w:p>
            <w:pPr>
              <w:jc w:val="right"/>
              <w:ind w:right="24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2,847</w:t>
            </w:r>
          </w:p>
        </w:tc>
      </w:tr>
      <w:tr>
        <w:trPr>
          <w:trHeight w:val="29"/>
        </w:trPr>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8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2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4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248</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2,847</w:t>
            </w:r>
          </w:p>
        </w:tc>
      </w:tr>
      <w:tr>
        <w:trPr>
          <w:trHeight w:val="162"/>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9"/>
        </w:trPr>
        <w:tc>
          <w:tcPr>
            <w:tcW w:w="2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value of outstanding loans by credit quality indicators as of December 31, 2022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Pass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Special Mention</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8"/>
              </w:rPr>
              <w:t>Substandard</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Doubtful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0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6"/>
        </w:trPr>
        <w:tc>
          <w:tcPr>
            <w:tcW w:w="336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1,011,025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62,907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35,383</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1,109,315</w:t>
            </w:r>
          </w:p>
        </w:tc>
      </w:tr>
      <w:tr>
        <w:trPr>
          <w:trHeight w:val="186"/>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121,621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1,963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3,530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127,114</w:t>
            </w:r>
          </w:p>
        </w:tc>
      </w:tr>
      <w:tr>
        <w:trPr>
          <w:trHeight w:val="182"/>
        </w:trPr>
        <w:tc>
          <w:tcPr>
            <w:tcW w:w="336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3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68,220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836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25,394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94,450</w:t>
            </w: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9"/>
        </w:trPr>
        <w:tc>
          <w:tcPr>
            <w:tcW w:w="3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53,514</w:t>
            </w:r>
          </w:p>
        </w:tc>
      </w:tr>
      <w:tr>
        <w:trPr>
          <w:trHeight w:val="182"/>
        </w:trPr>
        <w:tc>
          <w:tcPr>
            <w:tcW w:w="3360" w:type="dxa"/>
            <w:vAlign w:val="bottom"/>
          </w:tcPr>
          <w:p>
            <w:pPr>
              <w:ind w:left="240"/>
              <w:spacing w:after="0"/>
              <w:rPr>
                <w:sz w:val="20"/>
                <w:szCs w:val="20"/>
                <w:color w:val="auto"/>
              </w:rPr>
            </w:pPr>
            <w:r>
              <w:rPr>
                <w:rFonts w:ascii="Arial" w:cs="Arial" w:eastAsia="Arial" w:hAnsi="Arial"/>
                <w:sz w:val="14"/>
                <w:szCs w:val="14"/>
                <w:color w:val="auto"/>
              </w:rPr>
              <w:t>Single family residential (1-4 units)</w:t>
            </w:r>
          </w:p>
        </w:tc>
        <w:tc>
          <w:tcPr>
            <w:tcW w:w="3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494,994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4,313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499,362</w:t>
            </w: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w:t>
            </w:r>
          </w:p>
        </w:tc>
      </w:tr>
      <w:tr>
        <w:trPr>
          <w:trHeight w:val="179"/>
        </w:trPr>
        <w:tc>
          <w:tcPr>
            <w:tcW w:w="3360" w:type="dxa"/>
            <w:vAlign w:val="bottom"/>
          </w:tcPr>
          <w:p>
            <w:pPr>
              <w:ind w:left="46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1,752,599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65,761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68,861</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1,887,221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collateral-dependent loans that were individually evaluated for purposes of determining the ACL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gridSpan w:val="7"/>
          </w:tcPr>
          <w:p>
            <w:pPr>
              <w:jc w:val="center"/>
              <w:ind w:right="648"/>
              <w:spacing w:after="0"/>
              <w:rPr>
                <w:sz w:val="20"/>
                <w:szCs w:val="20"/>
                <w:color w:val="auto"/>
              </w:rPr>
            </w:pPr>
            <w:r>
              <w:rPr>
                <w:rFonts w:ascii="Arial" w:cs="Arial" w:eastAsia="Arial" w:hAnsi="Arial"/>
                <w:sz w:val="14"/>
                <w:szCs w:val="14"/>
                <w:b w:val="1"/>
                <w:bCs w:val="1"/>
                <w:color w:val="auto"/>
                <w:w w:val="92"/>
              </w:rPr>
              <w:t>Collateral-Dependent Loans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With Allowance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With No Related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3"/>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Related Allowance</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Related Allowance</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ind w:left="9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8"/>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Owner-occupied commercial real estate</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40" w:type="dxa"/>
            <w:vAlign w:val="bottom"/>
          </w:tcPr>
          <w:p>
            <w:pPr>
              <w:ind w:left="260"/>
              <w:spacing w:after="0"/>
              <w:rPr>
                <w:sz w:val="20"/>
                <w:szCs w:val="20"/>
                <w:color w:val="auto"/>
              </w:rPr>
            </w:pPr>
            <w:r>
              <w:rPr>
                <w:rFonts w:ascii="Arial" w:cs="Arial" w:eastAsia="Arial" w:hAnsi="Arial"/>
                <w:sz w:val="14"/>
                <w:szCs w:val="14"/>
                <w:color w:val="auto"/>
              </w:rPr>
              <w:t>Acquisition, construction &amp; development</w:t>
            </w:r>
          </w:p>
        </w:tc>
        <w:tc>
          <w:tcPr>
            <w:tcW w:w="120" w:type="dxa"/>
            <w:vAlign w:val="bottom"/>
          </w:tcPr>
          <w:p>
            <w:pPr>
              <w:spacing w:after="0"/>
              <w:rPr>
                <w:sz w:val="15"/>
                <w:szCs w:val="15"/>
                <w:color w:val="auto"/>
              </w:rPr>
            </w:pPr>
          </w:p>
        </w:tc>
        <w:tc>
          <w:tcPr>
            <w:tcW w:w="1120" w:type="dxa"/>
            <w:vAlign w:val="bottom"/>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40" w:type="dxa"/>
            <w:vAlign w:val="bottom"/>
          </w:tcPr>
          <w:p>
            <w:pPr>
              <w:ind w:left="260"/>
              <w:spacing w:after="0"/>
              <w:rPr>
                <w:sz w:val="20"/>
                <w:szCs w:val="20"/>
                <w:color w:val="auto"/>
              </w:rPr>
            </w:pPr>
            <w:r>
              <w:rPr>
                <w:rFonts w:ascii="Arial" w:cs="Arial" w:eastAsia="Arial" w:hAnsi="Arial"/>
                <w:sz w:val="14"/>
                <w:szCs w:val="14"/>
                <w:color w:val="auto"/>
              </w:rPr>
              <w:t>Single family residential (1-4 units)</w:t>
            </w:r>
          </w:p>
        </w:tc>
        <w:tc>
          <w:tcPr>
            <w:tcW w:w="120" w:type="dxa"/>
            <w:vAlign w:val="bottom"/>
          </w:tcPr>
          <w:p>
            <w:pPr>
              <w:spacing w:after="0"/>
              <w:rPr>
                <w:sz w:val="15"/>
                <w:szCs w:val="15"/>
                <w:color w:val="auto"/>
              </w:rPr>
            </w:pPr>
          </w:p>
        </w:tc>
        <w:tc>
          <w:tcPr>
            <w:tcW w:w="1120" w:type="dxa"/>
            <w:vAlign w:val="bottom"/>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Consumer non-real estate and other</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Pr>
          <w:p>
            <w:pPr>
              <w:ind w:left="46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2023, the Company adopted ASU 2022-02 on a modified retrospective basis. ASU 2022-02 eliminates the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Receivables — Nonrefundable Fees and Other Costs, and subjects entities to new disclosure requirements on loan modifications to borrowers experiencing financial difficulty. Upon adoption of CECL, the Company loans classified as TDRs were individually evaluated for the ACL, and the measurement was done either using the collateral-dependent or the discounted cash flow method.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 an individual loan. For the three and six months ended June 30, 2023, the Company did not extend any modifications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680"/>
        <w:spacing w:after="0" w:line="438" w:lineRule="auto"/>
        <w:rPr>
          <w:sz w:val="20"/>
          <w:szCs w:val="20"/>
          <w:color w:val="auto"/>
        </w:rPr>
      </w:pPr>
      <w:r>
        <w:rPr>
          <w:rFonts w:ascii="Arial" w:cs="Arial" w:eastAsia="Arial" w:hAnsi="Arial"/>
          <w:sz w:val="18"/>
          <w:szCs w:val="18"/>
          <w:color w:val="auto"/>
        </w:rPr>
        <w:t xml:space="preserve">borrowers experiencing financial difficulty that had a more-than-insignificant direct change in the contractual cash flows of the loan. The Company did not extend any modifications that were defined as TDRs during the year ended December 31, 2022. </w:t>
      </w:r>
      <w:r>
        <w:rPr>
          <w:rFonts w:ascii="Arial" w:cs="Arial" w:eastAsia="Arial" w:hAnsi="Arial"/>
          <w:sz w:val="18"/>
          <w:szCs w:val="18"/>
          <w:b w:val="1"/>
          <w:bCs w:val="1"/>
          <w:color w:val="auto"/>
        </w:rPr>
        <w:t>Note 5— Deposits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amount of time deposits, each with a minimum denomination of $250,000, was approximately $48.5 million and $32.6 million on June 30, 2023, and December 31, 2022, respectively. Brokered time deposits totaled $389.1 million and $100.3 million as of June 30, 2023, and December 31, 2022, respectively. Time deposits through the Certificate of Deposit Account Registry Service (“CDARS”) program totaled $18.8 million at June 30, 2023, compared to $11.7 million at December 31, 2022.</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the scheduled maturities of time deposits for the remaining six months ending December 31, 2023 and the following five years were as follows (in thousands):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June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Remaining six months ending, December 31, 2023</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99,479</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191,983</w:t>
            </w:r>
          </w:p>
        </w:tc>
      </w:tr>
      <w:tr>
        <w:trPr>
          <w:trHeight w:val="24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82,716</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w:t>
            </w:r>
          </w:p>
        </w:tc>
      </w:tr>
      <w:tr>
        <w:trPr>
          <w:trHeight w:val="243"/>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77,838</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634,044</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and December 31, 2022, amounts included in time deposits for individual retirement accounts totaled $32.0 million and $36.9 million, respectively.</w:t>
      </w:r>
    </w:p>
    <w:p>
      <w:pPr>
        <w:spacing w:after="0" w:line="116"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Overdrafts of $102 thousand and $503 thousand were reclassified to loans as of June 30, 2023, and the year ended December 31, 2022, respectively. </w:t>
      </w:r>
      <w:r>
        <w:rPr>
          <w:rFonts w:ascii="Arial" w:cs="Arial" w:eastAsia="Arial" w:hAnsi="Arial"/>
          <w:sz w:val="18"/>
          <w:szCs w:val="18"/>
          <w:b w:val="1"/>
          <w:bCs w:val="1"/>
          <w:color w:val="auto"/>
        </w:rPr>
        <w:t>Note 6— Advances and Other Borrowings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borrowings of $249.0 million and $343.1 million at June 30, 2023, and December 31, 2022, respectively. At June 30, 2023, the interest rate on this debt ranged from 4.38% to 5.20%. At December 31, 2022, the interest rate on this debt ranged from 4.13% to 4.57%. The average balance outstanding during the six months ending June 30, 2023, and the year ending December 31, 2022, was $257.2 million and $269.5 million, respectively. The Company’s short-term borrowings from time-to-time may consist of advances from the FHLB of Atlanta, unsecured lines from Correspondent Banks, and secured lines from the Federal Discount Window.</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available lines of credit with the FHLB of Atlanta and unsecured federal funds lines of credit from correspondent banking relationships. Through these sources, the Company has unused capacity of $959.0 million in remaining borrowing capacity as of June 30, 2023. The Advances on credit lines are secured by both securities and loans. The amount of securities and loans pledged against available lines of credit as of June 30, 2023, and December 31, 2022, was $782.9 million and $698.1 million, respectively. As of June 30, 2023, all of the Company’s borrowings will mature within one calendar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The contractual maturities of these borrowings as of June 30, 2023, are as follows (in thousands):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2023</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Due in 2024</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r>
      <w:tr>
        <w:trPr>
          <w:trHeight w:val="23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two years to around twelve years and may contain renewal options.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income, which was included in non-interest expense on the Consolidated Statements of Income,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r>
      <w:tr>
        <w:trPr>
          <w:trHeight w:val="208"/>
        </w:trPr>
        <w:tc>
          <w:tcPr>
            <w:tcW w:w="5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98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060" w:type="dxa"/>
            <w:vAlign w:val="bottom"/>
          </w:tcPr>
          <w:p>
            <w:pPr>
              <w:ind w:left="240"/>
              <w:spacing w:after="0"/>
              <w:rPr>
                <w:sz w:val="20"/>
                <w:szCs w:val="20"/>
                <w:color w:val="auto"/>
              </w:rPr>
            </w:pPr>
            <w:r>
              <w:rPr>
                <w:rFonts w:ascii="Arial" w:cs="Arial" w:eastAsia="Arial" w:hAnsi="Arial"/>
                <w:sz w:val="18"/>
                <w:szCs w:val="18"/>
                <w:color w:val="auto"/>
              </w:rPr>
              <w:t>Total lease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466"/>
        </w:trPr>
        <w:tc>
          <w:tcPr>
            <w:tcW w:w="8100" w:type="dxa"/>
            <w:vAlign w:val="bottom"/>
            <w:gridSpan w:val="6"/>
          </w:tcPr>
          <w:p>
            <w:pPr>
              <w:spacing w:after="0"/>
              <w:rPr>
                <w:sz w:val="20"/>
                <w:szCs w:val="20"/>
                <w:color w:val="auto"/>
              </w:rPr>
            </w:pPr>
            <w:r>
              <w:rPr>
                <w:rFonts w:ascii="Arial" w:cs="Arial" w:eastAsia="Arial" w:hAnsi="Arial"/>
                <w:sz w:val="18"/>
                <w:szCs w:val="18"/>
                <w:color w:val="auto"/>
                <w:w w:val="95"/>
              </w:rPr>
              <w:t>The remaining maturities of operating lease receivables as of June 30, 2023, are as follows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2"/>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6"/>
              </w:rPr>
              <w:t>Operating Leases</w:t>
            </w: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six months ending December 31, 2023</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1,657</w:t>
            </w:r>
          </w:p>
        </w:tc>
      </w:tr>
      <w:tr>
        <w:trPr>
          <w:trHeight w:val="23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r>
      <w:tr>
        <w:trPr>
          <w:trHeight w:val="23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receivables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thirteen years. The lease agreements do not provide for residual value guarantees and have no restrictions or covenants that would impact dividends or require incurring additional financial obligations.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and liabilities by lease type, and the associated balance sheet classifications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80" w:type="dxa"/>
            <w:vAlign w:val="bottom"/>
          </w:tcPr>
          <w:p>
            <w:pPr>
              <w:ind w:left="280"/>
              <w:spacing w:after="0"/>
              <w:rPr>
                <w:sz w:val="20"/>
                <w:szCs w:val="20"/>
                <w:color w:val="auto"/>
              </w:rPr>
            </w:pPr>
            <w:r>
              <w:rPr>
                <w:rFonts w:ascii="Arial" w:cs="Arial" w:eastAsia="Arial" w:hAnsi="Arial"/>
                <w:sz w:val="14"/>
                <w:szCs w:val="14"/>
                <w:b w:val="1"/>
                <w:bCs w:val="1"/>
                <w:color w:val="auto"/>
              </w:rPr>
              <w:t>Balance Sheet Classification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37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9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7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9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5,572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7,255</w:t>
            </w:r>
          </w:p>
        </w:tc>
      </w:tr>
      <w:tr>
        <w:trPr>
          <w:trHeight w:val="230"/>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9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37"/>
        </w:trPr>
        <w:tc>
          <w:tcPr>
            <w:tcW w:w="3760" w:type="dxa"/>
            <w:vAlign w:val="bottom"/>
          </w:tcPr>
          <w:p>
            <w:pPr>
              <w:ind w:left="240"/>
              <w:spacing w:after="0"/>
              <w:rPr>
                <w:sz w:val="20"/>
                <w:szCs w:val="20"/>
                <w:color w:val="auto"/>
              </w:rPr>
            </w:pPr>
            <w:r>
              <w:rPr>
                <w:rFonts w:ascii="Arial" w:cs="Arial" w:eastAsia="Arial" w:hAnsi="Arial"/>
                <w:sz w:val="18"/>
                <w:szCs w:val="18"/>
                <w:color w:val="auto"/>
              </w:rPr>
              <w:t>Total right-of-use assets</w:t>
            </w:r>
          </w:p>
        </w:tc>
        <w:tc>
          <w:tcPr>
            <w:tcW w:w="1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8,090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9,875</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9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9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5,837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29"/>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9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r>
      <w:tr>
        <w:trPr>
          <w:trHeight w:val="236"/>
        </w:trPr>
        <w:tc>
          <w:tcPr>
            <w:tcW w:w="376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1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10,337</w:t>
            </w:r>
          </w:p>
        </w:tc>
      </w:tr>
      <w:tr>
        <w:trPr>
          <w:trHeight w:val="884"/>
        </w:trPr>
        <w:tc>
          <w:tcPr>
            <w:tcW w:w="3760" w:type="dxa"/>
            <w:vAlign w:val="bottom"/>
          </w:tcPr>
          <w:p>
            <w:pPr>
              <w:spacing w:after="0"/>
              <w:rPr>
                <w:sz w:val="24"/>
                <w:szCs w:val="24"/>
                <w:color w:val="auto"/>
              </w:rPr>
            </w:pPr>
          </w:p>
        </w:tc>
        <w:tc>
          <w:tcPr>
            <w:tcW w:w="4180" w:type="dxa"/>
            <w:vAlign w:val="bottom"/>
            <w:gridSpan w:val="2"/>
          </w:tcPr>
          <w:p>
            <w:pPr>
              <w:jc w:val="right"/>
              <w:ind w:right="213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77"/>
        </w:trPr>
        <w:tc>
          <w:tcPr>
            <w:tcW w:w="37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lease cost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5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5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auto"/>
              </w:rPr>
              <w:t>Right-of-use asset amortization</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1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r>
      <w:tr>
        <w:trPr>
          <w:trHeight w:val="223"/>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future undiscounted lease payments for finance and operating leases with initial terms of one year or more as of June 30, 2023,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3"/>
              </w:rPr>
              <w:t>Operating Leases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Finance Leases</w:t>
            </w:r>
          </w:p>
        </w:tc>
      </w:tr>
      <w:tr>
        <w:trPr>
          <w:trHeight w:val="26"/>
        </w:trPr>
        <w:tc>
          <w:tcPr>
            <w:tcW w:w="7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six months ending December 31, 2023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3"/>
              </w:rPr>
              <w:t>2,305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6,151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2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5,837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r>
      <w:tr>
        <w:trPr>
          <w:trHeight w:val="466"/>
        </w:trPr>
        <w:tc>
          <w:tcPr>
            <w:tcW w:w="9140" w:type="dxa"/>
            <w:vAlign w:val="bottom"/>
            <w:gridSpan w:val="5"/>
          </w:tcPr>
          <w:p>
            <w:pPr>
              <w:spacing w:after="0"/>
              <w:rPr>
                <w:sz w:val="20"/>
                <w:szCs w:val="20"/>
                <w:color w:val="auto"/>
              </w:rPr>
            </w:pPr>
            <w:r>
              <w:rPr>
                <w:rFonts w:ascii="Arial" w:cs="Arial" w:eastAsia="Arial" w:hAnsi="Arial"/>
                <w:sz w:val="18"/>
                <w:szCs w:val="18"/>
                <w:color w:val="auto"/>
                <w:w w:val="90"/>
              </w:rPr>
              <w:t>The following table presents additional information about the Company’s leases as of June 30, 2023, and December 31, 2022.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6"/>
        </w:trPr>
        <w:tc>
          <w:tcPr>
            <w:tcW w:w="7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Supplemental lease information (dollars in thousands)</w:t>
            </w:r>
          </w:p>
        </w:tc>
        <w:tc>
          <w:tcPr>
            <w:tcW w:w="100" w:type="dxa"/>
            <w:vAlign w:val="bottom"/>
          </w:tcPr>
          <w:p>
            <w:pPr>
              <w:spacing w:after="0"/>
              <w:rPr>
                <w:sz w:val="24"/>
                <w:szCs w:val="24"/>
                <w:color w:val="auto"/>
              </w:rPr>
            </w:pPr>
          </w:p>
        </w:tc>
        <w:tc>
          <w:tcPr>
            <w:tcW w:w="16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7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weighted average remaining lease term (years)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Finance lease weighted average discount rate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2.22 %</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weighted average remaining lease term (years)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Operating lease weighted average discount rate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3.19 %</w:t>
            </w:r>
          </w:p>
        </w:tc>
      </w:tr>
      <w:tr>
        <w:trPr>
          <w:trHeight w:val="270"/>
        </w:trPr>
        <w:tc>
          <w:tcPr>
            <w:tcW w:w="7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2"/>
              </w:rPr>
              <w:t>June 30, 2022</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1,238</w:t>
            </w:r>
          </w:p>
        </w:tc>
      </w:tr>
      <w:tr>
        <w:trPr>
          <w:trHeight w:val="230"/>
        </w:trPr>
        <w:tc>
          <w:tcPr>
            <w:tcW w:w="7420" w:type="dxa"/>
            <w:vAlign w:val="bottom"/>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32</w:t>
            </w:r>
          </w:p>
        </w:tc>
      </w:tr>
      <w:tr>
        <w:trPr>
          <w:trHeight w:val="24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Capital Matters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Banks and bank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Committee on Banking Supervision’s capital guidelines for U.S. Banks (“Basel III rules”), an entity must hold a capital conservation buffer above the adequately capitalized risk-based capital ratios. The net unrealized gain or loss on AFS securities is not included in computing regulatory capital.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as of June 30, 2023, the Company and the Bank meet all capital adequacy requirements to which they are subject.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June 30, 2023, and December 31, 2022, the most recent notification from the FDIC categorized the Bank as “well capitalized” under the regulatory framework for “prompt corrective 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actual and required capital amounts and ratios for the Company and the Bank at June 30, 2023, and December 31, 2022 (in thousands except for ratios).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Minimum Required for 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w w:val="94"/>
              </w:rPr>
              <w:t>To Be Well Capitalized Under Prompt</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Actual</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w w:val="90"/>
              </w:rPr>
              <w:t>Adequacy Purposes (includes applicable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Capital Conservation Buffer)</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Corrective Action Regulations</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189"/>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2023</w:t>
            </w: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Capital to risk weighted 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442,338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18.71 %</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248,273</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236,450</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439,212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248,365</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10.5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236,538</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risk weighted assets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416,249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200,983</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189,160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413,123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17.47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201,057</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8.5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189,230</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86"/>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Common Tier 1 (CET 1) to risk-weighted assets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416,249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17.60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165,515</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153,693</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413,123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165,576</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153,750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average assets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416,249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148,725</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185,906</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413,123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11.11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148,770</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185,962</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Total Capital to risk weighted assets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433,958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18.88 %</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241,325</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229,834</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6"/>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432,290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241,368</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10.5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229,874</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risk weighted assets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412,946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195,358</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186,867</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411,251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195,393</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183,900</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82"/>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Common Tier 1 (CET 1) to risk-weighted assets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412,946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160,883</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149,392</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6"/>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411,251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160,912</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149,418</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average assets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412,946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145,605</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182,007</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411,251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145,605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182,007</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principal source of funds for dividend payments is dividends received from the Bank. Banking regulations limit the amount of dividends that may be paid without prior approval of regulatory agencies. As of June 30, 2023, approximately $190.8 million of retained earnings was available for dividend declaration without regulatory approval.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objective in using interest rate derivatives is to add stability to interest income and to manage its exposure to interest rate movements. To accomplish this objective, the Company primarily uses interest rate swaps and floors as part of its interest rate risk management strategy. Interest rate swaps designated as cash flow hedges involve the receipt of fixed-rate amounts from a counterparty in exchange for the Company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up-front premium. During 2023, such derivatives were used to hedge the variable cash flows associated with variable-rate assets.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derivatives designated and that qualify as cash flow hedges of interest rate risk, the gain or loss on the derivative is recorded in AOCI and subsequently reclassified into interest income in the same period(s) during which the hedged transaction affects earnings. Amounts reported in AOCI related to derivatives will be reclassified to interest income as interest payments are received on the Company’s variable-rate asset. During the next 12 months, the Company estimates that an additional $1.5 million will be reclassified as a reduction to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changes in the fair value of fixed-rate assets due to changes in benchmark interest rates. The Company uses interest rate swaps to manage its exposure to changes in fair value on these instruments attributable to changes in the designated benchmark interest rate.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following amounts were recorded on the balance sheet related to the cumulative basis adjustment for fair value hedges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Carrying Amount of the Hedged Assets/(Liabilities)</w:t>
            </w:r>
          </w:p>
        </w:tc>
        <w:tc>
          <w:tcPr>
            <w:tcW w:w="120" w:type="dxa"/>
            <w:vAlign w:val="bottom"/>
          </w:tcPr>
          <w:p>
            <w:pPr>
              <w:spacing w:after="0"/>
              <w:rPr>
                <w:sz w:val="14"/>
                <w:szCs w:val="14"/>
                <w:color w:val="auto"/>
              </w:rPr>
            </w:pPr>
          </w:p>
        </w:tc>
        <w:tc>
          <w:tcPr>
            <w:tcW w:w="346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gridSpan w:val="4"/>
          </w:tcPr>
          <w:p>
            <w:pPr>
              <w:jc w:val="right"/>
              <w:ind w:right="188"/>
              <w:spacing w:after="0" w:line="145" w:lineRule="exact"/>
              <w:rPr>
                <w:sz w:val="20"/>
                <w:szCs w:val="20"/>
                <w:color w:val="auto"/>
              </w:rPr>
            </w:pPr>
            <w:r>
              <w:rPr>
                <w:rFonts w:ascii="Arial" w:cs="Arial" w:eastAsia="Arial" w:hAnsi="Arial"/>
                <w:sz w:val="14"/>
                <w:szCs w:val="14"/>
                <w:b w:val="1"/>
                <w:bCs w:val="1"/>
                <w:color w:val="auto"/>
                <w:w w:val="96"/>
              </w:rPr>
              <w:t>Included in the Carrying Amount of the Hedged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4"/>
          </w:tcPr>
          <w:p>
            <w:pPr>
              <w:jc w:val="right"/>
              <w:ind w:right="1088"/>
              <w:spacing w:after="0"/>
              <w:rPr>
                <w:sz w:val="20"/>
                <w:szCs w:val="20"/>
                <w:color w:val="auto"/>
              </w:rPr>
            </w:pPr>
            <w:r>
              <w:rPr>
                <w:rFonts w:ascii="Arial" w:cs="Arial" w:eastAsia="Arial" w:hAnsi="Arial"/>
                <w:sz w:val="14"/>
                <w:szCs w:val="14"/>
                <w:b w:val="1"/>
                <w:bCs w:val="1"/>
                <w:color w:val="auto"/>
              </w:rPr>
              <w:t>Assets/(Liabilities)</w:t>
            </w:r>
          </w:p>
        </w:tc>
        <w:tc>
          <w:tcPr>
            <w:tcW w:w="0" w:type="dxa"/>
            <w:vAlign w:val="bottom"/>
          </w:tcPr>
          <w:p>
            <w:pPr>
              <w:spacing w:after="0"/>
              <w:rPr>
                <w:sz w:val="1"/>
                <w:szCs w:val="1"/>
                <w:color w:val="auto"/>
              </w:rPr>
            </w:pPr>
          </w:p>
        </w:tc>
      </w:tr>
      <w:tr>
        <w:trPr>
          <w:trHeight w:val="156"/>
        </w:trPr>
        <w:tc>
          <w:tcPr>
            <w:tcW w:w="40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Line Item in the Statement of Financial Position in Which the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186"/>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3"/>
              </w:rPr>
              <w:t>Hedged Item is Included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4"/>
                <w:szCs w:val="14"/>
                <w:color w:val="auto"/>
              </w:rPr>
              <w:t>Securities available-for-sale, at fair value</w:t>
            </w:r>
            <w:r>
              <w:rPr>
                <w:rFonts w:ascii="Arial" w:cs="Arial" w:eastAsia="Arial" w:hAnsi="Arial"/>
                <w:sz w:val="18"/>
                <w:szCs w:val="18"/>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298,853</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ind w:left="1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(1,106)</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298,853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8"/>
        <w:spacing w:after="0" w:line="258" w:lineRule="auto"/>
        <w:tabs>
          <w:tab w:leader="none" w:pos="209"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include the amortized cost basis of closed portfolios of AFS securities used to designate hedging relationships in which the hedged item is the stated amount of assets in the closed portfolio anticipated to be outstanding for the designated hedged period. At June 30, 2023, the amortized cost basis of the closed portfolios used in these hedging relationships was $298.9 million and the cumulative basis adjustments associated with these hedging relationships was $1.1 million.</w:t>
      </w:r>
    </w:p>
    <w:p>
      <w:pPr>
        <w:ind w:firstLine="8"/>
        <w:spacing w:after="0" w:line="283" w:lineRule="auto"/>
        <w:tabs>
          <w:tab w:leader="none" w:pos="20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entire balance represents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which includes accrued interest, as well as their classification on the Consolidated Balance Sheets as of June 30, 2023, and December 31, 2022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96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5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5580" w:type="dxa"/>
            <w:vAlign w:val="bottom"/>
          </w:tcPr>
          <w:p>
            <w:pPr>
              <w:spacing w:after="0"/>
              <w:rPr>
                <w:sz w:val="15"/>
                <w:szCs w:val="15"/>
                <w:color w:val="auto"/>
              </w:rPr>
            </w:pPr>
          </w:p>
        </w:tc>
        <w:tc>
          <w:tcPr>
            <w:tcW w:w="2120" w:type="dxa"/>
            <w:vAlign w:val="bottom"/>
            <w:tcBorders>
              <w:bottom w:val="single" w:sz="8" w:color="auto"/>
            </w:tcBorders>
          </w:tcPr>
          <w:p>
            <w:pPr>
              <w:jc w:val="center"/>
              <w:ind w:left="295"/>
              <w:spacing w:after="0"/>
              <w:rPr>
                <w:sz w:val="20"/>
                <w:szCs w:val="20"/>
                <w:color w:val="auto"/>
              </w:rPr>
            </w:pPr>
            <w:r>
              <w:rPr>
                <w:rFonts w:ascii="Arial" w:cs="Arial" w:eastAsia="Arial" w:hAnsi="Arial"/>
                <w:sz w:val="14"/>
                <w:szCs w:val="14"/>
                <w:b w:val="1"/>
                <w:bCs w:val="1"/>
                <w:color w:val="auto"/>
                <w:w w:val="89"/>
              </w:rPr>
              <w:t>Balance Sheet Location</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Notional Amount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cash flow hedges</w:t>
            </w:r>
          </w:p>
        </w:tc>
        <w:tc>
          <w:tcPr>
            <w:tcW w:w="2120" w:type="dxa"/>
            <w:vAlign w:val="bottom"/>
          </w:tcPr>
          <w:p>
            <w:pPr>
              <w:jc w:val="center"/>
              <w:ind w:left="295"/>
              <w:spacing w:after="0"/>
              <w:rPr>
                <w:sz w:val="20"/>
                <w:szCs w:val="20"/>
                <w:color w:val="auto"/>
              </w:rPr>
            </w:pPr>
            <w:r>
              <w:rPr>
                <w:rFonts w:ascii="Arial" w:cs="Arial" w:eastAsia="Arial" w:hAnsi="Arial"/>
                <w:sz w:val="18"/>
                <w:szCs w:val="18"/>
                <w:color w:val="auto"/>
                <w:w w:val="96"/>
              </w:rPr>
              <w:t>Other liabilities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1,836</w:t>
            </w:r>
          </w:p>
        </w:tc>
      </w:tr>
      <w:tr>
        <w:trPr>
          <w:trHeight w:val="270"/>
        </w:trPr>
        <w:tc>
          <w:tcPr>
            <w:tcW w:w="55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2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4"/>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2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4"/>
              </w:rPr>
              <w:t>Other assets</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20" w:type="dxa"/>
            <w:vAlign w:val="bottom"/>
          </w:tcPr>
          <w:p>
            <w:pPr>
              <w:jc w:val="center"/>
              <w:ind w:left="295"/>
              <w:spacing w:after="0"/>
              <w:rPr>
                <w:sz w:val="20"/>
                <w:szCs w:val="20"/>
                <w:color w:val="auto"/>
              </w:rPr>
            </w:pPr>
            <w:r>
              <w:rPr>
                <w:rFonts w:ascii="Arial" w:cs="Arial" w:eastAsia="Arial" w:hAnsi="Arial"/>
                <w:sz w:val="18"/>
                <w:szCs w:val="18"/>
                <w:color w:val="auto"/>
                <w:w w:val="96"/>
              </w:rPr>
              <w:t>Other liabilities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66,709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1,740</w:t>
            </w:r>
          </w:p>
        </w:tc>
      </w:tr>
      <w:tr>
        <w:trPr>
          <w:trHeight w:val="460"/>
        </w:trPr>
        <w:tc>
          <w:tcPr>
            <w:tcW w:w="5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
        </w:trPr>
        <w:tc>
          <w:tcPr>
            <w:tcW w:w="55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5580" w:type="dxa"/>
            <w:vAlign w:val="bottom"/>
          </w:tcPr>
          <w:p>
            <w:pPr>
              <w:spacing w:after="0"/>
              <w:rPr>
                <w:sz w:val="15"/>
                <w:szCs w:val="15"/>
                <w:color w:val="auto"/>
              </w:rPr>
            </w:pPr>
          </w:p>
        </w:tc>
        <w:tc>
          <w:tcPr>
            <w:tcW w:w="2120" w:type="dxa"/>
            <w:vAlign w:val="bottom"/>
            <w:tcBorders>
              <w:bottom w:val="single" w:sz="8" w:color="auto"/>
            </w:tcBorders>
          </w:tcPr>
          <w:p>
            <w:pPr>
              <w:jc w:val="center"/>
              <w:ind w:left="295"/>
              <w:spacing w:after="0"/>
              <w:rPr>
                <w:sz w:val="20"/>
                <w:szCs w:val="20"/>
                <w:color w:val="auto"/>
              </w:rPr>
            </w:pPr>
            <w:r>
              <w:rPr>
                <w:rFonts w:ascii="Arial" w:cs="Arial" w:eastAsia="Arial" w:hAnsi="Arial"/>
                <w:sz w:val="14"/>
                <w:szCs w:val="14"/>
                <w:b w:val="1"/>
                <w:bCs w:val="1"/>
                <w:color w:val="auto"/>
                <w:w w:val="89"/>
              </w:rPr>
              <w:t>Balance Sheet Location</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Notional Amount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cash flow hedges</w:t>
            </w:r>
          </w:p>
        </w:tc>
        <w:tc>
          <w:tcPr>
            <w:tcW w:w="2120" w:type="dxa"/>
            <w:vAlign w:val="bottom"/>
          </w:tcPr>
          <w:p>
            <w:pPr>
              <w:jc w:val="center"/>
              <w:ind w:left="295"/>
              <w:spacing w:after="0"/>
              <w:rPr>
                <w:sz w:val="20"/>
                <w:szCs w:val="20"/>
                <w:color w:val="auto"/>
              </w:rPr>
            </w:pPr>
            <w:r>
              <w:rPr>
                <w:rFonts w:ascii="Arial" w:cs="Arial" w:eastAsia="Arial" w:hAnsi="Arial"/>
                <w:sz w:val="18"/>
                <w:szCs w:val="18"/>
                <w:color w:val="auto"/>
                <w:w w:val="96"/>
              </w:rPr>
              <w:t>Other liabilities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76"/>
        </w:trPr>
        <w:tc>
          <w:tcPr>
            <w:tcW w:w="55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2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2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4"/>
              </w:rPr>
              <w:t>Other assets</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20" w:type="dxa"/>
            <w:vAlign w:val="bottom"/>
          </w:tcPr>
          <w:p>
            <w:pPr>
              <w:jc w:val="center"/>
              <w:ind w:left="295"/>
              <w:spacing w:after="0"/>
              <w:rPr>
                <w:sz w:val="20"/>
                <w:szCs w:val="20"/>
                <w:color w:val="auto"/>
              </w:rPr>
            </w:pPr>
            <w:r>
              <w:rPr>
                <w:rFonts w:ascii="Arial" w:cs="Arial" w:eastAsia="Arial" w:hAnsi="Arial"/>
                <w:sz w:val="18"/>
                <w:szCs w:val="18"/>
                <w:color w:val="auto"/>
                <w:w w:val="96"/>
              </w:rPr>
              <w:t>Other liabilities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1,311</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effect of cash flow hedge accounting on AOCI for the three months ended June 30, 2023, and June 30, 2022,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June 30,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86"/>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7"/>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3"/>
              </w:rPr>
              <w:t>or (Loss)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89"/>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89"/>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5"/>
              </w:rPr>
              <w:t>Location of Gain or</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7"/>
              <w:spacing w:after="0" w:line="135" w:lineRule="exact"/>
              <w:rPr>
                <w:sz w:val="20"/>
                <w:szCs w:val="20"/>
                <w:color w:val="auto"/>
              </w:rPr>
            </w:pPr>
            <w:r>
              <w:rPr>
                <w:rFonts w:ascii="Arial" w:cs="Arial" w:eastAsia="Arial" w:hAnsi="Arial"/>
                <w:sz w:val="13"/>
                <w:szCs w:val="13"/>
                <w:b w:val="1"/>
                <w:bCs w:val="1"/>
                <w:color w:val="auto"/>
                <w:w w:val="92"/>
              </w:rPr>
              <w:t>Reclassified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0" w:type="dxa"/>
            <w:vAlign w:val="bottom"/>
          </w:tcPr>
          <w:p>
            <w:pPr>
              <w:spacing w:after="0"/>
              <w:rPr>
                <w:sz w:val="1"/>
                <w:szCs w:val="1"/>
                <w:color w:val="auto"/>
              </w:rPr>
            </w:pPr>
          </w:p>
        </w:tc>
      </w:tr>
      <w:tr>
        <w:trPr>
          <w:trHeight w:val="135"/>
        </w:trPr>
        <w:tc>
          <w:tcPr>
            <w:tcW w:w="3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92"/>
              </w:rPr>
              <w:t>Reclassified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3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8"/>
              </w:rPr>
              <w:t>OCI 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6"/>
              </w:rPr>
              <w:t>OCI Excluded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Income Excluded</w:t>
            </w:r>
          </w:p>
        </w:tc>
        <w:tc>
          <w:tcPr>
            <w:tcW w:w="0" w:type="dxa"/>
            <w:vAlign w:val="bottom"/>
          </w:tcPr>
          <w:p>
            <w:pPr>
              <w:spacing w:after="0"/>
              <w:rPr>
                <w:sz w:val="1"/>
                <w:szCs w:val="1"/>
                <w:color w:val="auto"/>
              </w:rPr>
            </w:pPr>
          </w:p>
        </w:tc>
      </w:tr>
      <w:tr>
        <w:trPr>
          <w:trHeight w:val="182"/>
        </w:trPr>
        <w:tc>
          <w:tcPr>
            <w:tcW w:w="2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Derivative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4"/>
              </w:rPr>
              <w:t>Component</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8"/>
              </w:rPr>
              <w:t>AOCI into Income</w:t>
            </w:r>
          </w:p>
        </w:tc>
        <w:tc>
          <w:tcPr>
            <w:tcW w:w="8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1"/>
              </w:rPr>
              <w:t>Component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2"/>
              </w:rPr>
              <w:t>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center"/>
              <w:ind w:left="447"/>
              <w:spacing w:after="0"/>
              <w:rPr>
                <w:sz w:val="20"/>
                <w:szCs w:val="20"/>
                <w:color w:val="auto"/>
              </w:rPr>
            </w:pPr>
            <w:r>
              <w:rPr>
                <w:rFonts w:ascii="Arial" w:cs="Arial" w:eastAsia="Arial" w:hAnsi="Arial"/>
                <w:sz w:val="16"/>
                <w:szCs w:val="16"/>
                <w:color w:val="auto"/>
                <w:w w:val="96"/>
              </w:rPr>
              <w:t>(423)</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06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(348)</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(348)</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(423)</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447"/>
              <w:spacing w:after="0"/>
              <w:rPr>
                <w:sz w:val="20"/>
                <w:szCs w:val="20"/>
                <w:color w:val="auto"/>
              </w:rPr>
            </w:pPr>
            <w:r>
              <w:rPr>
                <w:rFonts w:ascii="Arial" w:cs="Arial" w:eastAsia="Arial" w:hAnsi="Arial"/>
                <w:sz w:val="16"/>
                <w:szCs w:val="16"/>
                <w:color w:val="auto"/>
                <w:w w:val="96"/>
              </w:rPr>
              <w:t>(423)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7"/>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86"/>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7"/>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3"/>
              </w:rPr>
              <w:t>or (Loss)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3"/>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3"/>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5"/>
              </w:rPr>
              <w:t>Location of Gain or</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3"/>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0" w:type="dxa"/>
            <w:vAlign w:val="bottom"/>
          </w:tcPr>
          <w:p>
            <w:pPr>
              <w:spacing w:after="0"/>
              <w:rPr>
                <w:sz w:val="1"/>
                <w:szCs w:val="1"/>
                <w:color w:val="auto"/>
              </w:rPr>
            </w:pPr>
          </w:p>
        </w:tc>
      </w:tr>
      <w:tr>
        <w:trPr>
          <w:trHeight w:val="135"/>
        </w:trPr>
        <w:tc>
          <w:tcPr>
            <w:tcW w:w="3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3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rPr>
              <w:t>OCI 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OCI Excluded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Income Excluded</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10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Derivative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4"/>
              </w:rPr>
              <w:t>Component</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6"/>
              </w:rPr>
              <w:t>Income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center"/>
              <w:ind w:right="140"/>
              <w:spacing w:after="0"/>
              <w:rPr>
                <w:sz w:val="20"/>
                <w:szCs w:val="20"/>
                <w:color w:val="auto"/>
              </w:rPr>
            </w:pPr>
            <w:r>
              <w:rPr>
                <w:rFonts w:ascii="Arial" w:cs="Arial" w:eastAsia="Arial" w:hAnsi="Arial"/>
                <w:sz w:val="16"/>
                <w:szCs w:val="16"/>
                <w:color w:val="auto"/>
                <w:w w:val="92"/>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108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ind w:left="467"/>
              <w:spacing w:after="0"/>
              <w:rPr>
                <w:sz w:val="20"/>
                <w:szCs w:val="20"/>
                <w:color w:val="auto"/>
              </w:rPr>
            </w:pPr>
            <w:r>
              <w:rPr>
                <w:rFonts w:ascii="Arial" w:cs="Arial" w:eastAsia="Arial" w:hAnsi="Arial"/>
                <w:sz w:val="16"/>
                <w:szCs w:val="16"/>
                <w:color w:val="auto"/>
                <w:w w:val="97"/>
              </w:rPr>
              <w:t>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6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6"/>
                <w:szCs w:val="16"/>
                <w:color w:val="auto"/>
              </w:rPr>
              <w:t>108</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center"/>
              <w:ind w:left="467"/>
              <w:spacing w:after="0"/>
              <w:rPr>
                <w:sz w:val="20"/>
                <w:szCs w:val="20"/>
                <w:color w:val="auto"/>
              </w:rPr>
            </w:pPr>
            <w:r>
              <w:rPr>
                <w:rFonts w:ascii="Arial" w:cs="Arial" w:eastAsia="Arial" w:hAnsi="Arial"/>
                <w:sz w:val="16"/>
                <w:szCs w:val="16"/>
                <w:color w:val="auto"/>
                <w:w w:val="97"/>
              </w:rPr>
              <w:t>108</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The table below presents the effect of cash flow hedge accounting on AOCI for the six months ended June 30, 2023, and June 30, 2022, as follows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2023</w:t>
            </w:r>
          </w:p>
        </w:tc>
        <w:tc>
          <w:tcPr>
            <w:tcW w:w="1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6"/>
        </w:trPr>
        <w:tc>
          <w:tcPr>
            <w:tcW w:w="296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70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(Loss)</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or (Loss)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(Loss)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(Loss)</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or (Loss)</w:t>
            </w:r>
          </w:p>
        </w:tc>
        <w:tc>
          <w:tcPr>
            <w:tcW w:w="1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Location of Gain or</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(Loss)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Reclassified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0" w:type="dxa"/>
            <w:vAlign w:val="bottom"/>
          </w:tcPr>
          <w:p>
            <w:pPr>
              <w:spacing w:after="0"/>
              <w:rPr>
                <w:sz w:val="1"/>
                <w:szCs w:val="1"/>
                <w:color w:val="auto"/>
              </w:rPr>
            </w:pPr>
          </w:p>
        </w:tc>
      </w:tr>
      <w:tr>
        <w:trPr>
          <w:trHeight w:val="135"/>
        </w:trPr>
        <w:tc>
          <w:tcPr>
            <w:tcW w:w="2960" w:type="dxa"/>
            <w:vAlign w:val="bottom"/>
            <w:vMerge w:val="restart"/>
          </w:tcPr>
          <w:p>
            <w:pPr>
              <w:spacing w:after="0"/>
              <w:rPr>
                <w:sz w:val="20"/>
                <w:szCs w:val="20"/>
                <w:color w:val="auto"/>
              </w:rPr>
            </w:pPr>
            <w:r>
              <w:rPr>
                <w:rFonts w:ascii="Arial" w:cs="Arial" w:eastAsia="Arial" w:hAnsi="Arial"/>
                <w:sz w:val="13"/>
                <w:szCs w:val="13"/>
                <w:b w:val="1"/>
                <w:bCs w:val="1"/>
                <w:color w:val="auto"/>
              </w:rPr>
              <w:t>Derivatives in Cash Flow</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70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Reclassified</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2960" w:type="dxa"/>
            <w:vAlign w:val="bottom"/>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OCI on</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OCI Included</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OCI Excluded</w:t>
            </w:r>
          </w:p>
        </w:tc>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Income Excluded</w:t>
            </w:r>
          </w:p>
        </w:tc>
        <w:tc>
          <w:tcPr>
            <w:tcW w:w="0" w:type="dxa"/>
            <w:vAlign w:val="bottom"/>
          </w:tcPr>
          <w:p>
            <w:pPr>
              <w:spacing w:after="0"/>
              <w:rPr>
                <w:sz w:val="1"/>
                <w:szCs w:val="1"/>
                <w:color w:val="auto"/>
              </w:rPr>
            </w:pPr>
          </w:p>
        </w:tc>
      </w:tr>
      <w:tr>
        <w:trPr>
          <w:trHeight w:val="174"/>
        </w:trPr>
        <w:tc>
          <w:tcPr>
            <w:tcW w:w="2960" w:type="dxa"/>
            <w:vAlign w:val="bottom"/>
          </w:tcPr>
          <w:p>
            <w:pPr>
              <w:spacing w:after="0"/>
              <w:rPr>
                <w:sz w:val="20"/>
                <w:szCs w:val="20"/>
                <w:color w:val="auto"/>
              </w:rPr>
            </w:pPr>
            <w:r>
              <w:rPr>
                <w:rFonts w:ascii="Arial" w:cs="Arial" w:eastAsia="Arial" w:hAnsi="Arial"/>
                <w:sz w:val="13"/>
                <w:szCs w:val="13"/>
                <w:b w:val="1"/>
                <w:bCs w:val="1"/>
                <w:color w:val="auto"/>
              </w:rPr>
              <w:t>Hedging Relationships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Derivative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1"/>
              </w:rPr>
              <w:t>Component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Component</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7"/>
              </w:rPr>
              <w:t>AOCI into Income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1"/>
              </w:rPr>
              <w:t>Component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Rate Products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Derivatives in Cash Flow</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Hedging Relationships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Interest Income</w:t>
            </w:r>
          </w:p>
        </w:tc>
        <w:tc>
          <w:tcPr>
            <w:tcW w:w="1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2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58"/>
        </w:trPr>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3"/>
              </w:rPr>
              <w:t>or (Loss)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Location of Gain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98"/>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6"/>
              </w:rPr>
              <w:t>OCI Excluded</w:t>
            </w:r>
          </w:p>
        </w:tc>
        <w:tc>
          <w:tcPr>
            <w:tcW w:w="1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0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Income Excluded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Arial" w:cs="Arial" w:eastAsia="Arial" w:hAnsi="Arial"/>
                <w:sz w:val="13"/>
                <w:szCs w:val="13"/>
                <w:b w:val="1"/>
                <w:bCs w:val="1"/>
                <w:color w:val="auto"/>
                <w:w w:val="96"/>
              </w:rPr>
              <w:t>Derivative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28"/>
              <w:spacing w:after="0"/>
              <w:rPr>
                <w:sz w:val="20"/>
                <w:szCs w:val="20"/>
                <w:color w:val="auto"/>
              </w:rPr>
            </w:pPr>
            <w:r>
              <w:rPr>
                <w:rFonts w:ascii="Arial" w:cs="Arial" w:eastAsia="Arial" w:hAnsi="Arial"/>
                <w:sz w:val="13"/>
                <w:szCs w:val="13"/>
                <w:b w:val="1"/>
                <w:bCs w:val="1"/>
                <w:color w:val="auto"/>
                <w:w w:val="91"/>
              </w:rPr>
              <w:t>Component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87"/>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260" w:space="720"/>
            <w:col w:w="82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420" w:type="dxa"/>
            <w:vAlign w:val="bottom"/>
            <w:tcBorders>
              <w:top w:val="single" w:sz="8" w:color="auto"/>
              <w:bottom w:val="single" w:sz="8" w:color="auto"/>
            </w:tcBorders>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540" w:type="dxa"/>
            <w:vAlign w:val="bottom"/>
            <w:tcBorders>
              <w:top w:val="single" w:sz="8" w:color="auto"/>
              <w:bottom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500" w:type="dxa"/>
            <w:vAlign w:val="bottom"/>
            <w:tcBorders>
              <w:top w:val="single" w:sz="8" w:color="auto"/>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560" w:type="dxa"/>
            <w:vAlign w:val="bottom"/>
            <w:tcBorders>
              <w:top w:val="single" w:sz="8" w:color="auto"/>
              <w:bottom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r>
      <w:tr>
        <w:trPr>
          <w:trHeight w:val="210"/>
        </w:trPr>
        <w:tc>
          <w:tcPr>
            <w:tcW w:w="2920" w:type="dxa"/>
            <w:vAlign w:val="bottom"/>
          </w:tcPr>
          <w:p>
            <w:pPr>
              <w:ind w:left="24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Consolidated Statements of Income for the three and six months ended June 30, 2023, and June 30, 2022.</w:t>
      </w:r>
    </w:p>
    <w:p>
      <w:pPr>
        <w:spacing w:after="0" w:line="153"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Location and Amount of Gain or (Loss) Recognized in Income on Fair</w:t>
      </w:r>
    </w:p>
    <w:p>
      <w:pPr>
        <w:jc w:val="center"/>
        <w:ind w:left="5920"/>
        <w:spacing w:after="0"/>
        <w:rPr>
          <w:sz w:val="20"/>
          <w:szCs w:val="20"/>
          <w:color w:val="auto"/>
        </w:rPr>
      </w:pPr>
      <w:r>
        <w:rPr>
          <w:rFonts w:ascii="Arial" w:cs="Arial" w:eastAsia="Arial" w:hAnsi="Arial"/>
          <w:sz w:val="16"/>
          <w:szCs w:val="16"/>
          <w:b w:val="1"/>
          <w:bCs w:val="1"/>
          <w:color w:val="auto"/>
        </w:rPr>
        <w:t>Value and Cash Flow Hedging Relationships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4"/>
              </w:rPr>
              <w:t>Three months ended</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2023</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w w:val="97"/>
              </w:rPr>
              <w:t>June 30, 2022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Interest Income</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Interest Expense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Interest Income</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Interest Expense</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w w:val="95"/>
              </w:rPr>
              <w:t>Total amounts of income and expense line items presented in the statement of financial</w:t>
            </w: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620" w:type="dxa"/>
            <w:vAlign w:val="bottom"/>
            <w:gridSpan w:val="2"/>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20" w:type="dxa"/>
            <w:vAlign w:val="bottom"/>
            <w:gridSpan w:val="2"/>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performance in which the effects of fair value or cash flow hedges are recorded.</w:t>
            </w:r>
          </w:p>
        </w:tc>
        <w:tc>
          <w:tcPr>
            <w:tcW w:w="4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60"/>
              <w:spacing w:after="0"/>
              <w:rPr>
                <w:sz w:val="20"/>
                <w:szCs w:val="20"/>
                <w:color w:val="auto"/>
              </w:rPr>
            </w:pPr>
            <w:r>
              <w:rPr>
                <w:rFonts w:ascii="Arial" w:cs="Arial" w:eastAsia="Arial" w:hAnsi="Arial"/>
                <w:sz w:val="16"/>
                <w:szCs w:val="16"/>
                <w:b w:val="1"/>
                <w:bCs w:val="1"/>
                <w:color w:val="auto"/>
              </w:rPr>
              <w:t>The effects of fair value and cash flow hedging:</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Gain or (loss) on fair value hedging relationships in Subtopic 815-20</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2"/>
          </w:tcPr>
          <w:p>
            <w:pPr>
              <w:spacing w:after="0" w:line="175" w:lineRule="exact"/>
              <w:rPr>
                <w:sz w:val="20"/>
                <w:szCs w:val="20"/>
                <w:color w:val="auto"/>
              </w:rPr>
            </w:pPr>
            <w:r>
              <w:rPr>
                <w:rFonts w:ascii="Arial" w:cs="Arial" w:eastAsia="Arial" w:hAnsi="Arial"/>
                <w:sz w:val="16"/>
                <w:szCs w:val="16"/>
                <w:color w:val="auto"/>
              </w:rPr>
              <w:t>Interest contracts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Hedged items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120"/>
              <w:spacing w:after="0"/>
              <w:rPr>
                <w:sz w:val="20"/>
                <w:szCs w:val="20"/>
                <w:color w:val="auto"/>
              </w:rPr>
            </w:pPr>
            <w:r>
              <w:rPr>
                <w:rFonts w:ascii="Arial" w:cs="Arial" w:eastAsia="Arial" w:hAnsi="Arial"/>
                <w:sz w:val="16"/>
                <w:szCs w:val="16"/>
                <w:color w:val="auto"/>
              </w:rPr>
              <w:t>Derivatives designated as hedging instruments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Gain or (loss) on cash flow hedging relationships in Subtopic 815-20</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gridSpan w:val="2"/>
          </w:tcPr>
          <w:p>
            <w:pPr>
              <w:spacing w:after="0" w:line="175" w:lineRule="exact"/>
              <w:rPr>
                <w:sz w:val="20"/>
                <w:szCs w:val="20"/>
                <w:color w:val="auto"/>
              </w:rPr>
            </w:pPr>
            <w:r>
              <w:rPr>
                <w:rFonts w:ascii="Arial" w:cs="Arial" w:eastAsia="Arial" w:hAnsi="Arial"/>
                <w:sz w:val="16"/>
                <w:szCs w:val="16"/>
                <w:color w:val="auto"/>
              </w:rPr>
              <w:t>Interest contracts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Amount of gain or (loss) reclassified from AOCI into income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20" w:type="dxa"/>
            <w:vAlign w:val="bottom"/>
            <w:gridSpan w:val="2"/>
          </w:tcPr>
          <w:p>
            <w:pPr>
              <w:ind w:left="120"/>
              <w:spacing w:after="0" w:line="166" w:lineRule="exact"/>
              <w:rPr>
                <w:sz w:val="20"/>
                <w:szCs w:val="20"/>
                <w:color w:val="auto"/>
              </w:rPr>
            </w:pPr>
            <w:r>
              <w:rPr>
                <w:rFonts w:ascii="Arial" w:cs="Arial" w:eastAsia="Arial" w:hAnsi="Arial"/>
                <w:sz w:val="16"/>
                <w:szCs w:val="16"/>
                <w:color w:val="auto"/>
                <w:w w:val="92"/>
              </w:rPr>
              <w:t>Amount of gain or (loss) reclassified from AOCI into income as a result that a forecasted</w:t>
            </w: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ind w:left="280"/>
              <w:spacing w:after="0"/>
              <w:rPr>
                <w:sz w:val="20"/>
                <w:szCs w:val="20"/>
                <w:color w:val="auto"/>
              </w:rPr>
            </w:pPr>
            <w:r>
              <w:rPr>
                <w:rFonts w:ascii="Arial" w:cs="Arial" w:eastAsia="Arial" w:hAnsi="Arial"/>
                <w:sz w:val="16"/>
                <w:szCs w:val="16"/>
                <w:color w:val="auto"/>
              </w:rPr>
              <w:t>transaction is no longer probable of occurring</w:t>
            </w:r>
          </w:p>
        </w:tc>
        <w:tc>
          <w:tcPr>
            <w:tcW w:w="4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 of gain or (loss) reclassified from AOCI into income - included component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Amount of gain or (loss) reclassified from AOCI into income - excluded component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Location and Amount of Gain or (Loss) Recognized in Income on Fair</w:t>
      </w:r>
    </w:p>
    <w:p>
      <w:pPr>
        <w:jc w:val="center"/>
        <w:ind w:left="5920"/>
        <w:spacing w:after="0"/>
        <w:rPr>
          <w:sz w:val="20"/>
          <w:szCs w:val="20"/>
          <w:color w:val="auto"/>
        </w:rPr>
      </w:pPr>
      <w:r>
        <w:rPr>
          <w:rFonts w:ascii="Arial" w:cs="Arial" w:eastAsia="Arial" w:hAnsi="Arial"/>
          <w:sz w:val="16"/>
          <w:szCs w:val="16"/>
          <w:b w:val="1"/>
          <w:bCs w:val="1"/>
          <w:color w:val="auto"/>
        </w:rPr>
        <w:t>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8890</wp:posOffset>
            </wp:positionV>
            <wp:extent cx="33604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June 30, 2023</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 2022</w:t>
            </w: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Interest Income</w:t>
            </w:r>
          </w:p>
        </w:tc>
        <w:tc>
          <w:tcPr>
            <w:tcW w:w="100" w:type="dxa"/>
            <w:vAlign w:val="bottom"/>
          </w:tcPr>
          <w:p>
            <w:pPr>
              <w:spacing w:after="0"/>
              <w:rPr>
                <w:sz w:val="18"/>
                <w:szCs w:val="18"/>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Interest Expense</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Interest Income</w:t>
            </w:r>
          </w:p>
        </w:tc>
        <w:tc>
          <w:tcPr>
            <w:tcW w:w="100" w:type="dxa"/>
            <w:vAlign w:val="bottom"/>
          </w:tcPr>
          <w:p>
            <w:pPr>
              <w:spacing w:after="0"/>
              <w:rPr>
                <w:sz w:val="18"/>
                <w:szCs w:val="18"/>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Interest Expense</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95"/>
              </w:rPr>
              <w:t>Total amounts of income and expense line items presented in the statement of financial</w:t>
            </w: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840" w:type="dxa"/>
            <w:vAlign w:val="bottom"/>
            <w:gridSpan w:val="2"/>
            <w:vMerge w:val="restart"/>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60" w:type="dxa"/>
            <w:vAlign w:val="bottom"/>
            <w:gridSpan w:val="2"/>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20" w:type="dxa"/>
            <w:vAlign w:val="bottom"/>
            <w:gridSpan w:val="2"/>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performance in which the effects of fair value or cash flow hedges are recorded.</w:t>
            </w:r>
          </w:p>
        </w:tc>
        <w:tc>
          <w:tcPr>
            <w:tcW w:w="4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60"/>
              <w:spacing w:after="0"/>
              <w:rPr>
                <w:sz w:val="20"/>
                <w:szCs w:val="20"/>
                <w:color w:val="auto"/>
              </w:rPr>
            </w:pPr>
            <w:r>
              <w:rPr>
                <w:rFonts w:ascii="Arial" w:cs="Arial" w:eastAsia="Arial" w:hAnsi="Arial"/>
                <w:sz w:val="16"/>
                <w:szCs w:val="16"/>
                <w:b w:val="1"/>
                <w:bCs w:val="1"/>
                <w:color w:val="auto"/>
              </w:rPr>
              <w:t>The effects of fair value and cash flow hedging:</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Gain or (loss) on fair value hedging relationships in Subtopic 815-20</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2"/>
          </w:tcPr>
          <w:p>
            <w:pPr>
              <w:spacing w:after="0" w:line="175" w:lineRule="exact"/>
              <w:rPr>
                <w:sz w:val="20"/>
                <w:szCs w:val="20"/>
                <w:color w:val="auto"/>
              </w:rPr>
            </w:pPr>
            <w:r>
              <w:rPr>
                <w:rFonts w:ascii="Arial" w:cs="Arial" w:eastAsia="Arial" w:hAnsi="Arial"/>
                <w:sz w:val="16"/>
                <w:szCs w:val="16"/>
                <w:color w:val="auto"/>
              </w:rPr>
              <w:t>Interest contracts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Hedged items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120"/>
              <w:spacing w:after="0"/>
              <w:rPr>
                <w:sz w:val="20"/>
                <w:szCs w:val="20"/>
                <w:color w:val="auto"/>
              </w:rPr>
            </w:pPr>
            <w:r>
              <w:rPr>
                <w:rFonts w:ascii="Arial" w:cs="Arial" w:eastAsia="Arial" w:hAnsi="Arial"/>
                <w:sz w:val="16"/>
                <w:szCs w:val="16"/>
                <w:color w:val="auto"/>
              </w:rPr>
              <w:t>Derivatives designated as hedging instruments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Gain or (loss) on cash flow hedging relationships in Subtopic 815-20</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2"/>
          </w:tcPr>
          <w:p>
            <w:pPr>
              <w:spacing w:after="0" w:line="175" w:lineRule="exact"/>
              <w:rPr>
                <w:sz w:val="20"/>
                <w:szCs w:val="20"/>
                <w:color w:val="auto"/>
              </w:rPr>
            </w:pPr>
            <w:r>
              <w:rPr>
                <w:rFonts w:ascii="Arial" w:cs="Arial" w:eastAsia="Arial" w:hAnsi="Arial"/>
                <w:sz w:val="16"/>
                <w:szCs w:val="16"/>
                <w:color w:val="auto"/>
              </w:rPr>
              <w:t>Interest contracts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Amount of gain or (loss) reclassified from AOCI into income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20" w:type="dxa"/>
            <w:vAlign w:val="bottom"/>
            <w:gridSpan w:val="2"/>
          </w:tcPr>
          <w:p>
            <w:pPr>
              <w:ind w:left="120"/>
              <w:spacing w:after="0" w:line="166" w:lineRule="exact"/>
              <w:rPr>
                <w:sz w:val="20"/>
                <w:szCs w:val="20"/>
                <w:color w:val="auto"/>
              </w:rPr>
            </w:pPr>
            <w:r>
              <w:rPr>
                <w:rFonts w:ascii="Arial" w:cs="Arial" w:eastAsia="Arial" w:hAnsi="Arial"/>
                <w:sz w:val="16"/>
                <w:szCs w:val="16"/>
                <w:color w:val="auto"/>
                <w:w w:val="92"/>
              </w:rPr>
              <w:t>Amount of gain or (loss) reclassified from AOCI into income as a result that a forecasted</w:t>
            </w: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ind w:left="280"/>
              <w:spacing w:after="0"/>
              <w:rPr>
                <w:sz w:val="20"/>
                <w:szCs w:val="20"/>
                <w:color w:val="auto"/>
              </w:rPr>
            </w:pPr>
            <w:r>
              <w:rPr>
                <w:rFonts w:ascii="Arial" w:cs="Arial" w:eastAsia="Arial" w:hAnsi="Arial"/>
                <w:sz w:val="16"/>
                <w:szCs w:val="16"/>
                <w:color w:val="auto"/>
              </w:rPr>
              <w:t>transaction is no longer probable of occurring</w:t>
            </w:r>
          </w:p>
        </w:tc>
        <w:tc>
          <w:tcPr>
            <w:tcW w:w="4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 of gain or (loss) reclassified from AOCI into income - included component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Amount of gain or (loss) reclassified from AOCI into income - excluded component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fair value of derivatives in a net liability position, which includes accrued interest but excludes any adjustment for non-performance risk related to these agreements, was $1.8 million. As of June 30, 2023, the Company has posted the full amount of collateral related to these agreements.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to fund consumer mortgage loans (interest rate lock commitments) to be sold into the secondary market are defined as derivatives under GAAP. The Company enters into best effort forward commitments for the future delivery of mortgage loans to third-party investors. The Company has elected the fair value option (“FVO”) on both the best-efforts forward commitments and the consumer mortgage loans held-for-sale in order to economically hedge the effect of changes in interest rates resulting from the commitment to fund the loans.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 lock commitments are not designated as hedging instruments, and therefore, changes in the fair value of these free-standing derivative instruments are reported as non-interest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extension commitments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commercial letters of credit, and revolving lines of credit.</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contractual amounts of the Company’s financial instruments outstanding at June 30, 2023, and December 31, 2022,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to extend credit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Commercial letters of credit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8,539</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to extend credit and commercial letters of credit all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off-balance-sheet credit exposures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recorded a recapture of credit losses on unfunded commitments of $97.3 thousand for the three months ended June 30, 2023, and a recapture of credit losses on unfunded commitments of $104.7 thousand for the six months ended June 30, 2023. The ACL on off-balance-sheet credit totaled $170.0 thousand at June 30, 2023, and is included in accrued interest and other liabilities on the accompanying Consolidated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3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for identical assets or liabilities in active markets that the entity has the ability to access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other inputs that are observable or can be corroborated by observable market data.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Significant unobservable inputs that reflect our own assumptions that market participants would use in pricing an asset or liability.</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quoted securities (Level 2 inputs). For securities where quoted prices or market prices of similar securities are not available, fair values are calculated using discounted cash flows or other market indicators (Level 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held-for-sale, at fair value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Fair Value Measurements at June 30, 2023 Using:</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8"/>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U.S. Treasuries and government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175,397</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175,397</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Obligations of states and municipalities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455,862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455,862</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Residential mortgage backed - agency</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41,990</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Residential mortgage backed - non-agency</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296,104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296,104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Commercial mortgage backed - agency</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36,086</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Commercial mortgage backed - non-agency</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164,307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164,307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Asset-backed</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74,479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74,479</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7,965</w:t>
            </w: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investment securities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175,397</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1,076,793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1,252,190</w:t>
            </w:r>
          </w:p>
        </w:tc>
        <w:tc>
          <w:tcPr>
            <w:tcW w:w="0" w:type="dxa"/>
            <w:vAlign w:val="bottom"/>
          </w:tcPr>
          <w:p>
            <w:pPr>
              <w:spacing w:after="0"/>
              <w:rPr>
                <w:sz w:val="1"/>
                <w:szCs w:val="1"/>
                <w:color w:val="auto"/>
              </w:rPr>
            </w:pPr>
          </w:p>
        </w:tc>
      </w:tr>
      <w:tr>
        <w:trPr>
          <w:trHeight w:val="135"/>
        </w:trPr>
        <w:tc>
          <w:tcPr>
            <w:tcW w:w="50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held-for-sale,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3,576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3,576</w:t>
            </w:r>
          </w:p>
        </w:tc>
        <w:tc>
          <w:tcPr>
            <w:tcW w:w="0" w:type="dxa"/>
            <w:vAlign w:val="bottom"/>
          </w:tcPr>
          <w:p>
            <w:pPr>
              <w:spacing w:after="0"/>
              <w:rPr>
                <w:sz w:val="1"/>
                <w:szCs w:val="1"/>
                <w:color w:val="auto"/>
              </w:rPr>
            </w:pPr>
          </w:p>
        </w:tc>
      </w:tr>
      <w:tr>
        <w:trPr>
          <w:trHeight w:val="487"/>
        </w:trPr>
        <w:tc>
          <w:tcPr>
            <w:tcW w:w="5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4"/>
                <w:szCs w:val="14"/>
                <w:b w:val="1"/>
                <w:bCs w:val="1"/>
                <w:color w:val="auto"/>
                <w:w w:val="92"/>
              </w:rPr>
              <w:t>Fair Value Measurements at December 31, 2022 Using:</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U.S. Treasuries and government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Obligations of states and municipalities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453,907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453,907</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Residential mortgage backed - agency</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53,061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53,061</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Residential mortgage backed - non-agency</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339,295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339,295</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Commercial mortgage backed - agency</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59,933</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Commercial mortgage backed - non-agency</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183,299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183,299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Asset-backed</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98,626</w:t>
            </w:r>
          </w:p>
        </w:tc>
        <w:tc>
          <w:tcPr>
            <w:tcW w:w="0" w:type="dxa"/>
            <w:vAlign w:val="bottom"/>
          </w:tcPr>
          <w:p>
            <w:pPr>
              <w:spacing w:after="0"/>
              <w:rPr>
                <w:sz w:val="1"/>
                <w:szCs w:val="1"/>
                <w:color w:val="auto"/>
              </w:rPr>
            </w:pPr>
          </w:p>
        </w:tc>
      </w:tr>
      <w:tr>
        <w:trPr>
          <w:trHeight w:val="197"/>
        </w:trPr>
        <w:tc>
          <w:tcPr>
            <w:tcW w:w="5020" w:type="dxa"/>
            <w:vAlign w:val="bottom"/>
          </w:tcPr>
          <w:p>
            <w:pPr>
              <w:ind w:left="4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8,643</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investment securities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1,196,764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1,371,757</w:t>
            </w:r>
          </w:p>
        </w:tc>
        <w:tc>
          <w:tcPr>
            <w:tcW w:w="0" w:type="dxa"/>
            <w:vAlign w:val="bottom"/>
          </w:tcPr>
          <w:p>
            <w:pPr>
              <w:spacing w:after="0"/>
              <w:rPr>
                <w:sz w:val="1"/>
                <w:szCs w:val="1"/>
                <w:color w:val="auto"/>
              </w:rPr>
            </w:pPr>
          </w:p>
        </w:tc>
      </w:tr>
      <w:tr>
        <w:trPr>
          <w:trHeight w:val="134"/>
        </w:trPr>
        <w:tc>
          <w:tcPr>
            <w:tcW w:w="50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held-for-sale,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gridSpan w:val="3"/>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gridSpan w:val="2"/>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3,565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the valuation techniques used by the Company to measure certain assets recorded at fair value on a non-recurring basis in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Individually evaluated loans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adoption of CECL, loans individually evaluated for credit expected losses included non-accrual loans and other loans that do not share similar risk characteristics to loans in the CECL loan pools and have been classified as Level 3. Individually evaluated loans with an allocation to the ACL are measured at fair value on a non-recurring basis. Any fair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value adjustments are recorded in the period incurred as provision for credit losses on the Consolidated Statements of Income. Prior to adoption of CECL and ASU 2022-02, which eliminated the TDR accounting model, loans were designated as impaired when, in the judgment of management and based on current information and events, it was probable that all amounts due, according to the contractual terms of the loan agreement, would not be collected.</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measurement of loss associated with impaired loans can be based on either the observable market price of the loan, the present value of the expected future cash flows, or the fair value of the collateral. Generally, the fair value of impaired loans will be determined by the present value of the expected future cash flows or if collateral-dependent based on recent real estate appraisals. For collateral-dependent, the fair value is measured based on the value of the collateral securing the loans, less estimated costs of disposal. Collateral may be in the form of real estate or business assets, including equipment, inventory, and accounts receivable. The vast majority of the collateral is real estate. These appraisals may utilize a single valuation approach or a combination of approaches, including comparable sales and the income approach. Any fair value adjustments are recorded in the period incurred as provision for credit losses on the Consolidated Statements of Income and will result in a Level 3 fair value classification.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owned</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acquired through foreclosure or other proceedings are initially recorded at fair value less costs to sell when acquired, establishing a new cost basis. These assets are subsequently accounted for at lower of cost or fair value less estimated costs to sell. Fair value is commonly based on recent real estate appraisals, which are updated no less frequently than annually. Any fair value adjustments are recorded in the period incurred and expensed against current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Assets that were measured at fair value on a non-recurring basis during the period are summarized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Fair Value Measurements at June 30, 2023 Using:</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13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Individually evaluated loans:</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8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ind w:left="1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   $</w:t>
            </w:r>
          </w:p>
        </w:tc>
        <w:tc>
          <w:tcPr>
            <w:tcW w:w="1380" w:type="dxa"/>
            <w:vAlign w:val="bottom"/>
          </w:tcPr>
          <w:p>
            <w:pPr>
              <w:jc w:val="right"/>
              <w:spacing w:after="0"/>
              <w:rPr>
                <w:sz w:val="20"/>
                <w:szCs w:val="20"/>
                <w:color w:val="auto"/>
              </w:rPr>
            </w:pPr>
            <w:r>
              <w:rPr>
                <w:rFonts w:ascii="Arial" w:cs="Arial" w:eastAsia="Arial" w:hAnsi="Arial"/>
                <w:sz w:val="14"/>
                <w:szCs w:val="14"/>
                <w:color w:val="auto"/>
              </w:rPr>
              <w:t>308</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86"/>
        </w:trPr>
        <w:tc>
          <w:tcPr>
            <w:tcW w:w="508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10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80" w:type="dxa"/>
            <w:vAlign w:val="bottom"/>
          </w:tcPr>
          <w:p>
            <w:pPr>
              <w:ind w:left="240"/>
              <w:spacing w:after="0"/>
              <w:rPr>
                <w:sz w:val="20"/>
                <w:szCs w:val="20"/>
                <w:color w:val="auto"/>
              </w:rPr>
            </w:pPr>
            <w:r>
              <w:rPr>
                <w:rFonts w:ascii="Arial" w:cs="Arial" w:eastAsia="Arial" w:hAnsi="Arial"/>
                <w:sz w:val="14"/>
                <w:szCs w:val="14"/>
                <w:color w:val="auto"/>
              </w:rPr>
              <w:t>Single family residential</w:t>
            </w:r>
          </w:p>
        </w:tc>
        <w:tc>
          <w:tcPr>
            <w:tcW w:w="10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80" w:type="dxa"/>
            <w:vAlign w:val="bottom"/>
          </w:tcPr>
          <w:p>
            <w:pPr>
              <w:ind w:left="20"/>
              <w:spacing w:after="0"/>
              <w:rPr>
                <w:sz w:val="20"/>
                <w:szCs w:val="20"/>
                <w:color w:val="auto"/>
              </w:rPr>
            </w:pPr>
            <w:r>
              <w:rPr>
                <w:rFonts w:ascii="Arial" w:cs="Arial" w:eastAsia="Arial" w:hAnsi="Arial"/>
                <w:sz w:val="14"/>
                <w:szCs w:val="14"/>
                <w:color w:val="auto"/>
              </w:rPr>
              <w:t>Other real estate owned</w:t>
            </w:r>
          </w:p>
        </w:tc>
        <w:tc>
          <w:tcPr>
            <w:tcW w:w="10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6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2"/>
              </w:rPr>
              <w:t>Fair Value Measurements at December 31, 2022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8"/>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Observable Inputs</w:t>
            </w:r>
          </w:p>
        </w:tc>
        <w:tc>
          <w:tcPr>
            <w:tcW w:w="14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Unobservable Inputs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Individually evaluated loans: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560" w:type="dxa"/>
            <w:vAlign w:val="bottom"/>
            <w:gridSpan w:val="3"/>
          </w:tcPr>
          <w:p>
            <w:pPr>
              <w:ind w:left="1140"/>
              <w:spacing w:after="0"/>
              <w:rPr>
                <w:sz w:val="20"/>
                <w:szCs w:val="20"/>
                <w:color w:val="auto"/>
              </w:rPr>
            </w:pPr>
            <w:r>
              <w:rPr>
                <w:rFonts w:ascii="Arial" w:cs="Arial" w:eastAsia="Arial" w:hAnsi="Arial"/>
                <w:sz w:val="14"/>
                <w:szCs w:val="14"/>
                <w:color w:val="auto"/>
              </w:rPr>
              <w:t>—   $</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86"/>
        </w:trPr>
        <w:tc>
          <w:tcPr>
            <w:tcW w:w="502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120" w:type="dxa"/>
            <w:vAlign w:val="bottom"/>
          </w:tcPr>
          <w:p>
            <w:pPr>
              <w:spacing w:after="0"/>
              <w:rPr>
                <w:sz w:val="16"/>
                <w:szCs w:val="16"/>
                <w:color w:val="auto"/>
              </w:rPr>
            </w:pP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Single family residential</w:t>
            </w:r>
          </w:p>
        </w:tc>
        <w:tc>
          <w:tcPr>
            <w:tcW w:w="120" w:type="dxa"/>
            <w:vAlign w:val="bottom"/>
          </w:tcPr>
          <w:p>
            <w:pPr>
              <w:spacing w:after="0"/>
              <w:rPr>
                <w:sz w:val="15"/>
                <w:szCs w:val="15"/>
                <w:color w:val="auto"/>
              </w:rPr>
            </w:pP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ind w:left="11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Other real estate owned</w:t>
            </w:r>
          </w:p>
        </w:tc>
        <w:tc>
          <w:tcPr>
            <w:tcW w:w="120" w:type="dxa"/>
            <w:vAlign w:val="bottom"/>
          </w:tcPr>
          <w:p>
            <w:pPr>
              <w:spacing w:after="0"/>
              <w:rPr>
                <w:sz w:val="15"/>
                <w:szCs w:val="15"/>
                <w:color w:val="auto"/>
              </w:rPr>
            </w:pP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quantitative information about Level 3 Fair Value Measurements for assets measured at fair value on a non-recurring basis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December 31, 2022 (in thousands except for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7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Pr>
          <w:p>
            <w:pPr>
              <w:spacing w:after="0"/>
              <w:rPr>
                <w:sz w:val="14"/>
                <w:szCs w:val="14"/>
                <w:color w:val="auto"/>
              </w:rPr>
            </w:pPr>
          </w:p>
        </w:tc>
        <w:tc>
          <w:tcPr>
            <w:tcW w:w="23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Impaired loans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Discounted cash flow analysis</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rate for borrower</w:t>
            </w:r>
          </w:p>
        </w:tc>
        <w:tc>
          <w:tcPr>
            <w:tcW w:w="12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3.6% - 8.5%</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5.0%</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240"/>
              <w:spacing w:after="0"/>
              <w:rPr>
                <w:sz w:val="20"/>
                <w:szCs w:val="20"/>
                <w:color w:val="auto"/>
              </w:rPr>
            </w:pPr>
            <w:r>
              <w:rPr>
                <w:rFonts w:ascii="Arial" w:cs="Arial" w:eastAsia="Arial" w:hAnsi="Arial"/>
                <w:sz w:val="14"/>
                <w:szCs w:val="14"/>
                <w:color w:val="auto"/>
              </w:rPr>
              <w:t>Impaired loans</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15"/>
                <w:szCs w:val="15"/>
                <w:color w:val="auto"/>
              </w:rPr>
            </w:pPr>
          </w:p>
        </w:tc>
        <w:tc>
          <w:tcPr>
            <w:tcW w:w="2700" w:type="dxa"/>
            <w:vAlign w:val="bottom"/>
          </w:tcPr>
          <w:p>
            <w:pPr>
              <w:ind w:left="20"/>
              <w:spacing w:after="0"/>
              <w:rPr>
                <w:sz w:val="20"/>
                <w:szCs w:val="20"/>
                <w:color w:val="auto"/>
              </w:rPr>
            </w:pPr>
            <w:r>
              <w:rPr>
                <w:rFonts w:ascii="Arial" w:cs="Arial" w:eastAsia="Arial" w:hAnsi="Arial"/>
                <w:sz w:val="14"/>
                <w:szCs w:val="14"/>
                <w:color w:val="auto"/>
              </w:rPr>
              <w:t>Discounted cash flow analysis</w:t>
            </w:r>
          </w:p>
        </w:tc>
        <w:tc>
          <w:tcPr>
            <w:tcW w:w="10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Market rate for borrower</w:t>
            </w:r>
          </w:p>
        </w:tc>
        <w:tc>
          <w:tcPr>
            <w:tcW w:w="12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4.5% - 6.0%</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5.2%</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and estimated fair values of financial instruments not carried at fair value, at June 30, 2023, and December 31,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Fair Value Measurements at June 30, 2023 Using:</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Quoted Prices in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Unobservable Inputs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7"/>
                <w:szCs w:val="17"/>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9,047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9,047</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9,047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Interest-earning deposits with banks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71,752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71,752</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Loans, net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1,975,050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1,834,415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1,834,415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14,781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14,781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14,781</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Non-interest-bearing</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876,396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876,396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876,396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Interest-bearing</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2,128,867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2,119,927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2,119,927</w:t>
            </w:r>
          </w:p>
        </w:tc>
        <w:tc>
          <w:tcPr>
            <w:tcW w:w="0" w:type="dxa"/>
            <w:vAlign w:val="bottom"/>
          </w:tcPr>
          <w:p>
            <w:pPr>
              <w:spacing w:after="0"/>
              <w:rPr>
                <w:sz w:val="1"/>
                <w:szCs w:val="1"/>
                <w:color w:val="auto"/>
              </w:rPr>
            </w:pPr>
          </w:p>
        </w:tc>
      </w:tr>
      <w:tr>
        <w:trPr>
          <w:trHeight w:val="186"/>
        </w:trPr>
        <w:tc>
          <w:tcPr>
            <w:tcW w:w="3480" w:type="dxa"/>
            <w:vAlign w:val="bottom"/>
          </w:tcPr>
          <w:p>
            <w:pPr>
              <w:ind w:left="240"/>
              <w:spacing w:after="0"/>
              <w:rPr>
                <w:sz w:val="20"/>
                <w:szCs w:val="20"/>
                <w:color w:val="auto"/>
              </w:rPr>
            </w:pPr>
            <w:r>
              <w:rPr>
                <w:rFonts w:ascii="Arial" w:cs="Arial" w:eastAsia="Arial" w:hAnsi="Arial"/>
                <w:sz w:val="14"/>
                <w:szCs w:val="14"/>
                <w:color w:val="auto"/>
              </w:rPr>
              <w:t>Other borrowed funds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249,000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248,997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248,997</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4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2"/>
              </w:rPr>
              <w:t>Fair Value Measurements at December 31, 2022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Unobservable Inputs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tcPr>
          <w:p>
            <w:pPr>
              <w:ind w:left="240"/>
              <w:spacing w:after="0"/>
              <w:rPr>
                <w:sz w:val="20"/>
                <w:szCs w:val="20"/>
                <w:color w:val="auto"/>
              </w:rPr>
            </w:pPr>
            <w:r>
              <w:rPr>
                <w:rFonts w:ascii="Arial" w:cs="Arial" w:eastAsia="Arial" w:hAnsi="Arial"/>
                <w:sz w:val="14"/>
                <w:szCs w:val="14"/>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9,124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9,124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186"/>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Interest-bearing deposits with banks</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Loans, net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1,866,182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1,768,903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1,768,903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Non-interest-bearing</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960,692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960,692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960,692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Interest-bearing</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1,959,708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1,951,227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1,951,227</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Other borrowed funds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343,100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342,904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342,904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by component, net of tax,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June 30,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 June 30, 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Gains and Losses 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7"/>
              </w:rPr>
              <w:t>and Losses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1"/>
              </w:rPr>
              <w:t>Defined Benefit</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Cash Flow Hedges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Securities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Pension Items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(123,809)</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(5,529)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Net change in pension plan benefits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(126,177)</w:t>
            </w:r>
          </w:p>
        </w:tc>
        <w:tc>
          <w:tcPr>
            <w:tcW w:w="0" w:type="dxa"/>
            <w:vAlign w:val="bottom"/>
          </w:tcPr>
          <w:p>
            <w:pPr>
              <w:spacing w:after="0"/>
              <w:rPr>
                <w:sz w:val="1"/>
                <w:szCs w:val="1"/>
                <w:color w:val="auto"/>
              </w:rPr>
            </w:pPr>
          </w:p>
        </w:tc>
      </w:tr>
      <w:tr>
        <w:trPr>
          <w:trHeight w:val="477"/>
        </w:trPr>
        <w:tc>
          <w:tcPr>
            <w:tcW w:w="5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 June 30,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Gains and Losses 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7"/>
              </w:rPr>
              <w:t>and Losses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1"/>
              </w:rPr>
              <w:t>Defined Benefit</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Cash Flow Hedges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Securities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Pension Items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(57,497)</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(46,639)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change in pension plan benefits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Six months ended June 30, 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Gains and Losses 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7"/>
              </w:rPr>
              <w:t>and Losses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1"/>
              </w:rPr>
              <w:t>Defined Benefit</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Cash Flow Hedges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Securities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Pension Items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(139,495)</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11,736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Net change in pension plan benefits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(126,177)</w:t>
            </w:r>
          </w:p>
        </w:tc>
        <w:tc>
          <w:tcPr>
            <w:tcW w:w="0" w:type="dxa"/>
            <w:vAlign w:val="bottom"/>
          </w:tcPr>
          <w:p>
            <w:pPr>
              <w:spacing w:after="0"/>
              <w:rPr>
                <w:sz w:val="1"/>
                <w:szCs w:val="1"/>
                <w:color w:val="auto"/>
              </w:rPr>
            </w:pPr>
          </w:p>
        </w:tc>
      </w:tr>
      <w:tr>
        <w:trPr>
          <w:trHeight w:val="477"/>
        </w:trPr>
        <w:tc>
          <w:tcPr>
            <w:tcW w:w="5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Six months ended June 30,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Gains and Losses 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7"/>
              </w:rPr>
              <w:t>and Losses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1"/>
              </w:rPr>
              <w:t>Defined Benefit</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Cash Flow Hedges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Securities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Pension Items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(110,085)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(110,950)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change in pension plan benefits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(104,221)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amounts reclassified out of each component of accumulated other comprehensive income (loss) for the three and six months ended June 30, 2023, and June 30, 2022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6"/>
                <w:szCs w:val="16"/>
                <w:b w:val="1"/>
                <w:bCs w:val="1"/>
                <w:color w:val="auto"/>
                <w:w w:val="98"/>
              </w:rPr>
              <w:t>Amount Reclassified From Accumulated Other Comprehensive Income</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Details about Accumulated Other</w:t>
            </w:r>
          </w:p>
        </w:tc>
        <w:tc>
          <w:tcPr>
            <w:tcW w:w="180" w:type="dxa"/>
            <w:vAlign w:val="bottom"/>
          </w:tcPr>
          <w:p>
            <w:pPr>
              <w:spacing w:after="0"/>
              <w:rPr>
                <w:sz w:val="18"/>
                <w:szCs w:val="18"/>
                <w:color w:val="auto"/>
              </w:rPr>
            </w:pPr>
          </w:p>
        </w:tc>
        <w:tc>
          <w:tcPr>
            <w:tcW w:w="284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6"/>
                <w:szCs w:val="16"/>
                <w:b w:val="1"/>
                <w:bCs w:val="1"/>
                <w:color w:val="auto"/>
                <w:w w:val="94"/>
              </w:rPr>
              <w:t>Affected Line Item in the</w:t>
            </w: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 Components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June 30, 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June 30, 2023</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8"/>
              </w:rPr>
              <w:t>Statements of Income</w:t>
            </w: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40"/>
              <w:spacing w:after="0"/>
              <w:rPr>
                <w:sz w:val="20"/>
                <w:szCs w:val="20"/>
                <w:color w:val="auto"/>
              </w:rPr>
            </w:pPr>
            <w:r>
              <w:rPr>
                <w:rFonts w:ascii="Arial" w:cs="Arial" w:eastAsia="Arial" w:hAnsi="Arial"/>
                <w:sz w:val="16"/>
                <w:szCs w:val="16"/>
                <w:color w:val="auto"/>
              </w:rPr>
              <w:t>Interest rate contracts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(786)</w:t>
            </w:r>
          </w:p>
        </w:tc>
        <w:tc>
          <w:tcPr>
            <w:tcW w:w="110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169"/>
        </w:trPr>
        <w:tc>
          <w:tcPr>
            <w:tcW w:w="3200" w:type="dxa"/>
            <w:vAlign w:val="bottom"/>
            <w:gridSpan w:val="2"/>
            <w:vMerge w:val="restart"/>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CCEEFF"/>
            </w:tcBorders>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40"/>
              <w:spacing w:after="0"/>
              <w:rPr>
                <w:sz w:val="20"/>
                <w:szCs w:val="20"/>
                <w:color w:val="auto"/>
              </w:rPr>
            </w:pPr>
            <w:r>
              <w:rPr>
                <w:rFonts w:ascii="Arial" w:cs="Arial" w:eastAsia="Arial" w:hAnsi="Arial"/>
                <w:sz w:val="16"/>
                <w:szCs w:val="16"/>
                <w:color w:val="auto"/>
              </w:rPr>
              <w:t>Net of tax</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(621)</w:t>
            </w:r>
          </w:p>
        </w:tc>
        <w:tc>
          <w:tcPr>
            <w:tcW w:w="110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Available-for-sale securities: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00" w:type="dxa"/>
            <w:vAlign w:val="bottom"/>
            <w:gridSpan w:val="2"/>
            <w:vMerge w:val="restart"/>
            <w:shd w:val="clear" w:color="auto" w:fill="CCEEFF"/>
          </w:tcPr>
          <w:p>
            <w:pPr>
              <w:ind w:left="240"/>
              <w:spacing w:after="0"/>
              <w:rPr>
                <w:sz w:val="20"/>
                <w:szCs w:val="20"/>
                <w:color w:val="auto"/>
              </w:rPr>
            </w:pPr>
            <w:r>
              <w:rPr>
                <w:rFonts w:ascii="Arial" w:cs="Arial" w:eastAsia="Arial" w:hAnsi="Arial"/>
                <w:sz w:val="16"/>
                <w:szCs w:val="16"/>
                <w:color w:val="auto"/>
              </w:rPr>
              <w:t>Realized gains (losses) on securities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100" w:type="dxa"/>
            <w:vAlign w:val="bottom"/>
            <w:gridSpan w:val="2"/>
            <w:vMerge w:val="restart"/>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Net gains/(losses) on</w:t>
            </w:r>
          </w:p>
        </w:tc>
        <w:tc>
          <w:tcPr>
            <w:tcW w:w="0" w:type="dxa"/>
            <w:vAlign w:val="bottom"/>
          </w:tcPr>
          <w:p>
            <w:pPr>
              <w:spacing w:after="0"/>
              <w:rPr>
                <w:sz w:val="1"/>
                <w:szCs w:val="1"/>
                <w:color w:val="auto"/>
              </w:rPr>
            </w:pPr>
          </w:p>
        </w:tc>
      </w:tr>
      <w:tr>
        <w:trPr>
          <w:trHeight w:val="212"/>
        </w:trPr>
        <w:tc>
          <w:tcPr>
            <w:tcW w:w="32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0" w:type="dxa"/>
            <w:vAlign w:val="bottom"/>
          </w:tcPr>
          <w:p>
            <w:pPr>
              <w:spacing w:after="0"/>
              <w:rPr>
                <w:sz w:val="1"/>
                <w:szCs w:val="1"/>
                <w:color w:val="auto"/>
              </w:rPr>
            </w:pPr>
          </w:p>
        </w:tc>
      </w:tr>
      <w:tr>
        <w:trPr>
          <w:trHeight w:val="166"/>
        </w:trPr>
        <w:tc>
          <w:tcPr>
            <w:tcW w:w="3200" w:type="dxa"/>
            <w:vAlign w:val="bottom"/>
            <w:gridSpan w:val="2"/>
          </w:tcPr>
          <w:p>
            <w:pPr>
              <w:ind w:left="240"/>
              <w:spacing w:after="0" w:line="166" w:lineRule="exact"/>
              <w:rPr>
                <w:sz w:val="20"/>
                <w:szCs w:val="20"/>
                <w:color w:val="auto"/>
              </w:rPr>
            </w:pPr>
            <w:r>
              <w:rPr>
                <w:rFonts w:ascii="Arial" w:cs="Arial" w:eastAsia="Arial" w:hAnsi="Arial"/>
                <w:sz w:val="16"/>
                <w:szCs w:val="16"/>
                <w:color w:val="auto"/>
                <w:w w:val="94"/>
              </w:rPr>
              <w:t>Realized gains (losses) on basis adjustment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0" w:type="dxa"/>
            <w:vAlign w:val="bottom"/>
            <w:vMerge w:val="restart"/>
          </w:tcPr>
          <w:p>
            <w:pPr>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09"/>
        </w:trPr>
        <w:tc>
          <w:tcPr>
            <w:tcW w:w="3200" w:type="dxa"/>
            <w:vAlign w:val="bottom"/>
            <w:gridSpan w:val="2"/>
          </w:tcPr>
          <w:p>
            <w:pPr>
              <w:ind w:left="400"/>
              <w:spacing w:after="0"/>
              <w:rPr>
                <w:sz w:val="20"/>
                <w:szCs w:val="20"/>
                <w:color w:val="auto"/>
              </w:rPr>
            </w:pPr>
            <w:r>
              <w:rPr>
                <w:rFonts w:ascii="Arial" w:cs="Arial" w:eastAsia="Arial" w:hAnsi="Arial"/>
                <w:sz w:val="16"/>
                <w:szCs w:val="16"/>
                <w:color w:val="auto"/>
              </w:rPr>
              <w:t>for fair value hedges</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00" w:type="dxa"/>
            <w:vAlign w:val="bottom"/>
            <w:gridSpan w:val="2"/>
            <w:vMerge w:val="restart"/>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CCEEFF"/>
            </w:tcBorders>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40"/>
              <w:spacing w:after="0"/>
              <w:rPr>
                <w:sz w:val="20"/>
                <w:szCs w:val="20"/>
                <w:color w:val="auto"/>
              </w:rPr>
            </w:pPr>
            <w:r>
              <w:rPr>
                <w:rFonts w:ascii="Arial" w:cs="Arial" w:eastAsia="Arial" w:hAnsi="Arial"/>
                <w:sz w:val="16"/>
                <w:szCs w:val="16"/>
                <w:color w:val="auto"/>
              </w:rPr>
              <w:t>Net of tax</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(2,827)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(961)</w:t>
            </w:r>
          </w:p>
        </w:tc>
        <w:tc>
          <w:tcPr>
            <w:tcW w:w="110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ind w:left="240"/>
              <w:spacing w:after="0"/>
              <w:rPr>
                <w:sz w:val="20"/>
                <w:szCs w:val="20"/>
                <w:color w:val="auto"/>
              </w:rPr>
            </w:pPr>
            <w:r>
              <w:rPr>
                <w:rFonts w:ascii="Arial" w:cs="Arial" w:eastAsia="Arial" w:hAnsi="Arial"/>
                <w:sz w:val="16"/>
                <w:szCs w:val="16"/>
                <w:color w:val="auto"/>
              </w:rPr>
              <w:t>Total reclassifications,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Operating Expense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from the Consolidated Statements of Income for the three and six months ended June 30, 2023, and June 30, 2022,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0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FDIC assessment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4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Historic tax credit amortization</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related</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Consultant fees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Network expense</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Directors' fees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expense</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Legal expense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 franchise tax</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3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5,858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share-based incentive plan described below that allows it to offer a variety of equity compensation awards subject to approval. Total compensation cost that has been charged against income for the share-based awards granted was $607.2 thousand and $492.8 thousand for the three months ended June 30, 2023, and June 30, 2022, respectively. The total income tax benefit was $127.5 thousand and $103.5 thousand for the three months ended June 30, 2023, and June 30, 2022, respectively.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compensation cost that has been charged against income for the share-based awards granted was $1.2 million and $999 thousand for the six months ended June 30, 2023, and June 30, 2022, respectively. The total income tax benefit was $249.4 thousand and $209.8 thousand for the six months ended June 30, 2023, and June 30,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Stock Incentive Plan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the Company’s Stock Incentive Plan (“2019 SIP”) was approved by the Bank’s Board of Directors. The 2019 SIP provides for the issuance of share-based awards to directors and employees of the Company. The 2019 SIP authorized 240,000 units to be issued, and the Company has a practice of using shares held as treasury stock to satisfy these share-based awards. Each unit represents a contingent right to receive one common share or an equivalent amount of cash, or a combination of the two, at the discretion of the Company. Currently, we have a sufficient number of treasury shares to satisfy outstanding equity awards.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 A total of 24,705 and 13,160 shares were issued during the six months ended June 30, 2023, and June 30, 2022, respectively.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time-based RSUs, the fair value was determined by using the closing stock price on the date prior to the grant date. These RSUs vest over three to five years.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from time-to-time, approves performance-based RSU awards that may be earned between a three to five year performance period. Whether units are earned at the end of the performance period will be determined based on the achievement of a market capitalization target over the performance period. If the condition is not achieved, the grant recipient will receive 50% of the units upon fulfilling the required service time. If the performance condition is achieved, the grant recipient will receive 100% of the units granted. The market capitalization target will be determined by the Board.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w:t>
      </w:r>
    </w:p>
    <w:p>
      <w:pPr>
        <w:jc w:val="both"/>
        <w:ind w:firstLine="8"/>
        <w:spacing w:after="0" w:line="255"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RSU awards: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Non-vested Shares</w:t>
            </w:r>
          </w:p>
        </w:tc>
        <w:tc>
          <w:tcPr>
            <w:tcW w:w="100" w:type="dxa"/>
            <w:vAlign w:val="bottom"/>
          </w:tcPr>
          <w:p>
            <w:pPr>
              <w:spacing w:after="0"/>
              <w:rPr>
                <w:sz w:val="14"/>
                <w:szCs w:val="14"/>
                <w:color w:val="auto"/>
              </w:rPr>
            </w:pPr>
          </w:p>
        </w:tc>
        <w:tc>
          <w:tcPr>
            <w:tcW w:w="14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Grant-Date Fair Value</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24,705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was $4.1 million of total unrecognized compensation costs related to non-vested shares granted under the 2019 SIP. The cost is expected to be recognized over a weighted average period of 1.85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Stock Incentive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2023, a new stock incentive plan (“2023 SIP”) was approved by the Board of directors and shareholders. Upon the plan’s shareholder approval date of March 30, 2023, no further share-based awards will be issued under the 2019 SIP. The plan provides for the issuance of share-based awards to directors and employees of the Company. The 2023 SIP authorized the issuance of 250,000 shares, subject to an annual increase in available shares. As of June 30, 2023, no share-based awards have been issued under the 2023 SIP.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Diluted earnings per share reflects the potential impact of contingently issuable shares.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5"/>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 thousands)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w:t>
            </w:r>
          </w:p>
        </w:tc>
      </w:tr>
      <w:tr>
        <w:trPr>
          <w:trHeight w:val="257"/>
        </w:trPr>
        <w:tc>
          <w:tcPr>
            <w:tcW w:w="5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7,424,405</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effect of dilutive shares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29,570</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dilutive shares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7,514,955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7,456,086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7,509,831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7,453,975</w:t>
            </w:r>
          </w:p>
        </w:tc>
      </w:tr>
      <w:tr>
        <w:trPr>
          <w:trHeight w:val="236"/>
        </w:trPr>
        <w:tc>
          <w:tcPr>
            <w:tcW w:w="5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awards equivalent to zero and 890 shares of Common Stock were not considered in computing diluted earnings per common share for the three months ended June 30, 2023, and June 30, 2022, respectively, because they were antidilutive. Stock awards equivalent to zero and zero shares of Common Stock were not considered in computing diluted earnings per share for the six months ended June 30, 2023, and June 30, 2022, respectively, because they were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Arial" w:cs="Arial" w:eastAsia="Arial" w:hAnsi="Arial"/>
          <w:sz w:val="16"/>
          <w:szCs w:val="16"/>
          <w:u w:val="single" w:color="auto"/>
          <w:color w:val="0000FF"/>
        </w:rPr>
        <w:t>Item 1. Financial Statements</w:t>
      </w:r>
      <w:r>
        <w:rPr>
          <w:rFonts w:ascii="Arial" w:cs="Arial" w:eastAsia="Arial" w:hAnsi="Arial"/>
          <w:sz w:val="16"/>
          <w:szCs w:val="16"/>
          <w:color w:val="auto"/>
        </w:rPr>
        <w:t xml:space="preserve"> of this Form 10-Q, as well as with the audited consolidated financial statements and notes for the year ended December 31, 2022, included in our Registration Statement on Form 10 filed with the SEC on February 28, 2023, as amended on April 4, 2023, April 20, 2023, and April 21, 2023, and as declared as effective by the SEC on April 21, 2023 (the “Registration Statement”). Historical results of operations and the percentage relationships among any amounts included and any trends that may appear may not indicate trends in operations or results of operations for any future periods. We are a bank holding company, and we conduct all of our material business operations through the Bank. As a result, the discussion and analysis below primarily relate to activities conducted at the Bank.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Important risks, uncertainties, and other factors which may cause the actual results, performance, or achievements of the Company, as applicable, to be materially different from any expected future results, performance, or achievements expressed or implied by such forward-looking information and statements include, but are not limited to, the risks described in </w:t>
      </w:r>
      <w:r>
        <w:rPr>
          <w:rFonts w:ascii="Arial" w:cs="Arial" w:eastAsia="Arial" w:hAnsi="Arial"/>
          <w:sz w:val="18"/>
          <w:szCs w:val="18"/>
          <w:u w:val="single" w:color="auto"/>
          <w:color w:val="0000FF"/>
        </w:rPr>
        <w:t>Part II, Item 1A. Risk Factors</w:t>
      </w:r>
      <w:r>
        <w:rPr>
          <w:rFonts w:ascii="Arial" w:cs="Arial" w:eastAsia="Arial" w:hAnsi="Arial"/>
          <w:sz w:val="18"/>
          <w:szCs w:val="18"/>
          <w:color w:val="auto"/>
        </w:rPr>
        <w:t xml:space="preserve"> in this Form 10-Q.</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Readers are cautioned not to place undue reliance on any forward-looking statements contained in this Form 10-Q,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10-Q.</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will continue to make, various forward-looking statements with respect to financial and business matters. Comments regarding our business that are not historical facts are considered forward-looking statements that involve inherent risks and uncertainties. Actual results may differ materially from those contained in these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Burke &amp; Herbert Financial Services Corp. was organized as a Virginia corporation on September 14, 2022, to serve as the holding company for the Bank.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owns 100% of the Bank. The Bank is a Virginia chartered commercial bank that commenced operations in 1852. The Bank is supervised and regulated by the FDIC and the Virginia BFI.</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offers a full range of business and personal financial solutions designed to meet customers’ banking, borrowing, and investment needs and has over 20 branches throughout the Northern Virginia region and commercial loan offices in Fredericksburg, Loudoun County, and Richmond, Virginia, and in Bethesda, Maryland.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2023, we had total consolidated assets of $3.6 billion, gross loans of $2.0 billion, total deposits of $3.0 billion, and total shareholders’ equity of $290.1 million. As of June 30, 2023, we had 407 full-time employees. None of our employees are covered by a collective bargaining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in the Financial Services Industry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bank failures that occurred during March and May 2023 and the attendant stress on economic agents, including various financial stock markets, the Company took multiple proactive measures to mitigate any potential financial and operational impacts. Such measures included, but were not limited to:</w:t>
      </w:r>
    </w:p>
    <w:p>
      <w:pPr>
        <w:spacing w:after="0" w:line="13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dissemination of internal communication to inform the Board and employees of current events and the Company’s condition and desired market response;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testing of available liquidity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real-time analysis of our deposit composition and deposit concentrations;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our investment securities portfolio;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stress testing of liquidity and capital metrics based on observed financial conditions with particular emphasis on the causes of such risk events.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further discussion see Item 1A, under the caption “Risk Factors” in our Registration Statement. The measures taken followed meetings convened by a subcommittee provided for in our Asset/Liability policy more fully described in </w:t>
      </w:r>
      <w:r>
        <w:rPr>
          <w:rFonts w:ascii="Arial" w:cs="Arial" w:eastAsia="Arial" w:hAnsi="Arial"/>
          <w:sz w:val="18"/>
          <w:szCs w:val="18"/>
          <w:u w:val="single" w:color="auto"/>
          <w:color w:val="0000FF"/>
        </w:rPr>
        <w:t>Item 3.- 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Market Risk</w:t>
      </w:r>
      <w:r>
        <w:rPr>
          <w:rFonts w:ascii="Arial" w:cs="Arial" w:eastAsia="Arial" w:hAnsi="Arial"/>
          <w:sz w:val="18"/>
          <w:szCs w:val="18"/>
          <w:color w:val="000000"/>
        </w:rPr>
        <w: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credit losses. Results of the stress tests indicated capital levels that remained above the well-capitalized regulatory ratios and liquidity metrics remained within internal policy guidelines. For additional information related to capital, see Notes to the Consolidated Financial Statements – </w:t>
      </w:r>
      <w:r>
        <w:rPr>
          <w:rFonts w:ascii="Arial" w:cs="Arial" w:eastAsia="Arial" w:hAnsi="Arial"/>
          <w:sz w:val="18"/>
          <w:szCs w:val="18"/>
          <w:u w:val="single" w:color="auto"/>
          <w:color w:val="0000FF"/>
        </w:rPr>
        <w:t>Note 8. Regulatory Capital Matters</w:t>
      </w:r>
      <w:r>
        <w:rPr>
          <w:rFonts w:ascii="Arial" w:cs="Arial" w:eastAsia="Arial" w:hAnsi="Arial"/>
          <w:sz w:val="18"/>
          <w:szCs w:val="18"/>
          <w:color w:val="auto"/>
        </w:rPr>
        <w:t>. The Company intends to continue conducting such stress tests on an interim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accounting and reporting policies are in accordance with GAAP and follow accounting and reporting guidelines prescribed by bank regulatory and general practices within the financial services industry. Our financial position and results of operations are affected by management’s application of accounting policies, including estimates, assumptions, and judgements that affect the amounts reported in the consolidated financial statements and accompanying notes.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 The more critical accounting estimates include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accounting for credit losses and valuation methodologies. Additional disclosures regarding the effects of new pronouncements, ASU 2016-13 and ASU 2022-02, are included in this report in </w:t>
      </w:r>
      <w:r>
        <w:rPr>
          <w:rFonts w:ascii="Arial" w:cs="Arial" w:eastAsia="Arial" w:hAnsi="Arial"/>
          <w:sz w:val="18"/>
          <w:szCs w:val="18"/>
          <w:u w:val="single" w:color="auto"/>
          <w:color w:val="0000FF"/>
        </w:rPr>
        <w:t>Note 1, Nature of Business Activities and Significant Accounting Policies</w:t>
      </w:r>
      <w:r>
        <w:rPr>
          <w:rFonts w:ascii="Arial" w:cs="Arial" w:eastAsia="Arial" w:hAnsi="Arial"/>
          <w:sz w:val="18"/>
          <w:szCs w:val="18"/>
          <w:color w:val="auto"/>
        </w:rPr>
        <w:t xml:space="preserve">, to the consolidated financial statements under </w:t>
      </w:r>
      <w:r>
        <w:rPr>
          <w:rFonts w:ascii="Arial" w:cs="Arial" w:eastAsia="Arial" w:hAnsi="Arial"/>
          <w:sz w:val="18"/>
          <w:szCs w:val="18"/>
          <w:u w:val="single" w:color="auto"/>
          <w:color w:val="0000FF"/>
        </w:rPr>
        <w:t>Part 1, Item 1, “Financial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Management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Company’s financial performance and condition, liquidity may be impacted by the Company’s structure as a bank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believes that the current sources of liquidity are adequate to meet the Company’s requirements and plans for continued growth. See </w:t>
      </w:r>
      <w:r>
        <w:rPr>
          <w:rFonts w:ascii="Arial" w:cs="Arial" w:eastAsia="Arial" w:hAnsi="Arial"/>
          <w:sz w:val="18"/>
          <w:szCs w:val="18"/>
          <w:u w:val="single" w:color="auto"/>
          <w:color w:val="0000FF"/>
        </w:rPr>
        <w:t>Note 6 -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Advances and Other Borrowings</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10 - Commitments and Contingencies</w:t>
      </w:r>
      <w:r>
        <w:rPr>
          <w:rFonts w:ascii="Arial" w:cs="Arial" w:eastAsia="Arial" w:hAnsi="Arial"/>
          <w:sz w:val="18"/>
          <w:szCs w:val="18"/>
          <w:color w:val="000000"/>
        </w:rPr>
        <w:t>, in Notes to Consolidated Financial Statements for additional information</w:t>
      </w:r>
      <w:r>
        <w:rPr>
          <w:rFonts w:ascii="Arial" w:cs="Arial" w:eastAsia="Arial" w:hAnsi="Arial"/>
          <w:sz w:val="18"/>
          <w:szCs w:val="18"/>
          <w:color w:val="0000FF"/>
        </w:rPr>
        <w:t xml:space="preserve"> </w:t>
      </w:r>
      <w:r>
        <w:rPr>
          <w:rFonts w:ascii="Arial" w:cs="Arial" w:eastAsia="Arial" w:hAnsi="Arial"/>
          <w:sz w:val="18"/>
          <w:szCs w:val="18"/>
          <w:color w:val="000000"/>
        </w:rPr>
        <w:t>regarding outstanding balances of sources of liquidity and contractual commitments and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2013, the Federal Reserve published the final rules that established a new comprehensive capital framework for banking organizations, commonly referred to as Basel III. These final rules substantially revised the risk-based capital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applicable to bank holding companies and depository institutions. The final rule became effective January 1, 2015, for smaller, non-complex banking organizations with full implementation by January 1, 2019.</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Basel III Capital Rules require the Holding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Holding Company or the Bank.</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capital adequacy guidelines and the regulatory framework for “prompt corrective action”, the Holding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June 30, 2023, and December 31, 2022, the Bank complied with all regulatory capital standards and qualifies as “well capitalized”. </w:t>
      </w:r>
      <w:r>
        <w:rPr>
          <w:rFonts w:ascii="Arial" w:cs="Arial" w:eastAsia="Arial" w:hAnsi="Arial"/>
          <w:sz w:val="18"/>
          <w:szCs w:val="18"/>
          <w:u w:val="single" w:color="auto"/>
          <w:color w:val="0000FF"/>
        </w:rPr>
        <w:t>Note 8 -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Regulatory Capital Matters</w:t>
      </w:r>
      <w:r>
        <w:rPr>
          <w:rFonts w:ascii="Arial" w:cs="Arial" w:eastAsia="Arial" w:hAnsi="Arial"/>
          <w:sz w:val="18"/>
          <w:szCs w:val="18"/>
          <w:color w:val="0000FF"/>
        </w:rPr>
        <w:t xml:space="preserve"> </w:t>
      </w:r>
      <w:r>
        <w:rPr>
          <w:rFonts w:ascii="Arial" w:cs="Arial" w:eastAsia="Arial" w:hAnsi="Arial"/>
          <w:sz w:val="18"/>
          <w:szCs w:val="18"/>
          <w:color w:val="000000"/>
        </w:rPr>
        <w:t>in Notes to Consolidated Financial Statements contains additional discussion and analysis regarding the Company and the</w:t>
      </w:r>
      <w:r>
        <w:rPr>
          <w:rFonts w:ascii="Arial" w:cs="Arial" w:eastAsia="Arial" w:hAnsi="Arial"/>
          <w:sz w:val="18"/>
          <w:szCs w:val="18"/>
          <w:color w:val="0000FF"/>
        </w:rPr>
        <w:t xml:space="preserve"> </w:t>
      </w:r>
      <w:r>
        <w:rPr>
          <w:rFonts w:ascii="Arial" w:cs="Arial" w:eastAsia="Arial" w:hAnsi="Arial"/>
          <w:sz w:val="18"/>
          <w:szCs w:val="18"/>
          <w:color w:val="000000"/>
        </w:rPr>
        <w:t>Bank’s regulatory capital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 than normal rates in order to maintain an appropriate equity-to-assets ratio. Inflation also affects other expenses that tend to rise during periods of general inflation.</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Factors Affecting Financial Performance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 as well as with the audited consolidated financial statements and notes for the year ended December 31, 2022, included in our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managing capital and liquidity, including: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Continuing to maintain and, over time, grow our deposit base as a low-cost stable funding source,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hanging="320"/>
        <w:spacing w:after="0"/>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Prudent liquidity and capital management to meet evolving regulatory capital, capital planning, stress testing, and liquidity standards, and</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Actions we take within the capital and other financial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of credit risk and interest rate risk in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and implement strategic business objectives within the changing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legal and regulatory-related 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appropriateness of critical accounting estimates and related contingencies,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operational risks related to new products and services, changes in processes and procedures, or the implementation of new technology,</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execute our strategic objectives while satisfying the obligations associated with being a public company that will require significant resources and management attention and may divert management’s attention from our business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 conditions, including the length and extent of the economic impacts of a pandemic, and the actions taken to mitigate and manage it,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climate change on our business and performance, including indirectly through impacts on our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actions by the Federal Reserve, U.S. Treasury, and other government agencies, including those that impact money supply and market interest rates and inflation,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and direction, timing, and magnitude of movement in interest rates and the shape of the interest rate yield curve,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functioning and other performance of, and availability of liquidity in U.S. and global financial markets, including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tariffs and other trade policies of the U.S. and its global trading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Impacts of changes in federal, state, and local governmental policy, including on the regulatory landscape, capital markets, taxes, infrastructure spending, and social programs,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market credit spreads on asset valuations,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customers, counterparties, and issuers to perform in accordance with contractual terms, and the resulting impact on our asset quality,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demand, utilization of credit commitments, and standby letters of credit,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customers and changes in customer behavior due to changing business and economic conditions or regulatory or legislative initiatives.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impact of these items, where material, is discussed in the applicable sections of this Management’s Discussion and Analysis of Financial Condition and Results of Operation. For additional information on the risks we face, see </w:t>
      </w:r>
      <w:r>
        <w:rPr>
          <w:rFonts w:ascii="Arial" w:cs="Arial" w:eastAsia="Arial" w:hAnsi="Arial"/>
          <w:sz w:val="18"/>
          <w:szCs w:val="18"/>
          <w:u w:val="single" w:color="auto"/>
          <w:color w:val="0000FF"/>
        </w:rPr>
        <w:t>Part II,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contains selected historical consolidated financial data as of the dates and for the periods shown. The selected balance sheet data as of June 30, 2023, and June 30, 2022, and the selected income statement data for the three months and six months ended June 30, 2023, and June 30, 2022, have been derived from our consolidated financial statements included elsewhere in this Form 10-Q and should be read in conjunction with the other information contained in this Form 10-Q.</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jc w:val="center"/>
              <w:ind w:right="59"/>
              <w:spacing w:after="0"/>
              <w:rPr>
                <w:sz w:val="20"/>
                <w:szCs w:val="20"/>
                <w:color w:val="auto"/>
              </w:rPr>
            </w:pPr>
            <w:r>
              <w:rPr>
                <w:rFonts w:ascii="Arial" w:cs="Arial" w:eastAsia="Arial" w:hAnsi="Arial"/>
                <w:sz w:val="16"/>
                <w:szCs w:val="16"/>
                <w:b w:val="1"/>
                <w:bCs w:val="1"/>
                <w:color w:val="auto"/>
                <w:w w:val="91"/>
              </w:rPr>
              <w:t>As of the Three Months Ended June 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8"/>
              </w:rPr>
              <w:t>As of the Six Months Ended June 30,</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ratios, share and per share data)</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Selected Financial Condition Data: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3,569,226</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3,585,822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3,569,226</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3,585,822</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80,799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92,815</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Total investment securities, at fair value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1,252,190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1,515,974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1,252,190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1,515,974</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loans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1,975,050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1,725,146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1,975,050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1,725,146</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Company-owned life insurance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92,147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93,625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92,147</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Premises and equipment, 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36,093</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Total deposits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3,005,263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2,960,423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3,005,263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2,960,423</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Advances and other borrowings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249,000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310,000</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Total shareholders’ equity</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291,138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290,072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291,138</w:t>
            </w:r>
          </w:p>
        </w:tc>
        <w:tc>
          <w:tcPr>
            <w:tcW w:w="0" w:type="dxa"/>
            <w:vAlign w:val="bottom"/>
          </w:tcPr>
          <w:p>
            <w:pPr>
              <w:spacing w:after="0"/>
              <w:rPr>
                <w:sz w:val="1"/>
                <w:szCs w:val="1"/>
                <w:color w:val="auto"/>
              </w:rPr>
            </w:pPr>
          </w:p>
        </w:tc>
      </w:tr>
      <w:tr>
        <w:trPr>
          <w:trHeight w:val="273"/>
        </w:trPr>
        <w:tc>
          <w:tcPr>
            <w:tcW w:w="4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5"/>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As of or for the Three Months Ended June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w w:val="90"/>
              </w:rPr>
              <w:t>As of or for the Six Months Ended June 30,</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89"/>
              </w:rPr>
              <w:t>30,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3"/>
            <w:vMerge w:val="continue"/>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Selected Operating Data: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37,116</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26,542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71,444</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50,794</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25,631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48,566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49,102</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Total non-interest income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8,839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expenses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20,368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41,713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39,533</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14,963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23,356</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3,833</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13,558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19,523</w:t>
            </w:r>
          </w:p>
        </w:tc>
        <w:tc>
          <w:tcPr>
            <w:tcW w:w="0" w:type="dxa"/>
            <w:vAlign w:val="bottom"/>
          </w:tcPr>
          <w:p>
            <w:pPr>
              <w:spacing w:after="0"/>
              <w:rPr>
                <w:sz w:val="1"/>
                <w:szCs w:val="1"/>
                <w:color w:val="auto"/>
              </w:rPr>
            </w:pPr>
          </w:p>
        </w:tc>
      </w:tr>
      <w:tr>
        <w:trPr>
          <w:trHeight w:val="273"/>
        </w:trPr>
        <w:tc>
          <w:tcPr>
            <w:tcW w:w="4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 Data:</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shares of Common Stock outstanding, basic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7,428,079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7,424,747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7,427,363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7,424,405</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Average shares of Common Stock outstanding, diluted</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7,514,955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7,456,086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7,509,831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7,453,975</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Common Stock outstanding</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7,428,710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7,425,760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7,428,710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7,425,760</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Basic net income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0.81</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1.82</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net income per share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Dividends declared per share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Dividend payout ratio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40.46 %</w:t>
            </w:r>
          </w:p>
        </w:tc>
        <w:tc>
          <w:tcPr>
            <w:tcW w:w="0" w:type="dxa"/>
            <w:vAlign w:val="bottom"/>
          </w:tcPr>
          <w:p>
            <w:pPr>
              <w:spacing w:after="0"/>
              <w:rPr>
                <w:sz w:val="1"/>
                <w:szCs w:val="1"/>
                <w:color w:val="auto"/>
              </w:rPr>
            </w:pP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Book value (at period end)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39.05</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39.21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39.05</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39.21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1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As of or for the Three Months Ended June</w:t>
            </w:r>
          </w:p>
        </w:tc>
        <w:tc>
          <w:tcPr>
            <w:tcW w:w="80" w:type="dxa"/>
            <w:vAlign w:val="bottom"/>
          </w:tcPr>
          <w:p>
            <w:pPr>
              <w:spacing w:after="0"/>
              <w:rPr>
                <w:sz w:val="16"/>
                <w:szCs w:val="16"/>
                <w:color w:val="auto"/>
              </w:rPr>
            </w:pPr>
          </w:p>
        </w:tc>
        <w:tc>
          <w:tcPr>
            <w:tcW w:w="318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w w:val="93"/>
              </w:rPr>
              <w:t>As of or for the Six Months Ended June 30,</w:t>
            </w: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960" w:type="dxa"/>
            <w:vAlign w:val="bottom"/>
            <w:gridSpan w:val="3"/>
            <w:vMerge w:val="restart"/>
          </w:tcPr>
          <w:p>
            <w:pPr>
              <w:jc w:val="right"/>
              <w:ind w:right="280"/>
              <w:spacing w:after="0"/>
              <w:rPr>
                <w:sz w:val="20"/>
                <w:szCs w:val="20"/>
                <w:color w:val="auto"/>
              </w:rPr>
            </w:pPr>
            <w:r>
              <w:rPr>
                <w:rFonts w:ascii="Arial" w:cs="Arial" w:eastAsia="Arial" w:hAnsi="Arial"/>
                <w:sz w:val="16"/>
                <w:szCs w:val="16"/>
                <w:b w:val="1"/>
                <w:bCs w:val="1"/>
                <w:color w:val="auto"/>
              </w:rPr>
              <w:t>30,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800" w:type="dxa"/>
            <w:vAlign w:val="bottom"/>
          </w:tcPr>
          <w:p>
            <w:pPr>
              <w:spacing w:after="0"/>
              <w:rPr>
                <w:sz w:val="7"/>
                <w:szCs w:val="7"/>
                <w:color w:val="auto"/>
              </w:rPr>
            </w:pPr>
          </w:p>
        </w:tc>
        <w:tc>
          <w:tcPr>
            <w:tcW w:w="1960" w:type="dxa"/>
            <w:vAlign w:val="bottom"/>
            <w:tcBorders>
              <w:bottom w:val="single" w:sz="8" w:color="auto"/>
            </w:tcBorders>
            <w:gridSpan w:val="3"/>
            <w:vMerge w:val="continue"/>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64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Performance Ratios: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1540" w:type="dxa"/>
            <w:vAlign w:val="bottom"/>
          </w:tcPr>
          <w:p>
            <w:pPr>
              <w:jc w:val="right"/>
              <w:spacing w:after="0"/>
              <w:rPr>
                <w:sz w:val="20"/>
                <w:szCs w:val="20"/>
                <w:color w:val="auto"/>
              </w:rPr>
            </w:pPr>
            <w:r>
              <w:rPr>
                <w:rFonts w:ascii="Arial" w:cs="Arial" w:eastAsia="Arial" w:hAnsi="Arial"/>
                <w:sz w:val="16"/>
                <w:szCs w:val="16"/>
                <w:color w:val="auto"/>
              </w:rPr>
              <w:t>0.67 %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1.17 %</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0.76 %</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on average equity</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13.48</w:t>
            </w:r>
          </w:p>
        </w:tc>
        <w:tc>
          <w:tcPr>
            <w:tcW w:w="16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9.56</w:t>
            </w:r>
          </w:p>
        </w:tc>
        <w:tc>
          <w:tcPr>
            <w:tcW w:w="16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rate spread </w:t>
            </w:r>
            <w:r>
              <w:rPr>
                <w:rFonts w:ascii="Arial" w:cs="Arial" w:eastAsia="Arial" w:hAnsi="Arial"/>
                <w:sz w:val="21"/>
                <w:szCs w:val="21"/>
                <w:color w:val="auto"/>
                <w:vertAlign w:val="superscript"/>
              </w:rPr>
              <w:t>(2)</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3.10</w:t>
            </w:r>
          </w:p>
        </w:tc>
        <w:tc>
          <w:tcPr>
            <w:tcW w:w="1620" w:type="dxa"/>
            <w:vAlign w:val="bottom"/>
            <w:gridSpan w:val="2"/>
          </w:tcPr>
          <w:p>
            <w:pPr>
              <w:jc w:val="right"/>
              <w:ind w:right="99"/>
              <w:spacing w:after="0"/>
              <w:rPr>
                <w:sz w:val="20"/>
                <w:szCs w:val="20"/>
                <w:color w:val="auto"/>
              </w:rPr>
            </w:pPr>
            <w:r>
              <w:rPr>
                <w:rFonts w:ascii="Arial" w:cs="Arial" w:eastAsia="Arial" w:hAnsi="Arial"/>
                <w:sz w:val="16"/>
                <w:szCs w:val="16"/>
                <w:color w:val="auto"/>
              </w:rPr>
              <w:t>2.41</w:t>
            </w: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1"/>
                <w:szCs w:val="21"/>
                <w:color w:val="auto"/>
                <w:vertAlign w:val="superscript"/>
              </w:rPr>
              <w:t>(3)</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w:t>
            </w:r>
          </w:p>
        </w:tc>
        <w:tc>
          <w:tcPr>
            <w:tcW w:w="16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2.96</w:t>
            </w:r>
          </w:p>
        </w:tc>
        <w:tc>
          <w:tcPr>
            <w:tcW w:w="16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1"/>
                <w:szCs w:val="21"/>
                <w:color w:val="auto"/>
                <w:vertAlign w:val="superscript"/>
              </w:rPr>
              <w:t>(4)</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75.12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67.61</w:t>
            </w:r>
          </w:p>
        </w:tc>
        <w:tc>
          <w:tcPr>
            <w:tcW w:w="1620" w:type="dxa"/>
            <w:vAlign w:val="bottom"/>
            <w:gridSpan w:val="2"/>
          </w:tcPr>
          <w:p>
            <w:pPr>
              <w:jc w:val="right"/>
              <w:ind w:right="99"/>
              <w:spacing w:after="0"/>
              <w:rPr>
                <w:sz w:val="20"/>
                <w:szCs w:val="20"/>
                <w:color w:val="auto"/>
              </w:rPr>
            </w:pPr>
            <w:r>
              <w:rPr>
                <w:rFonts w:ascii="Arial" w:cs="Arial" w:eastAsia="Arial" w:hAnsi="Arial"/>
                <w:sz w:val="16"/>
                <w:szCs w:val="16"/>
                <w:color w:val="auto"/>
              </w:rPr>
              <w:t>72.66</w:t>
            </w: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68.50</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Capital Ratios: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Common equity tier 1 (CET 1) capital to risk-weighted assets </w:t>
            </w:r>
            <w:r>
              <w:rPr>
                <w:rFonts w:ascii="Arial" w:cs="Arial" w:eastAsia="Arial" w:hAnsi="Arial"/>
                <w:sz w:val="21"/>
                <w:szCs w:val="21"/>
                <w:color w:val="auto"/>
                <w:vertAlign w:val="superscript"/>
              </w:rPr>
              <w:t>(5)</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17.60 %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18.09 %</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Total risk-based capital to risk-weighted assets </w:t>
            </w:r>
            <w:r>
              <w:rPr>
                <w:rFonts w:ascii="Arial" w:cs="Arial" w:eastAsia="Arial" w:hAnsi="Arial"/>
                <w:sz w:val="21"/>
                <w:szCs w:val="21"/>
                <w:color w:val="auto"/>
                <w:vertAlign w:val="superscript"/>
              </w:rPr>
              <w:t>(5)</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19.16</w:t>
            </w:r>
          </w:p>
        </w:tc>
        <w:tc>
          <w:tcPr>
            <w:tcW w:w="1620" w:type="dxa"/>
            <w:vAlign w:val="bottom"/>
            <w:gridSpan w:val="2"/>
          </w:tcPr>
          <w:p>
            <w:pPr>
              <w:jc w:val="right"/>
              <w:ind w:right="99"/>
              <w:spacing w:after="0"/>
              <w:rPr>
                <w:sz w:val="20"/>
                <w:szCs w:val="20"/>
                <w:color w:val="auto"/>
              </w:rPr>
            </w:pPr>
            <w:r>
              <w:rPr>
                <w:rFonts w:ascii="Arial" w:cs="Arial" w:eastAsia="Arial" w:hAnsi="Arial"/>
                <w:sz w:val="16"/>
                <w:szCs w:val="16"/>
                <w:color w:val="auto"/>
              </w:rPr>
              <w:t>18.71</w:t>
            </w: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Tier 1 capital to risk-weighted assets </w:t>
            </w:r>
            <w:r>
              <w:rPr>
                <w:rFonts w:ascii="Arial" w:cs="Arial" w:eastAsia="Arial" w:hAnsi="Arial"/>
                <w:sz w:val="21"/>
                <w:szCs w:val="21"/>
                <w:color w:val="auto"/>
                <w:vertAlign w:val="superscript"/>
              </w:rPr>
              <w:t>(5)</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18.09</w:t>
            </w:r>
          </w:p>
        </w:tc>
        <w:tc>
          <w:tcPr>
            <w:tcW w:w="16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17.60</w:t>
            </w:r>
          </w:p>
        </w:tc>
        <w:tc>
          <w:tcPr>
            <w:tcW w:w="16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18.09</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Tier 1 capital to average assets </w:t>
            </w:r>
            <w:r>
              <w:rPr>
                <w:rFonts w:ascii="Arial" w:cs="Arial" w:eastAsia="Arial" w:hAnsi="Arial"/>
                <w:sz w:val="21"/>
                <w:szCs w:val="21"/>
                <w:color w:val="auto"/>
                <w:vertAlign w:val="superscript"/>
              </w:rPr>
              <w:t>(5)</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10.94</w:t>
            </w:r>
          </w:p>
        </w:tc>
        <w:tc>
          <w:tcPr>
            <w:tcW w:w="1620" w:type="dxa"/>
            <w:vAlign w:val="bottom"/>
            <w:gridSpan w:val="2"/>
          </w:tcPr>
          <w:p>
            <w:pPr>
              <w:jc w:val="right"/>
              <w:ind w:right="99"/>
              <w:spacing w:after="0"/>
              <w:rPr>
                <w:sz w:val="20"/>
                <w:szCs w:val="20"/>
                <w:color w:val="auto"/>
              </w:rPr>
            </w:pPr>
            <w:r>
              <w:rPr>
                <w:rFonts w:ascii="Arial" w:cs="Arial" w:eastAsia="Arial" w:hAnsi="Arial"/>
                <w:sz w:val="16"/>
                <w:szCs w:val="16"/>
                <w:color w:val="auto"/>
              </w:rPr>
              <w:t>11.20</w:t>
            </w: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Average equity to average assets </w:t>
            </w:r>
            <w:r>
              <w:rPr>
                <w:rFonts w:ascii="Arial" w:cs="Arial" w:eastAsia="Arial" w:hAnsi="Arial"/>
                <w:sz w:val="21"/>
                <w:szCs w:val="21"/>
                <w:color w:val="auto"/>
                <w:vertAlign w:val="superscript"/>
              </w:rPr>
              <w:t>(5)</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8.69</w:t>
            </w:r>
          </w:p>
        </w:tc>
        <w:tc>
          <w:tcPr>
            <w:tcW w:w="16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7.93</w:t>
            </w:r>
          </w:p>
        </w:tc>
        <w:tc>
          <w:tcPr>
            <w:tcW w:w="16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 Quality Ratios: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Allowance coverage ratio</w:t>
            </w:r>
          </w:p>
        </w:tc>
        <w:tc>
          <w:tcPr>
            <w:tcW w:w="1540" w:type="dxa"/>
            <w:vAlign w:val="bottom"/>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1.34 %</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1.30 %</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Allowance for credit losses as a percentage of non-performing loans</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91.49</w:t>
            </w:r>
          </w:p>
        </w:tc>
        <w:tc>
          <w:tcPr>
            <w:tcW w:w="16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886.73</w:t>
            </w:r>
          </w:p>
        </w:tc>
        <w:tc>
          <w:tcPr>
            <w:tcW w:w="16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91.49</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Net charge-offs to average outstanding loans during the period</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0.18</w:t>
            </w:r>
          </w:p>
        </w:tc>
        <w:tc>
          <w:tcPr>
            <w:tcW w:w="1620" w:type="dxa"/>
            <w:vAlign w:val="bottom"/>
            <w:gridSpan w:val="2"/>
          </w:tcPr>
          <w:p>
            <w:pPr>
              <w:jc w:val="right"/>
              <w:ind w:right="99"/>
              <w:spacing w:after="0"/>
              <w:rPr>
                <w:sz w:val="20"/>
                <w:szCs w:val="20"/>
                <w:color w:val="auto"/>
              </w:rPr>
            </w:pPr>
            <w:r>
              <w:rPr>
                <w:rFonts w:ascii="Arial" w:cs="Arial" w:eastAsia="Arial" w:hAnsi="Arial"/>
                <w:sz w:val="16"/>
                <w:szCs w:val="16"/>
                <w:color w:val="auto"/>
              </w:rPr>
              <w:t>0.00</w:t>
            </w: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 loans as a percentage of total loans</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Non-performing assets as a percentage of total assets</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81.89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0.71</w:t>
            </w:r>
          </w:p>
        </w:tc>
        <w:tc>
          <w:tcPr>
            <w:tcW w:w="1620" w:type="dxa"/>
            <w:vAlign w:val="bottom"/>
            <w:gridSpan w:val="2"/>
          </w:tcPr>
          <w:p>
            <w:pPr>
              <w:jc w:val="right"/>
              <w:ind w:right="99"/>
              <w:spacing w:after="0"/>
              <w:rPr>
                <w:sz w:val="20"/>
                <w:szCs w:val="20"/>
                <w:color w:val="auto"/>
              </w:rPr>
            </w:pPr>
            <w:r>
              <w:rPr>
                <w:rFonts w:ascii="Arial" w:cs="Arial" w:eastAsia="Arial" w:hAnsi="Arial"/>
                <w:sz w:val="16"/>
                <w:szCs w:val="16"/>
                <w:color w:val="auto"/>
              </w:rPr>
              <w:t>81.89</w:t>
            </w:r>
          </w:p>
        </w:tc>
        <w:tc>
          <w:tcPr>
            <w:tcW w:w="1640" w:type="dxa"/>
            <w:vAlign w:val="bottom"/>
            <w:gridSpan w:val="2"/>
          </w:tcPr>
          <w:p>
            <w:pPr>
              <w:jc w:val="right"/>
              <w:ind w:right="119"/>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73"/>
        </w:trPr>
        <w:tc>
          <w:tcPr>
            <w:tcW w:w="48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full-service branches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Number of full-time equivalent employees</w:t>
            </w:r>
          </w:p>
        </w:tc>
        <w:tc>
          <w:tcPr>
            <w:tcW w:w="154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407</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40" w:hanging="2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Dividend payout ratio represents per share dividends declared divided by diluted earnings per share.</w:t>
      </w:r>
    </w:p>
    <w:p>
      <w:pPr>
        <w:spacing w:after="0" w:line="122" w:lineRule="exact"/>
        <w:rPr>
          <w:rFonts w:ascii="Arial" w:cs="Arial" w:eastAsia="Arial" w:hAnsi="Arial"/>
          <w:sz w:val="14"/>
          <w:szCs w:val="14"/>
          <w:color w:val="auto"/>
        </w:rPr>
      </w:pPr>
    </w:p>
    <w:p>
      <w:pPr>
        <w:ind w:left="340" w:hanging="8"/>
        <w:spacing w:after="0" w:line="293" w:lineRule="auto"/>
        <w:tabs>
          <w:tab w:leader="none" w:pos="54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 equivalent weighted-average yield on interest-earning assets and the weighted-average cost of interest-bearing liabilities for the period.</w:t>
      </w:r>
    </w:p>
    <w:p>
      <w:pPr>
        <w:spacing w:after="0" w:line="65" w:lineRule="exact"/>
        <w:rPr>
          <w:rFonts w:ascii="Arial" w:cs="Arial" w:eastAsia="Arial" w:hAnsi="Arial"/>
          <w:sz w:val="14"/>
          <w:szCs w:val="14"/>
          <w:color w:val="auto"/>
        </w:rPr>
      </w:pPr>
    </w:p>
    <w:p>
      <w:pPr>
        <w:ind w:left="540" w:hanging="2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09" w:lineRule="exact"/>
        <w:rPr>
          <w:rFonts w:ascii="Arial" w:cs="Arial" w:eastAsia="Arial" w:hAnsi="Arial"/>
          <w:sz w:val="14"/>
          <w:szCs w:val="14"/>
          <w:color w:val="auto"/>
        </w:rPr>
      </w:pPr>
    </w:p>
    <w:p>
      <w:pPr>
        <w:ind w:left="540" w:hanging="2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efficiency ratio represents non-interest expense as a percentage of the sum of net interest income and non-interest income.</w:t>
      </w:r>
    </w:p>
    <w:p>
      <w:pPr>
        <w:spacing w:after="0" w:line="122" w:lineRule="exact"/>
        <w:rPr>
          <w:rFonts w:ascii="Arial" w:cs="Arial" w:eastAsia="Arial" w:hAnsi="Arial"/>
          <w:sz w:val="14"/>
          <w:szCs w:val="14"/>
          <w:color w:val="auto"/>
        </w:rPr>
      </w:pPr>
    </w:p>
    <w:p>
      <w:pPr>
        <w:ind w:left="540" w:hanging="2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Capital ratios are for Burke &amp; Herbert Financial Services Corp. for 2023 and Burke &amp; Herbert Bank &amp; Trust Company for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2023, and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Consolidated net income for the six months ended June 30, 2023, was $13.6 million compared to $19.5 million earned during the six months ended June 30, 2022. The $6.0 million, or 30.6%, decrease in net income is primarily the result of a large recapture of provision expense in the first half of 2022.</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decreased by $0.5 million to $48.6 million for the six months ended June 30, 2023, compared to $49.1 million for the six months ended June 30, 2022. The main driver for this decrease was higher deposit and borrowing interest expense, partially offset by higher interest income due to balance sheet growth in loans.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six months ended June 30, 2023, the Company recorded credit loss expense of $0.7 million compared to a recapture of provision of $5.2 million for the six months ended June 30, 2022. For the six months ended June 30, 2022, the Company was able to recapture a provision that was booked to reflect the uncertainty of the COVID-19 pandemic and the sale of a non-performing loan note. This non-performing loan had a specific reserve prior to the sale of the note. For the current period, the adoption of CECL (which requires the Company to estimate provision of credit losses using an expected life-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loss approach versus an incurred model), along with increased loan portfolio balances resulted in a higher credit expense for the six months ended June 30, 2023, compared to the six months ended, June 30, 2022.</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income increased by $0.2 million, or 2.6%, to $8.8 million for the six months ended June 30, 2023, as compared to $8.6 million for the six months ended June 30, 2022. The increase in non-interest income was primarily due to increases in other non-interest income, including dividend income from FHLB stock that increased by $258 thousand and income from loan swap fees of $342 thousand, which were offset by a decrease in other non-interest income items of $138 thousand and a lower servicing release premium of $31 thousand in the six months ended June 30, 2023, as compared to the six months ended June 30, 2022.</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Non-interest expense increased by $2.2 million, or 5.5%, to $41.7 million for the six months ended June 30, 2023, as compared to $39.5 million for the six months ended June 30, 2022. The increase was primarily due to higher salaries and employee benefits and higher legal, consulting, and audit fees arising from the filing of our initial Registration Statement and our other required filings.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 and Net Interest Margin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interest income totaled $48.6 million for the six months ended June 30, 2023, compared to $49.1 million for the six months ended June 30, 2022. The decrease in net interest income was primarily driven primarily by higher interest rates and slightly higher average balances on interest-bearing liabilities, mostly offset by higher interest rates on interest-earning assets. A significant increase in cost of funds for both interest-bearing deposits and borrowed funds was the primary driver of the increase in interest expense. This increase in interest expense was mostly offset by a substantial increase in interest income from securities and loans along with an increase in the volume of loans. However, the increased pace of rate hikes from the Federal Reserve has resulted in higher deposit rates to retain depositors and increased the cost of borrowings from the FHLB and the Federal Reserve.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net interest margin was 2.96% for the six months ended June 30, 2023, compared to 3.02% for the six months ended June 30, 2022. The decrease in tax-adjusted net interest margin was primarily driven by the increase in market rates that increased the cost of deposits and other borrowings in excess of the increase in interest income from interest-earning assets.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yield for the loan portfolio was 4.94% for the six months ended June 30, 2023, compared to 3.89% for the six months ended June 30, 2022. The increase was primarily the result of increasing loan production with higher interest rates in a rising rate environment.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yield on the total investment securities portfolio was 3.45% for the six months ended June 30, 2023, compared to 2.35% for the six months ended June 30, 2022. The increase was primarily due to higher market interest rates that increased the effective rate earned on investment securities and reduced the fair value of these investment securities.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rate paid on interest-bearing deposits increased to 1.50% during the six months ended June 30, 2023, from 0.08% during the six months ended June 30, 2022. The increase was a result of market and economic conditions, which led to an increase in our offering rate for selected parts of our deposit portfolio. Increases in deposit rates rose at a faster pace due to the increases in the Federal Funds Rate that occurred in the second half of 2022. Continuing increases by the Federal Reserve and in the market rates may negatively impact our cost of funds rate.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rate paid on our borrowings for the six months ended June 30, 2023, was 4.66%, compared to 0.71% for the corresponding period in 2022. The increase was due to the increase in short-term borrowing costs, driven by increases in the Federal Funds Rate during the year. Further increases in the Federal Funds Rate may continue to increase our overall borrowing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major components of net interest income and the related yields and rates for the six months ended June 30, 2023, and June 30, 2022, for comparison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For the Six Months Ended June 30,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Rate Earned/Paid</w:t>
            </w: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Rate Earned/Paid</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5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Loans, gross </w:t>
            </w:r>
            <w:r>
              <w:rPr>
                <w:rFonts w:ascii="Arial" w:cs="Arial" w:eastAsia="Arial" w:hAnsi="Arial"/>
                <w:sz w:val="21"/>
                <w:szCs w:val="21"/>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1,961,309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48,060</w:t>
            </w:r>
          </w:p>
        </w:tc>
        <w:tc>
          <w:tcPr>
            <w:tcW w:w="1780" w:type="dxa"/>
            <w:vAlign w:val="bottom"/>
            <w:gridSpan w:val="4"/>
          </w:tcPr>
          <w:p>
            <w:pPr>
              <w:ind w:left="1040"/>
              <w:spacing w:after="0"/>
              <w:rPr>
                <w:sz w:val="20"/>
                <w:szCs w:val="20"/>
                <w:color w:val="auto"/>
              </w:rPr>
            </w:pPr>
            <w:r>
              <w:rPr>
                <w:rFonts w:ascii="Arial" w:cs="Arial" w:eastAsia="Arial" w:hAnsi="Arial"/>
                <w:sz w:val="16"/>
                <w:szCs w:val="16"/>
                <w:color w:val="auto"/>
              </w:rPr>
              <w:t>4.94 %  $</w:t>
            </w:r>
          </w:p>
        </w:tc>
        <w:tc>
          <w:tcPr>
            <w:tcW w:w="1140" w:type="dxa"/>
            <w:vAlign w:val="bottom"/>
          </w:tcPr>
          <w:p>
            <w:pPr>
              <w:jc w:val="right"/>
              <w:spacing w:after="0"/>
              <w:rPr>
                <w:sz w:val="20"/>
                <w:szCs w:val="20"/>
                <w:color w:val="auto"/>
              </w:rPr>
            </w:pPr>
            <w:r>
              <w:rPr>
                <w:rFonts w:ascii="Arial" w:cs="Arial" w:eastAsia="Arial" w:hAnsi="Arial"/>
                <w:sz w:val="16"/>
                <w:szCs w:val="16"/>
                <w:color w:val="auto"/>
              </w:rPr>
              <w:t>1,755,586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33,868</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3.89 %</w:t>
            </w:r>
          </w:p>
        </w:tc>
        <w:tc>
          <w:tcPr>
            <w:tcW w:w="0" w:type="dxa"/>
            <w:vAlign w:val="bottom"/>
          </w:tcPr>
          <w:p>
            <w:pPr>
              <w:spacing w:after="0"/>
              <w:rPr>
                <w:sz w:val="1"/>
                <w:szCs w:val="1"/>
                <w:color w:val="auto"/>
              </w:rPr>
            </w:pPr>
          </w:p>
        </w:tc>
      </w:tr>
      <w:tr>
        <w:trPr>
          <w:trHeight w:val="166"/>
        </w:trPr>
        <w:tc>
          <w:tcPr>
            <w:tcW w:w="25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Interest-earning deposits and fed</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59,107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54,189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funds sold</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1,065,868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19,221</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1,169,064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11,930</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6"/>
        </w:trPr>
        <w:tc>
          <w:tcPr>
            <w:tcW w:w="25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securities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1,335,443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1,553,451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interest-earning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72,206</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52,094</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250,483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210,966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Liabilities and shareholders’</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40"/>
              <w:spacing w:after="0"/>
              <w:rPr>
                <w:sz w:val="20"/>
                <w:szCs w:val="20"/>
                <w:color w:val="auto"/>
              </w:rPr>
            </w:pPr>
            <w:r>
              <w:rPr>
                <w:rFonts w:ascii="Arial" w:cs="Arial" w:eastAsia="Arial" w:hAnsi="Arial"/>
                <w:sz w:val="16"/>
                <w:szCs w:val="16"/>
                <w:color w:val="auto"/>
              </w:rPr>
              <w:t>Interest-bearing demand</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563,405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763</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0.27 %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596,217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0.02 %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Savings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6,872</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2540" w:type="dxa"/>
            <w:vAlign w:val="bottom"/>
          </w:tcPr>
          <w:p>
            <w:pPr>
              <w:ind w:left="240"/>
              <w:spacing w:after="0"/>
              <w:rPr>
                <w:sz w:val="20"/>
                <w:szCs w:val="20"/>
                <w:color w:val="auto"/>
              </w:rPr>
            </w:pPr>
            <w:r>
              <w:rPr>
                <w:rFonts w:ascii="Arial" w:cs="Arial" w:eastAsia="Arial" w:hAnsi="Arial"/>
                <w:sz w:val="16"/>
                <w:szCs w:val="16"/>
                <w:color w:val="auto"/>
              </w:rPr>
              <w:t>Time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510,912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273,617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5"/>
              </w:rPr>
              <w:t>Total interest-bearing deposits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2,073,143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15,431</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1,994,732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0"/>
        </w:trPr>
        <w:tc>
          <w:tcPr>
            <w:tcW w:w="2540" w:type="dxa"/>
            <w:vAlign w:val="bottom"/>
          </w:tcPr>
          <w:p>
            <w:pPr>
              <w:ind w:left="680"/>
              <w:spacing w:after="0"/>
              <w:rPr>
                <w:sz w:val="20"/>
                <w:szCs w:val="20"/>
                <w:color w:val="auto"/>
              </w:rPr>
            </w:pPr>
            <w:r>
              <w:rPr>
                <w:rFonts w:ascii="Arial" w:cs="Arial" w:eastAsia="Arial" w:hAnsi="Arial"/>
                <w:sz w:val="16"/>
                <w:szCs w:val="16"/>
                <w:color w:val="auto"/>
              </w:rPr>
              <w:t>Total deposits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2,974,440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15,431</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2,950,758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769</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FHLB advances and other</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322,157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7,447</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22,878</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23,749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460"/>
              <w:spacing w:after="0"/>
              <w:rPr>
                <w:sz w:val="20"/>
                <w:szCs w:val="20"/>
                <w:color w:val="auto"/>
              </w:rPr>
            </w:pPr>
            <w:r>
              <w:rPr>
                <w:rFonts w:ascii="Arial" w:cs="Arial" w:eastAsia="Arial" w:hAnsi="Arial"/>
                <w:sz w:val="16"/>
                <w:szCs w:val="16"/>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3,606,342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3,574,192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Taxable-equivalent net interest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49,328</w:t>
            </w:r>
          </w:p>
        </w:tc>
        <w:tc>
          <w:tcPr>
            <w:tcW w:w="100" w:type="dxa"/>
            <w:vAlign w:val="bottom"/>
            <w:vMerge w:val="restart"/>
          </w:tcPr>
          <w:p>
            <w:pPr>
              <w:spacing w:after="0"/>
              <w:rPr>
                <w:sz w:val="14"/>
                <w:szCs w:val="14"/>
                <w:color w:val="auto"/>
              </w:rPr>
            </w:pPr>
          </w:p>
        </w:tc>
        <w:tc>
          <w:tcPr>
            <w:tcW w:w="1420" w:type="dxa"/>
            <w:vAlign w:val="bottom"/>
            <w:vMerge w:val="restart"/>
          </w:tcPr>
          <w:p>
            <w:pPr>
              <w:ind w:left="940"/>
              <w:spacing w:after="0"/>
              <w:rPr>
                <w:sz w:val="20"/>
                <w:szCs w:val="20"/>
                <w:color w:val="auto"/>
              </w:rPr>
            </w:pPr>
            <w:r>
              <w:rPr>
                <w:rFonts w:ascii="Arial" w:cs="Arial" w:eastAsia="Arial" w:hAnsi="Arial"/>
                <w:sz w:val="16"/>
                <w:szCs w:val="16"/>
                <w:color w:val="auto"/>
                <w:w w:val="92"/>
              </w:rPr>
              <w:t>2.41 %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50,402</w:t>
            </w:r>
          </w:p>
        </w:tc>
        <w:tc>
          <w:tcPr>
            <w:tcW w:w="100" w:type="dxa"/>
            <w:vAlign w:val="bottom"/>
            <w:vMerge w:val="restart"/>
          </w:tcPr>
          <w:p>
            <w:pPr>
              <w:spacing w:after="0"/>
              <w:rPr>
                <w:sz w:val="14"/>
                <w:szCs w:val="14"/>
                <w:color w:val="auto"/>
              </w:rPr>
            </w:pPr>
          </w:p>
        </w:tc>
        <w:tc>
          <w:tcPr>
            <w:tcW w:w="1420" w:type="dxa"/>
            <w:vAlign w:val="bottom"/>
            <w:vMerge w:val="restart"/>
          </w:tcPr>
          <w:p>
            <w:pPr>
              <w:ind w:left="940"/>
              <w:spacing w:after="0"/>
              <w:rPr>
                <w:sz w:val="20"/>
                <w:szCs w:val="20"/>
                <w:color w:val="auto"/>
              </w:rPr>
            </w:pPr>
            <w:r>
              <w:rPr>
                <w:rFonts w:ascii="Arial" w:cs="Arial" w:eastAsia="Arial" w:hAnsi="Arial"/>
                <w:sz w:val="16"/>
                <w:szCs w:val="16"/>
                <w:color w:val="auto"/>
                <w:w w:val="92"/>
              </w:rPr>
              <w:t>2.97 %</w:t>
            </w:r>
          </w:p>
        </w:tc>
        <w:tc>
          <w:tcPr>
            <w:tcW w:w="0" w:type="dxa"/>
            <w:vAlign w:val="bottom"/>
          </w:tcPr>
          <w:p>
            <w:pPr>
              <w:spacing w:after="0"/>
              <w:rPr>
                <w:sz w:val="1"/>
                <w:szCs w:val="1"/>
                <w:color w:val="auto"/>
              </w:rPr>
            </w:pPr>
          </w:p>
        </w:tc>
      </w:tr>
      <w:tr>
        <w:trPr>
          <w:trHeight w:val="212"/>
        </w:trPr>
        <w:tc>
          <w:tcPr>
            <w:tcW w:w="254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income /net interest spread </w:t>
            </w:r>
            <w:r>
              <w:rPr>
                <w:rFonts w:ascii="Arial" w:cs="Arial" w:eastAsia="Arial" w:hAnsi="Arial"/>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54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Taxable-equivalent net interest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w w:val="92"/>
              </w:rPr>
              <w:t>2.96 %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w w:val="92"/>
              </w:rPr>
              <w:t>3.02 %</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rPr>
                <w:sz w:val="20"/>
                <w:szCs w:val="20"/>
                <w:color w:val="auto"/>
              </w:rPr>
            </w:pPr>
            <w:r>
              <w:rPr>
                <w:rFonts w:ascii="Arial" w:cs="Arial" w:eastAsia="Arial" w:hAnsi="Arial"/>
                <w:sz w:val="16"/>
                <w:szCs w:val="16"/>
                <w:color w:val="auto"/>
              </w:rPr>
              <w:t>Taxable-equivalent net adjustment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48,566</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49,102</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1,106,706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Non-accrual loans are included in average loan balances.</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Loan fees are included in the calculation of interest income.</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Yields and interest income on tax-exempt assets are computed on a taxable-equivalent basis assuming a 21% tax rate.</w:t>
      </w:r>
    </w:p>
    <w:p>
      <w:pPr>
        <w:spacing w:after="0" w:line="122" w:lineRule="exact"/>
        <w:rPr>
          <w:rFonts w:ascii="Arial" w:cs="Arial" w:eastAsia="Arial" w:hAnsi="Arial"/>
          <w:sz w:val="14"/>
          <w:szCs w:val="14"/>
          <w:color w:val="auto"/>
        </w:rPr>
      </w:pPr>
    </w:p>
    <w:p>
      <w:pPr>
        <w:ind w:left="660" w:hanging="328"/>
        <w:spacing w:after="0" w:line="29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5"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Taxable-equivalent net interest margin, as presented above, is calculated by dividing fully tax-equivalent (“FTE”) net interest income by total average earning assets. Net interest income, on an FTE basis, is a non-GAAP financial measure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that the Company believes to provide a more accurate picture of the interest margin for comparative purposes. Management believes FTE net interest income is a standard practice in the banking industry, and when net interest income is adjusted on a FTE basis, yields on taxable, nontaxable, and partially taxable assets are comparable; however, the adjustment to a FTE basis has no impact on net income. FTE net interest income is calculated by adding the tax benefit on certain financial interest earning assets, whose interest is tax-exempt, to total interest income and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7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Financial Measurements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Loans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48,060</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33,868</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Securities taxable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11,930</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Securities tax-exempt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4,890</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Other interest income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Expense - Deposits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 Borrowed funds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 - Other</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Interest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48,566</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49,102</w:t>
            </w:r>
          </w:p>
        </w:tc>
      </w:tr>
      <w:tr>
        <w:trPr>
          <w:trHeight w:val="253"/>
        </w:trPr>
        <w:tc>
          <w:tcPr>
            <w:tcW w:w="75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Financial Measurements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500" w:type="dxa"/>
            <w:vAlign w:val="bottom"/>
          </w:tcPr>
          <w:p>
            <w:pPr>
              <w:ind w:left="240"/>
              <w:spacing w:after="0"/>
              <w:rPr>
                <w:sz w:val="20"/>
                <w:szCs w:val="20"/>
                <w:color w:val="auto"/>
              </w:rPr>
            </w:pPr>
            <w:r>
              <w:rPr>
                <w:rFonts w:ascii="Arial" w:cs="Arial" w:eastAsia="Arial" w:hAnsi="Arial"/>
                <w:sz w:val="16"/>
                <w:szCs w:val="16"/>
                <w:color w:val="auto"/>
              </w:rPr>
              <w:t>Add: Tax Benefit on Tax-Exempt Interest Income -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762</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1,300</w:t>
            </w:r>
          </w:p>
        </w:tc>
      </w:tr>
      <w:tr>
        <w:trPr>
          <w:trHeight w:val="210"/>
        </w:trPr>
        <w:tc>
          <w:tcPr>
            <w:tcW w:w="750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Total Tax Benefit on Tax-Exempt Interest Income </w:t>
            </w:r>
            <w:r>
              <w:rPr>
                <w:rFonts w:ascii="Arial" w:cs="Arial" w:eastAsia="Arial" w:hAnsi="Arial"/>
                <w:sz w:val="21"/>
                <w:szCs w:val="21"/>
                <w:color w:val="auto"/>
                <w:vertAlign w:val="superscript"/>
              </w:rPr>
              <w:t>(1)</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color w:val="auto"/>
              </w:rPr>
              <w:t>Tax-Equivalent Net Interest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50,402</w:t>
            </w:r>
          </w:p>
        </w:tc>
      </w:tr>
    </w:tbl>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Tax benefit was calculated using the federal statutory tax rate of 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six months ended June 30, 2023, and June 30, 2022, are annualized using an actual days over calendar year method. The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1"/>
              </w:rPr>
              <w:t>Six Months Ended June 30, 2023, compared to June 30, 2022</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w w:val="91"/>
              </w:rPr>
              <w:t>Dollar Increase (Decrease) Due to Change in:</w:t>
            </w:r>
          </w:p>
        </w:tc>
        <w:tc>
          <w:tcPr>
            <w:tcW w:w="0" w:type="dxa"/>
            <w:vAlign w:val="bottom"/>
          </w:tcPr>
          <w:p>
            <w:pPr>
              <w:spacing w:after="0"/>
              <w:rPr>
                <w:sz w:val="1"/>
                <w:szCs w:val="1"/>
                <w:color w:val="auto"/>
              </w:rPr>
            </w:pPr>
          </w:p>
        </w:tc>
      </w:tr>
      <w:tr>
        <w:trPr>
          <w:trHeight w:val="158"/>
        </w:trPr>
        <w:tc>
          <w:tcPr>
            <w:tcW w:w="6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0"/>
              </w:rPr>
              <w:t>Average Volume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8" w:lineRule="exact"/>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539"/>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2"/>
              </w:rPr>
              <w:t>Rate</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the interest-earning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Loans,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9,995</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18,621</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28,616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Securities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40,557</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Arial" w:cs="Arial" w:eastAsia="Arial" w:hAnsi="Arial"/>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13,078</w:t>
            </w:r>
          </w:p>
        </w:tc>
        <w:tc>
          <w:tcPr>
            <w:tcW w:w="0" w:type="dxa"/>
            <w:vAlign w:val="bottom"/>
          </w:tcPr>
          <w:p>
            <w:pPr>
              <w:spacing w:after="0"/>
              <w:rPr>
                <w:sz w:val="1"/>
                <w:szCs w:val="1"/>
                <w:color w:val="auto"/>
              </w:rPr>
            </w:pPr>
          </w:p>
        </w:tc>
      </w:tr>
      <w:tr>
        <w:trPr>
          <w:trHeight w:val="21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15,089</w:t>
            </w:r>
          </w:p>
        </w:tc>
        <w:tc>
          <w:tcPr>
            <w:tcW w:w="0" w:type="dxa"/>
            <w:vAlign w:val="bottom"/>
          </w:tcPr>
          <w:p>
            <w:pPr>
              <w:spacing w:after="0"/>
              <w:rPr>
                <w:sz w:val="1"/>
                <w:szCs w:val="1"/>
                <w:color w:val="auto"/>
              </w:rPr>
            </w:pPr>
          </w:p>
        </w:tc>
      </w:tr>
      <w:tr>
        <w:trPr>
          <w:trHeight w:val="209"/>
        </w:trPr>
        <w:tc>
          <w:tcPr>
            <w:tcW w:w="6600" w:type="dxa"/>
            <w:vAlign w:val="bottom"/>
          </w:tcPr>
          <w:p>
            <w:pPr>
              <w:ind w:left="460"/>
              <w:spacing w:after="0"/>
              <w:rPr>
                <w:sz w:val="20"/>
                <w:szCs w:val="20"/>
                <w:color w:val="auto"/>
              </w:rPr>
            </w:pPr>
            <w:r>
              <w:rPr>
                <w:rFonts w:ascii="Arial" w:cs="Arial" w:eastAsia="Arial" w:hAnsi="Arial"/>
                <w:sz w:val="16"/>
                <w:szCs w:val="16"/>
                <w:color w:val="auto"/>
              </w:rPr>
              <w:t>Total interest expense on interest-bearing deposits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29,566</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13,155</w:t>
            </w:r>
          </w:p>
        </w:tc>
        <w:tc>
          <w:tcPr>
            <w:tcW w:w="0" w:type="dxa"/>
            <w:vAlign w:val="bottom"/>
          </w:tcPr>
          <w:p>
            <w:pPr>
              <w:spacing w:after="0"/>
              <w:rPr>
                <w:sz w:val="1"/>
                <w:szCs w:val="1"/>
                <w:color w:val="auto"/>
              </w:rPr>
            </w:pPr>
          </w:p>
        </w:tc>
      </w:tr>
      <w:tr>
        <w:trPr>
          <w:trHeight w:val="209"/>
        </w:trPr>
        <w:tc>
          <w:tcPr>
            <w:tcW w:w="6600" w:type="dxa"/>
            <w:vAlign w:val="bottom"/>
          </w:tcPr>
          <w:p>
            <w:pPr>
              <w:ind w:left="460"/>
              <w:spacing w:after="0"/>
              <w:rPr>
                <w:sz w:val="20"/>
                <w:szCs w:val="20"/>
                <w:color w:val="auto"/>
              </w:rPr>
            </w:pPr>
            <w:r>
              <w:rPr>
                <w:rFonts w:ascii="Arial" w:cs="Arial" w:eastAsia="Arial" w:hAnsi="Arial"/>
                <w:sz w:val="16"/>
                <w:szCs w:val="16"/>
                <w:color w:val="auto"/>
              </w:rPr>
              <w:t>Total interest expense on interest-bearing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42,721</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Yields and interest income on tax-exempt securities have been computed on a taxable-equivalent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income was $71.4 million for the six months ended June 30, 2023, compared to $50.8 million for the six months ended June 30, 2022, an increase of 40.7%. The increase in interest income was primarily driven by an increase in both rates and volume for the loan portfolio along with increasing rates for the securities portfolio. Interest income on loans and securities increased by $14.2 million and $5.3 million, respectively, for the six months ended June 30, 2023, compared to the six months ended June 30,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interest expense was $22.9 million for the six months ended June 30, 2023, compared to $1.7 million for the six months ended June 30, 2022. The increase in interest expense was primarily driven by increasing rates for both interest-bearing deposits and borrowed funds and by a lesser extent from balance increases in both deposits and borrowed funds. Interest expense on interest-bearing deposits and borrowed funds increased by $14.7 million and $6.5 million, respectively, for the six months ended June 30, 2023, compared to the six months ended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provision for credit losses was $0.7 million for the six months ended June 30, 2023, compared to a recapture of $5.2 million for the six months ended June 30, 2022. The increased provision expense was partly due to the Company estimating credit losses using an expected life-time loss model versus an incurred model but primarily the result of a large recapture in 2022. The provision recapture, in 2022, was as a result of removing COVID-19 qualitative factors and the sale of a non-performing loan note. Proceeds obtained for this non-performing loan note were greater than the net of the loan note’s carrying value and specific reserve. Additionally, loan balances have risen significantly for the six months ended June 30, 2023, versus the six months ended June 30, 2022. See </w:t>
      </w:r>
      <w:r>
        <w:rPr>
          <w:rFonts w:ascii="Arial" w:cs="Arial" w:eastAsia="Arial" w:hAnsi="Arial"/>
          <w:sz w:val="16"/>
          <w:szCs w:val="16"/>
          <w:u w:val="single" w:color="auto"/>
          <w:color w:val="0000FF"/>
        </w:rPr>
        <w:t>Note 4 - Allowance for Credit Losses</w:t>
      </w:r>
      <w:r>
        <w:rPr>
          <w:rFonts w:ascii="Arial" w:cs="Arial" w:eastAsia="Arial" w:hAnsi="Arial"/>
          <w:sz w:val="16"/>
          <w:szCs w:val="16"/>
          <w:color w:val="auto"/>
        </w:rPr>
        <w:t xml:space="preserve"> in Notes to Consolidated Financial Statements for further information.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income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Fiduciary and wealth management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2,642</w:t>
            </w:r>
          </w:p>
        </w:tc>
        <w:tc>
          <w:tcPr>
            <w:tcW w:w="106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2,667</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Service charges and fees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3,376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3,394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(0.5)</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on securities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(206.7)</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Income from company-owned life insurance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1,131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1,079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4.8</w:t>
            </w:r>
          </w:p>
        </w:tc>
      </w:tr>
      <w:tr>
        <w:trPr>
          <w:trHeight w:val="21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1,801</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1,367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31.7</w:t>
            </w:r>
          </w:p>
        </w:tc>
      </w:tr>
      <w:tr>
        <w:trPr>
          <w:trHeight w:val="210"/>
        </w:trPr>
        <w:tc>
          <w:tcPr>
            <w:tcW w:w="4980" w:type="dxa"/>
            <w:vAlign w:val="bottom"/>
          </w:tcPr>
          <w:p>
            <w:pPr>
              <w:ind w:left="2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8,839</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8,611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income increased 2.6% for the six months ended June 30, 2023, compared to the six months ended June 30, 2022. The increase was primarily driven by an increase in other non-interest income of $434 thousand when compared to the six months ended June 30, 2022. This increase was due to an increase of $258 thousand in dividends from the FHLB and an increase of $342 thousand from customer swap fees. The increase was partially offset by the sale of securities which resulted in a loss for the six months ended as of June 30, 2023 resulting in a decrease of $215 thousand when compared to the prior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expense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wages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19,416</w:t>
            </w:r>
          </w:p>
        </w:tc>
        <w:tc>
          <w:tcPr>
            <w:tcW w:w="102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19,146</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4,874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934</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23.7</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2,796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1.2</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11,625</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10.4</w:t>
            </w:r>
          </w:p>
        </w:tc>
      </w:tr>
      <w:tr>
        <w:trPr>
          <w:trHeight w:val="206"/>
        </w:trPr>
        <w:tc>
          <w:tcPr>
            <w:tcW w:w="4980" w:type="dxa"/>
            <w:vAlign w:val="bottom"/>
          </w:tcPr>
          <w:p>
            <w:pPr>
              <w:ind w:left="2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41,713</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39,533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5.5 %</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Non-interest expense increased 5.5% for the six months ended June 30, 2023, compared to June 30, 2022. The main drivers for this increase included pensions and other employee benefits which increased by $934.0 thousand primarily due to increases in the costs of employee benefit plans and an increase of $1.1 million in other non-interest expense. The increase was partially offset by a decrease in occupancy of $153 thousand. Additionally, the Company incurred legal and consulting expenses associated with filing its Registration Statement and other required SEC filings that increased the total non-interest expense for the six months ended June 30, 2023. See </w:t>
      </w:r>
      <w:r>
        <w:rPr>
          <w:rFonts w:ascii="Arial" w:cs="Arial" w:eastAsia="Arial" w:hAnsi="Arial"/>
          <w:sz w:val="18"/>
          <w:szCs w:val="18"/>
          <w:u w:val="single" w:color="auto"/>
          <w:color w:val="0000FF"/>
        </w:rPr>
        <w:t>Note 13 — Other Operating Expenses</w:t>
      </w:r>
      <w:r>
        <w:rPr>
          <w:rFonts w:ascii="Arial" w:cs="Arial" w:eastAsia="Arial" w:hAnsi="Arial"/>
          <w:sz w:val="18"/>
          <w:szCs w:val="18"/>
          <w:color w:val="auto"/>
        </w:rPr>
        <w:t xml:space="preserve"> in Notes to Consolidated Financial Statements for further information on “Other” non-interest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was $1.4 million for the six months ended June 30, 2023, a decrease of $2.4 million from the tax provision for the six months ended June 30, 2022. The decrease was due to the decrease in net income for the six months ended June 30, 2023, when compared to the prior year. For the six months ended June 30, 2023, and June 30, 2022, our effective tax rates were 9.4% and 16.4%, respectively.</w:t>
      </w:r>
    </w:p>
    <w:p>
      <w:pPr>
        <w:spacing w:after="0" w:line="107" w:lineRule="exact"/>
        <w:rPr>
          <w:sz w:val="20"/>
          <w:szCs w:val="20"/>
          <w:color w:val="auto"/>
        </w:rPr>
      </w:pPr>
    </w:p>
    <w:p>
      <w:pPr>
        <w:ind w:right="5460"/>
        <w:spacing w:after="0" w:line="440" w:lineRule="auto"/>
        <w:rPr>
          <w:sz w:val="20"/>
          <w:szCs w:val="20"/>
          <w:color w:val="auto"/>
        </w:rPr>
      </w:pPr>
      <w:r>
        <w:rPr>
          <w:rFonts w:ascii="Arial" w:cs="Arial" w:eastAsia="Arial" w:hAnsi="Arial"/>
          <w:sz w:val="18"/>
          <w:szCs w:val="18"/>
          <w:b w:val="1"/>
          <w:bCs w:val="1"/>
          <w:color w:val="auto"/>
        </w:rPr>
        <w:t xml:space="preserve">Results of Operations for the Three Months Ended June 30, 2023, and 2022 </w:t>
      </w:r>
      <w:r>
        <w:rPr>
          <w:rFonts w:ascii="Arial" w:cs="Arial" w:eastAsia="Arial" w:hAnsi="Arial"/>
          <w:sz w:val="18"/>
          <w:szCs w:val="18"/>
          <w:b w:val="1"/>
          <w:bCs w:val="1"/>
          <w:i w:val="1"/>
          <w:iCs w:val="1"/>
          <w:color w:val="auto"/>
        </w:rPr>
        <w:t>General</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income for the three months ended June 30, 2023, was $6.0 million, compared to $10.4 million earned during the three months ended June 30, 2022. The $4.4 million, or 42.0%, decrease in net income is primarily due to increased funding costs and the change in provision for credit losses that included a recapture of credit losses in the prior year quarter.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income decreased by $1.8 million to $23.8 million for the three months ended June 30, 2023, compared to $25.6 million for the three months ended June 30, 2022. The main driver for this decrease was higher funding costs on both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deposits and borrowings, which was partially offset by an increase in interest income due to both loan growth and higher yielding rates.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2023, the Company recorded credit loss expense of $0.2 million compared to a recapture of provision losses of $2.5 million. For the three months ended June 30, 2022, the Company was able to recapture provision that was booked to reflect the uncertainty of the COVID-19 pandemic and the sale of a non-performing loan note. This non-performing loan had a specific reserve prior to the sale of the note. For the current period, the increased loan growth and the adoption of CECL, which requires the Company to estimate provision of credit losses using an expected life-time loss approach versus an incurred model, resulted in a higher credit expense for the three months ended June 30, 2023, compared to the three months ended, June 30, 2022.</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Non-interest income increased by $129 thousand, or 2.9%, to $4.6 million for the three months ended June 30, 2023, as compared to $4.5 million for the three months ended June 30, 2022. The increase in non-interest income was primarily due to dividend income from FHLB stock that increased by $156 thousand in the three months ended June 30, 2023, compared to June 30, 2022.</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Non-interest expense increased by $1.0 million, or 4.8%, to $21.3 million for the three months ended June 30, 2023, as compared to $20.4 million for the three months ended June 30, 2022. The increase was primarily due to increases in personnel related expenses such as salary, pensions, and other employee benefits. In addition, the Company incurred additional fees related to entering into interest rate swaps designated as fair value hedges and higher legal and audit fees arising from the filing of our initial Registration Statement and other required filings.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 and Net Interest Margin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totaled $23.8 million for the three months ended June 30, 2023, compared to $25.6 million for the three months ended June 30, 2022. The decrease in net interest income was primarily driven by both higher interest rates and higher volume of interest-bearing liabilities. The impact of higher rates on interest-bearing liabilities was partially offset by the increase in volume and rates of interest-earning assets. However, the increased pace of rate hikes from the Federal Reserve has resulted in higher deposit rates to retain depositors and increased the cost of borrowings from the FHLB and the Federal Reserve.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net interest margin was 2.87% for the three months ended June 30, 2023, compared to 3.15% for the three months ended June 30, 2022. The decrease in tax-adjusted net interest margin was primarily driven by the increase in market rates that increased the cost of deposit and other borrowings in excess of the increase in the interest income from interest-earning assets.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yield for the loan portfolio was 5.07% for the three months ended June 30, 2023, compared to 3.98% for the three months ended June 30, 2022. The increase was primarily the result of increasing loan production with higher interest rates in a rising rate environment.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yield on the total investment securities portfolio was 3.45% for the three months ended June 30, 2023, compared to 2.53% for the three months ended June 30, 2022. The increase was primarily due to higher market interest rates that increased the effective rate earned by reducing the fair value of the average outstanding balance of the investment securities.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rate paid on interest-bearing deposits increased to 1.88% during the three months ended June 30, 2023, from 0.07% during the three months ended June 30, 2022. The increase was a result of market and economic conditions, which led to an increase in our offering rate for selected parts of our deposit portfolio. Increases in deposit rates rose at a faster pace due to the increases in the Federal Funds Rate that continued in the second half of 2022. Additional increases by the Federal Reserve and in the market rates may negatively impact our cost of funds rate.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rate paid on our borrowings for the three months ended June 30, 2023, was 4.61%, compared to 0.82% for the corresponding period in 2022. The increase was due to the increase in short-term borrowing costs, driven by increases in the Federal Funds Rate during the year. Further increases in the Federal Funds Rate may continue to increase our overall borrowing costs.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major components of net interest income and the related yields and rates for the three months ended June 30, 2023, and June 30, 2022, for comparison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6"/>
              </w:rPr>
              <w:t>For the Three Months Ended June 30,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Rate Earned/Paid</w:t>
            </w: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Rate Earned/Paid</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5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Loans, gross </w:t>
            </w:r>
            <w:r>
              <w:rPr>
                <w:rFonts w:ascii="Arial" w:cs="Arial" w:eastAsia="Arial" w:hAnsi="Arial"/>
                <w:sz w:val="21"/>
                <w:szCs w:val="21"/>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2,002,482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25,300</w:t>
            </w:r>
          </w:p>
        </w:tc>
        <w:tc>
          <w:tcPr>
            <w:tcW w:w="1780" w:type="dxa"/>
            <w:vAlign w:val="bottom"/>
            <w:gridSpan w:val="4"/>
          </w:tcPr>
          <w:p>
            <w:pPr>
              <w:ind w:left="1040"/>
              <w:spacing w:after="0"/>
              <w:rPr>
                <w:sz w:val="20"/>
                <w:szCs w:val="20"/>
                <w:color w:val="auto"/>
              </w:rPr>
            </w:pPr>
            <w:r>
              <w:rPr>
                <w:rFonts w:ascii="Arial" w:cs="Arial" w:eastAsia="Arial" w:hAnsi="Arial"/>
                <w:sz w:val="16"/>
                <w:szCs w:val="16"/>
                <w:color w:val="auto"/>
              </w:rPr>
              <w:t>5.07 %  $</w:t>
            </w:r>
          </w:p>
        </w:tc>
        <w:tc>
          <w:tcPr>
            <w:tcW w:w="1140" w:type="dxa"/>
            <w:vAlign w:val="bottom"/>
          </w:tcPr>
          <w:p>
            <w:pPr>
              <w:jc w:val="right"/>
              <w:spacing w:after="0"/>
              <w:rPr>
                <w:sz w:val="20"/>
                <w:szCs w:val="20"/>
                <w:color w:val="auto"/>
              </w:rPr>
            </w:pPr>
            <w:r>
              <w:rPr>
                <w:rFonts w:ascii="Arial" w:cs="Arial" w:eastAsia="Arial" w:hAnsi="Arial"/>
                <w:sz w:val="16"/>
                <w:szCs w:val="16"/>
                <w:color w:val="auto"/>
              </w:rPr>
              <w:t>1,754,723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17,418</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3.98 %</w:t>
            </w:r>
          </w:p>
        </w:tc>
        <w:tc>
          <w:tcPr>
            <w:tcW w:w="0" w:type="dxa"/>
            <w:vAlign w:val="bottom"/>
          </w:tcPr>
          <w:p>
            <w:pPr>
              <w:spacing w:after="0"/>
              <w:rPr>
                <w:sz w:val="1"/>
                <w:szCs w:val="1"/>
                <w:color w:val="auto"/>
              </w:rPr>
            </w:pPr>
          </w:p>
        </w:tc>
      </w:tr>
      <w:tr>
        <w:trPr>
          <w:trHeight w:val="166"/>
        </w:trPr>
        <w:tc>
          <w:tcPr>
            <w:tcW w:w="25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Interest-earning deposits and fed</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74,074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50,548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funds sold</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1,036,576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9,418</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1,148,507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6,572</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388,267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6"/>
        </w:trPr>
        <w:tc>
          <w:tcPr>
            <w:tcW w:w="25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securities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1,302,978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11,202</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1,536,774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interest-earning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3,379,534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37,490</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27,197</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243,498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220,391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Liabilities and shareholders’</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879,794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40"/>
              <w:spacing w:after="0"/>
              <w:rPr>
                <w:sz w:val="20"/>
                <w:szCs w:val="20"/>
                <w:color w:val="auto"/>
              </w:rPr>
            </w:pPr>
            <w:r>
              <w:rPr>
                <w:rFonts w:ascii="Arial" w:cs="Arial" w:eastAsia="Arial" w:hAnsi="Arial"/>
                <w:sz w:val="16"/>
                <w:szCs w:val="16"/>
                <w:color w:val="auto"/>
              </w:rPr>
              <w:t>Interest-bearing demand</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554,364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0.41 %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591,391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0.02 %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Savings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2540" w:type="dxa"/>
            <w:vAlign w:val="bottom"/>
          </w:tcPr>
          <w:p>
            <w:pPr>
              <w:ind w:left="240"/>
              <w:spacing w:after="0"/>
              <w:rPr>
                <w:sz w:val="20"/>
                <w:szCs w:val="20"/>
                <w:color w:val="auto"/>
              </w:rPr>
            </w:pPr>
            <w:r>
              <w:rPr>
                <w:rFonts w:ascii="Arial" w:cs="Arial" w:eastAsia="Arial" w:hAnsi="Arial"/>
                <w:sz w:val="16"/>
                <w:szCs w:val="16"/>
                <w:color w:val="auto"/>
              </w:rPr>
              <w:t>Time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608,949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268,042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5"/>
              </w:rPr>
              <w:t>Total interest-bearing deposits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2,142,333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10,029</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1,988,970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0"/>
        </w:trPr>
        <w:tc>
          <w:tcPr>
            <w:tcW w:w="2540" w:type="dxa"/>
            <w:vAlign w:val="bottom"/>
          </w:tcPr>
          <w:p>
            <w:pPr>
              <w:ind w:left="680"/>
              <w:spacing w:after="0"/>
              <w:rPr>
                <w:sz w:val="20"/>
                <w:szCs w:val="20"/>
                <w:color w:val="auto"/>
              </w:rPr>
            </w:pPr>
            <w:r>
              <w:rPr>
                <w:rFonts w:ascii="Arial" w:cs="Arial" w:eastAsia="Arial" w:hAnsi="Arial"/>
                <w:sz w:val="16"/>
                <w:szCs w:val="16"/>
                <w:color w:val="auto"/>
              </w:rPr>
              <w:t>Total deposits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3,022,127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10,029</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2,966,664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368</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FHLB advances and other</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266,473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13,323</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24,036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19,875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460"/>
              <w:spacing w:after="0"/>
              <w:rPr>
                <w:sz w:val="20"/>
                <w:szCs w:val="20"/>
                <w:color w:val="auto"/>
              </w:rPr>
            </w:pPr>
            <w:r>
              <w:rPr>
                <w:rFonts w:ascii="Arial" w:cs="Arial" w:eastAsia="Arial" w:hAnsi="Arial"/>
                <w:sz w:val="16"/>
                <w:szCs w:val="16"/>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3,623,032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3,562,436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Taxable-equivalent net interest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24,167</w:t>
            </w:r>
          </w:p>
        </w:tc>
        <w:tc>
          <w:tcPr>
            <w:tcW w:w="100" w:type="dxa"/>
            <w:vAlign w:val="bottom"/>
            <w:vMerge w:val="restart"/>
          </w:tcPr>
          <w:p>
            <w:pPr>
              <w:spacing w:after="0"/>
              <w:rPr>
                <w:sz w:val="14"/>
                <w:szCs w:val="14"/>
                <w:color w:val="auto"/>
              </w:rPr>
            </w:pPr>
          </w:p>
        </w:tc>
        <w:tc>
          <w:tcPr>
            <w:tcW w:w="1420" w:type="dxa"/>
            <w:vAlign w:val="bottom"/>
            <w:vMerge w:val="restart"/>
          </w:tcPr>
          <w:p>
            <w:pPr>
              <w:ind w:left="940"/>
              <w:spacing w:after="0"/>
              <w:rPr>
                <w:sz w:val="20"/>
                <w:szCs w:val="20"/>
                <w:color w:val="auto"/>
              </w:rPr>
            </w:pPr>
            <w:r>
              <w:rPr>
                <w:rFonts w:ascii="Arial" w:cs="Arial" w:eastAsia="Arial" w:hAnsi="Arial"/>
                <w:sz w:val="16"/>
                <w:szCs w:val="16"/>
                <w:color w:val="auto"/>
                <w:w w:val="92"/>
              </w:rPr>
              <w:t>2.25 %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26,286</w:t>
            </w:r>
          </w:p>
        </w:tc>
        <w:tc>
          <w:tcPr>
            <w:tcW w:w="100" w:type="dxa"/>
            <w:vAlign w:val="bottom"/>
            <w:vMerge w:val="restart"/>
          </w:tcPr>
          <w:p>
            <w:pPr>
              <w:spacing w:after="0"/>
              <w:rPr>
                <w:sz w:val="14"/>
                <w:szCs w:val="14"/>
                <w:color w:val="auto"/>
              </w:rPr>
            </w:pPr>
          </w:p>
        </w:tc>
        <w:tc>
          <w:tcPr>
            <w:tcW w:w="1420" w:type="dxa"/>
            <w:vAlign w:val="bottom"/>
            <w:vMerge w:val="restart"/>
          </w:tcPr>
          <w:p>
            <w:pPr>
              <w:ind w:left="940"/>
              <w:spacing w:after="0"/>
              <w:rPr>
                <w:sz w:val="20"/>
                <w:szCs w:val="20"/>
                <w:color w:val="auto"/>
              </w:rPr>
            </w:pPr>
            <w:r>
              <w:rPr>
                <w:rFonts w:ascii="Arial" w:cs="Arial" w:eastAsia="Arial" w:hAnsi="Arial"/>
                <w:sz w:val="16"/>
                <w:szCs w:val="16"/>
                <w:color w:val="auto"/>
                <w:w w:val="92"/>
              </w:rPr>
              <w:t>3.10 %</w:t>
            </w:r>
          </w:p>
        </w:tc>
        <w:tc>
          <w:tcPr>
            <w:tcW w:w="0" w:type="dxa"/>
            <w:vAlign w:val="bottom"/>
          </w:tcPr>
          <w:p>
            <w:pPr>
              <w:spacing w:after="0"/>
              <w:rPr>
                <w:sz w:val="1"/>
                <w:szCs w:val="1"/>
                <w:color w:val="auto"/>
              </w:rPr>
            </w:pPr>
          </w:p>
        </w:tc>
      </w:tr>
      <w:tr>
        <w:trPr>
          <w:trHeight w:val="212"/>
        </w:trPr>
        <w:tc>
          <w:tcPr>
            <w:tcW w:w="254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income /net interest spread </w:t>
            </w:r>
            <w:r>
              <w:rPr>
                <w:rFonts w:ascii="Arial" w:cs="Arial" w:eastAsia="Arial" w:hAnsi="Arial"/>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54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Taxable-equivalent net interest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w w:val="92"/>
              </w:rPr>
              <w:t>2.87 %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w w:val="92"/>
              </w:rPr>
              <w:t>3.15 %</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rPr>
                <w:sz w:val="20"/>
                <w:szCs w:val="20"/>
                <w:color w:val="auto"/>
              </w:rPr>
            </w:pPr>
            <w:r>
              <w:rPr>
                <w:rFonts w:ascii="Arial" w:cs="Arial" w:eastAsia="Arial" w:hAnsi="Arial"/>
                <w:sz w:val="16"/>
                <w:szCs w:val="16"/>
                <w:color w:val="auto"/>
              </w:rPr>
              <w:t>Taxable-equivalent net adjustment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23,792</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25,631</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950,617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Non-accrual loans are included in average loan balances.</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Loan fees are included in the calculation of interest income.</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Yields and interest income on tax-exempt assets are computed on a taxable-equivalent basis assuming a 21% tax rate.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9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5"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Taxable-equivalent net interest margin, as presented above, is calculated by dividing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 FTE basis, yields on taxable, nontaxable, and partially taxable assets are comparable; however, the adjustment to a FTE basis has no impact on net income. FTE net interest income is calculated by adding the tax benefit on certain financial interest 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2022</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Financial Measurements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Loans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25,300</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17,418</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Securities taxable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Securities tax-exempt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2,464</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Other interest income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Expense - Deposits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 Borrowed funds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 - Other</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Interest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23,792</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25,631</w:t>
            </w:r>
          </w:p>
        </w:tc>
      </w:tr>
      <w:tr>
        <w:trPr>
          <w:trHeight w:val="253"/>
        </w:trPr>
        <w:tc>
          <w:tcPr>
            <w:tcW w:w="75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Financial Measurements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500" w:type="dxa"/>
            <w:vAlign w:val="bottom"/>
          </w:tcPr>
          <w:p>
            <w:pPr>
              <w:ind w:left="240"/>
              <w:spacing w:after="0"/>
              <w:rPr>
                <w:sz w:val="20"/>
                <w:szCs w:val="20"/>
                <w:color w:val="auto"/>
              </w:rPr>
            </w:pPr>
            <w:r>
              <w:rPr>
                <w:rFonts w:ascii="Arial" w:cs="Arial" w:eastAsia="Arial" w:hAnsi="Arial"/>
                <w:sz w:val="16"/>
                <w:szCs w:val="16"/>
                <w:color w:val="auto"/>
              </w:rPr>
              <w:t>Add: Tax Benefit on Tax-Exempt Interest Income -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375</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10"/>
        </w:trPr>
        <w:tc>
          <w:tcPr>
            <w:tcW w:w="750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Total Tax Benefit on Tax-Exempt Interest Income </w:t>
            </w:r>
            <w:r>
              <w:rPr>
                <w:rFonts w:ascii="Arial" w:cs="Arial" w:eastAsia="Arial" w:hAnsi="Arial"/>
                <w:sz w:val="21"/>
                <w:szCs w:val="21"/>
                <w:color w:val="auto"/>
                <w:vertAlign w:val="superscript"/>
              </w:rPr>
              <w:t>(1)</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color w:val="auto"/>
              </w:rPr>
              <w:t>Tax-Equivalent Net Interest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26,286</w:t>
            </w:r>
          </w:p>
        </w:tc>
      </w:tr>
    </w:tbl>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Tax benefit was calculated using the federal statutory tax rate of 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June 30, 2023, and June 30, 2022, are annualized using an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gridSpan w:val="7"/>
          </w:tcPr>
          <w:p>
            <w:pPr>
              <w:jc w:val="center"/>
              <w:ind w:right="19"/>
              <w:spacing w:after="0"/>
              <w:rPr>
                <w:sz w:val="20"/>
                <w:szCs w:val="20"/>
                <w:color w:val="auto"/>
              </w:rPr>
            </w:pPr>
            <w:r>
              <w:rPr>
                <w:rFonts w:ascii="Arial" w:cs="Arial" w:eastAsia="Arial" w:hAnsi="Arial"/>
                <w:sz w:val="16"/>
                <w:szCs w:val="16"/>
                <w:b w:val="1"/>
                <w:bCs w:val="1"/>
                <w:color w:val="auto"/>
                <w:w w:val="91"/>
              </w:rPr>
              <w:t>Three Months Ended June 30, 2023, compared to June 30, 2022</w:t>
            </w:r>
          </w:p>
        </w:tc>
      </w:tr>
      <w:tr>
        <w:trPr>
          <w:trHeight w:val="219"/>
        </w:trPr>
        <w:tc>
          <w:tcPr>
            <w:tcW w:w="6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w w:val="91"/>
              </w:rPr>
              <w:t>Dollar Increase (Decrease) Due to Change in:</w:t>
            </w:r>
          </w:p>
        </w:tc>
      </w:tr>
      <w:tr>
        <w:trPr>
          <w:trHeight w:val="210"/>
        </w:trPr>
        <w:tc>
          <w:tcPr>
            <w:tcW w:w="6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Average Volume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Average Rate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Net Change</w:t>
            </w: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the interest-earning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Loans, gross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12,481</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19,129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31,610</w:t>
            </w:r>
          </w:p>
        </w:tc>
      </w:tr>
      <w:tr>
        <w:trPr>
          <w:trHeight w:val="219"/>
        </w:trPr>
        <w:tc>
          <w:tcPr>
            <w:tcW w:w="66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Securities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Interest-bearing deposits and fed funds sold</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w:t>
            </w:r>
          </w:p>
        </w:tc>
      </w:tr>
      <w:tr>
        <w:trPr>
          <w:trHeight w:val="213"/>
        </w:trPr>
        <w:tc>
          <w:tcPr>
            <w:tcW w:w="6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 income on interest-earning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41,286</w:t>
            </w:r>
          </w:p>
        </w:tc>
      </w:tr>
      <w:tr>
        <w:trPr>
          <w:trHeight w:val="193"/>
        </w:trPr>
        <w:tc>
          <w:tcPr>
            <w:tcW w:w="6600" w:type="dxa"/>
            <w:vAlign w:val="bottom"/>
          </w:tcPr>
          <w:p>
            <w:pPr>
              <w:ind w:left="20"/>
              <w:spacing w:after="0"/>
              <w:rPr>
                <w:sz w:val="20"/>
                <w:szCs w:val="20"/>
                <w:color w:val="auto"/>
              </w:rPr>
            </w:pPr>
            <w:r>
              <w:rPr>
                <w:rFonts w:ascii="Arial" w:cs="Arial" w:eastAsia="Arial" w:hAnsi="Arial"/>
                <w:sz w:val="16"/>
                <w:szCs w:val="16"/>
                <w:color w:val="auto"/>
              </w:rPr>
              <w:t>Expense from the interest-bearing 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Interest-bearing demand deposits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Savings deposits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16,057</w:t>
            </w:r>
          </w:p>
        </w:tc>
      </w:tr>
      <w:tr>
        <w:trPr>
          <w:trHeight w:val="21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Time deposits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20,563</w:t>
            </w:r>
          </w:p>
        </w:tc>
      </w:tr>
      <w:tr>
        <w:trPr>
          <w:trHeight w:val="210"/>
        </w:trPr>
        <w:tc>
          <w:tcPr>
            <w:tcW w:w="6600" w:type="dxa"/>
            <w:vAlign w:val="bottom"/>
          </w:tcPr>
          <w:p>
            <w:pPr>
              <w:ind w:left="460"/>
              <w:spacing w:after="0"/>
              <w:rPr>
                <w:sz w:val="20"/>
                <w:szCs w:val="20"/>
                <w:color w:val="auto"/>
              </w:rPr>
            </w:pPr>
            <w:r>
              <w:rPr>
                <w:rFonts w:ascii="Arial" w:cs="Arial" w:eastAsia="Arial" w:hAnsi="Arial"/>
                <w:sz w:val="16"/>
                <w:szCs w:val="16"/>
                <w:color w:val="auto"/>
              </w:rPr>
              <w:t>Total interest expense on interest-bearing deposits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38,748</w:t>
            </w:r>
          </w:p>
        </w:tc>
      </w:tr>
      <w:tr>
        <w:trPr>
          <w:trHeight w:val="20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Borrowings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11,038</w:t>
            </w:r>
          </w:p>
        </w:tc>
      </w:tr>
      <w:tr>
        <w:trPr>
          <w:trHeight w:val="210"/>
        </w:trPr>
        <w:tc>
          <w:tcPr>
            <w:tcW w:w="6600" w:type="dxa"/>
            <w:vAlign w:val="bottom"/>
          </w:tcPr>
          <w:p>
            <w:pPr>
              <w:ind w:left="460"/>
              <w:spacing w:after="0"/>
              <w:rPr>
                <w:sz w:val="20"/>
                <w:szCs w:val="20"/>
                <w:color w:val="auto"/>
              </w:rPr>
            </w:pPr>
            <w:r>
              <w:rPr>
                <w:rFonts w:ascii="Arial" w:cs="Arial" w:eastAsia="Arial" w:hAnsi="Arial"/>
                <w:sz w:val="16"/>
                <w:szCs w:val="16"/>
                <w:color w:val="auto"/>
              </w:rPr>
              <w:t>Total interest expense on interest-bearing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49,786</w:t>
            </w:r>
          </w:p>
        </w:tc>
      </w:tr>
      <w:tr>
        <w:trPr>
          <w:trHeight w:val="209"/>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Taxable-equivalent net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w:t>
            </w:r>
          </w:p>
        </w:tc>
      </w:tr>
    </w:tbl>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Yields and interest income on tax-exempt securities have been computed on a taxable-equivalent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income was $37.1 million for the three months ended June 30, 2023, compared to $26.5 million for the three months ended June 30, 2022, an increase of 39.8%. The increase in interest income was primarily driven by an increase in both rates and volume for the loan portfolio along with increasing rates for the securities portfolio. Interest income on loans and securities increased by $7.9 million and $1.8 million, respectively, for the three months ended June 30, 2023, compared to the three months ended June 30,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interest expense was $13.3 million for the three months ended June 30, 2023, compared to $0.9 million for the three months ended June 30, 2022. The increase in interest expense was primarily driven by increasing rates for both deposits and borrowed funds. The average interest-bearing balances also increased, but primarily, the increase in interest rate expense was due to higher rates. Interest expense on interest-bearing deposits and borrowed funds increased by $9.7 million and $2.8 million, respectively, for the three months ended June 30, 2023 compared to the three months ended June 30,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provision for credit losses was $0.2 million for the three months ended June 30, 2023, compared to a recapture of $2.5 million for the three months ended June 30, 2022. The increased provision expense was primarily due to a recapture of provision that was booked to reflect the uncertainty of the COVID-19 pandemic and the sale of a non-performing loan note for three months ended June 30, 2022 and the Company estimating credit losses using an expected life-time loss model versus an incurred model for the three months ended June 30, 2023. Additionally, loan balances have risen significantly for the three months ended June 30, 2023, versus the three months ended June 30, 2022. See </w:t>
      </w:r>
      <w:r>
        <w:rPr>
          <w:rFonts w:ascii="Arial" w:cs="Arial" w:eastAsia="Arial" w:hAnsi="Arial"/>
          <w:sz w:val="18"/>
          <w:szCs w:val="18"/>
          <w:u w:val="single" w:color="auto"/>
          <w:color w:val="0000FF"/>
        </w:rPr>
        <w:t>Note 4 - Allowance for Credit Losses</w:t>
      </w:r>
      <w:r>
        <w:rPr>
          <w:rFonts w:ascii="Arial" w:cs="Arial" w:eastAsia="Arial" w:hAnsi="Arial"/>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income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Fiduciary and wealth management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10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1,362</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w w:val="93"/>
              </w:rPr>
              <w:t>(4.2)%</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Service charges and fees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1,761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680" w:type="dxa"/>
            <w:vAlign w:val="bottom"/>
            <w:gridSpan w:val="2"/>
          </w:tcPr>
          <w:p>
            <w:pPr>
              <w:ind w:left="1220"/>
              <w:spacing w:after="0"/>
              <w:rPr>
                <w:sz w:val="20"/>
                <w:szCs w:val="20"/>
                <w:color w:val="auto"/>
              </w:rPr>
            </w:pPr>
            <w:r>
              <w:rPr>
                <w:rFonts w:ascii="Arial" w:cs="Arial" w:eastAsia="Arial" w:hAnsi="Arial"/>
                <w:sz w:val="16"/>
                <w:szCs w:val="16"/>
                <w:color w:val="auto"/>
              </w:rPr>
              <w:t>(1.1)</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on securities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Income from company-owned life insurance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5.4</w:t>
            </w:r>
          </w:p>
        </w:tc>
      </w:tr>
      <w:tr>
        <w:trPr>
          <w:trHeight w:val="21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34.7</w:t>
            </w:r>
          </w:p>
        </w:tc>
      </w:tr>
      <w:tr>
        <w:trPr>
          <w:trHeight w:val="210"/>
        </w:trPr>
        <w:tc>
          <w:tcPr>
            <w:tcW w:w="4960" w:type="dxa"/>
            <w:vAlign w:val="bottom"/>
          </w:tcPr>
          <w:p>
            <w:pPr>
              <w:ind w:left="2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4,496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Non-interest income increased 2.9% for the three months ended June 30, 2023, compared to the three months ended June 30, 2022. The increase was primarily driven by an increase in other non-interest income of $288 thousand through an increase in customer swap fees and increased dividend from the FHLB. This increase was partially offset by the loss on the sale of securities in the three months ended June 30,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expense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wages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9,922</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26.6</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5.4</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r>
      <w:tr>
        <w:trPr>
          <w:trHeight w:val="207"/>
        </w:trPr>
        <w:tc>
          <w:tcPr>
            <w:tcW w:w="4980" w:type="dxa"/>
            <w:vAlign w:val="bottom"/>
          </w:tcPr>
          <w:p>
            <w:pPr>
              <w:ind w:left="2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21,348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Non-interest expense increased 4.8% for the three months ended June 30, 2023, compared to June 30, 2022. The main drivers for this increase are personal related expenses such as salary, pensions, and other employee benefits which increased by $810 thousand primarily due to increases in the costs of employee benefit plans. In addition, the Company incurred additional expense related to entering into interest rate swaps designated as fair value hedges and higher legal and audit fees arising from the filing of our initial Registration Statement and other required filings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Income tax expense was $0.8 million for the three months ended June 30, 2023, a decrease of $1.1 million from the tax provision for the three months ended June 30, 2022. The decrease was due to the decrease in net income for the three months ended June 30, 2023, when compared to the prior year three months ended June 30, 2022. For the three months ended June 30, 2023, and June 30, 2022, our effective tax rates were 12.0% and 15.5%,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for the Period Ended June 30, 2023, and December 31, 2022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increased by $6.3 million to $3.57 billion as of June 30, 2023, compared to $3.56 billion as of December 31, 2022. Loans, net of ACL, increased by $108.9 million from $1.87 billion as of December 31, 2022, to $1.98 billion as of June 30, 2023. Deposits increased by $84.9 million and amounted to $3.01 billion at June 30, 2023, compared to $2.92 billion at December 31, 2022. Borrowed funds decreased by $94.1 million to $249.0 million as of June 30, 2023, compared to $343.1 million at December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six months ended June 30, 2023, the unrealized losses on our holdings decreased from December 31, 2022, as the decrease in long-term interest rate expectations, portfolio runoff, and rebalancing had a positive impact on the value of our AFS portfolio.</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2023, the Company adopted the new CECL standard in accordance with ASU 2016-13, which changed the accounting framework by replacing the other-than-temporary impairment (“OTTI”) assessment with the recognition of an ACL. The Company determined that the declines in market value were due to increases in interest rates and market movements and not due to credit factors. Therefore, the Company has concluded that the unrealized losses for the AFS securities do not require an ACL at June 30, 2023. Under the prior OTTI framework, the Company did not record any cumulative OTTI expense as of December 31, 2022.</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the amortized cost and fair market values for the total portfolio for each category of investment for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Securities Available-for-Sale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U.S. Treasuries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197,592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22,195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175,397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of states and municipalities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455,862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Residential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41,990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296,104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Commercial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36,086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164,307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Asset backed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74,479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1,402,600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1,252,190</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Securities Available-for-Sale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U.S. Treasuries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198,154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23,161</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174,993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of states and municipalities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Residential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53,061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Commercial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61,810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59,933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183,299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Asset backed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101,791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98,626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1,537,420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165,825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1,371,757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maturity table below summarizes contractual maturities for our investment securities at June 30, 2023. The actual timing of principal payments may differ from remaining contractual maturities because obligors may have the right to repay certain obligations with or without penalties. The overall weighted average duration of the Company’s investment portfolio is 4.3 years at June 30, 2023. The weighted-average yield below represents the effective yield for the investment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and is calculated based on the amortized cost of each security (dollars in thousands). Interest on securities below excludes tax-equivalent adjustments.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jc w:val="center"/>
              <w:ind w:right="102"/>
              <w:spacing w:after="0"/>
              <w:rPr>
                <w:sz w:val="20"/>
                <w:szCs w:val="20"/>
                <w:color w:val="auto"/>
              </w:rPr>
            </w:pPr>
            <w:r>
              <w:rPr>
                <w:rFonts w:ascii="Arial" w:cs="Arial" w:eastAsia="Arial" w:hAnsi="Arial"/>
                <w:sz w:val="11"/>
                <w:szCs w:val="11"/>
                <w:b w:val="1"/>
                <w:bCs w:val="1"/>
                <w:color w:val="auto"/>
                <w:w w:val="89"/>
              </w:rPr>
              <w:t>June 30, 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tcPr>
          <w:p>
            <w:pPr>
              <w:jc w:val="right"/>
              <w:ind w:right="402"/>
              <w:spacing w:after="0"/>
              <w:rPr>
                <w:sz w:val="20"/>
                <w:szCs w:val="20"/>
                <w:color w:val="auto"/>
              </w:rPr>
            </w:pPr>
            <w:r>
              <w:rPr>
                <w:rFonts w:ascii="Arial" w:cs="Arial" w:eastAsia="Arial" w:hAnsi="Arial"/>
                <w:sz w:val="11"/>
                <w:szCs w:val="11"/>
                <w:b w:val="1"/>
                <w:bCs w:val="1"/>
                <w:color w:val="auto"/>
              </w:rPr>
              <w:t>One Year or Less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jc w:val="right"/>
              <w:ind w:right="382"/>
              <w:spacing w:after="0"/>
              <w:rPr>
                <w:sz w:val="20"/>
                <w:szCs w:val="20"/>
                <w:color w:val="auto"/>
              </w:rPr>
            </w:pPr>
            <w:r>
              <w:rPr>
                <w:rFonts w:ascii="Arial" w:cs="Arial" w:eastAsia="Arial" w:hAnsi="Arial"/>
                <w:sz w:val="11"/>
                <w:szCs w:val="11"/>
                <w:b w:val="1"/>
                <w:bCs w:val="1"/>
                <w:color w:val="auto"/>
              </w:rPr>
              <w:t>One to Five Years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tcPr>
          <w:p>
            <w:pPr>
              <w:jc w:val="center"/>
              <w:ind w:right="122"/>
              <w:spacing w:after="0"/>
              <w:rPr>
                <w:sz w:val="20"/>
                <w:szCs w:val="20"/>
                <w:color w:val="auto"/>
              </w:rPr>
            </w:pPr>
            <w:r>
              <w:rPr>
                <w:rFonts w:ascii="Arial" w:cs="Arial" w:eastAsia="Arial" w:hAnsi="Arial"/>
                <w:sz w:val="11"/>
                <w:szCs w:val="11"/>
                <w:b w:val="1"/>
                <w:bCs w:val="1"/>
                <w:color w:val="auto"/>
                <w:w w:val="85"/>
              </w:rPr>
              <w:t>Five to Ten Years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right"/>
              <w:ind w:right="439"/>
              <w:spacing w:after="0"/>
              <w:rPr>
                <w:sz w:val="20"/>
                <w:szCs w:val="20"/>
                <w:color w:val="auto"/>
              </w:rPr>
            </w:pPr>
            <w:r>
              <w:rPr>
                <w:rFonts w:ascii="Arial" w:cs="Arial" w:eastAsia="Arial" w:hAnsi="Arial"/>
                <w:sz w:val="11"/>
                <w:szCs w:val="11"/>
                <w:b w:val="1"/>
                <w:bCs w:val="1"/>
                <w:color w:val="auto"/>
              </w:rPr>
              <w:t>After Ten Years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580"/>
              <w:spacing w:after="0"/>
              <w:rPr>
                <w:sz w:val="20"/>
                <w:szCs w:val="20"/>
                <w:color w:val="auto"/>
              </w:rPr>
            </w:pPr>
            <w:r>
              <w:rPr>
                <w:rFonts w:ascii="Arial" w:cs="Arial" w:eastAsia="Arial" w:hAnsi="Arial"/>
                <w:sz w:val="11"/>
                <w:szCs w:val="11"/>
                <w:b w:val="1"/>
                <w:bCs w:val="1"/>
                <w:color w:val="auto"/>
                <w:w w:val="83"/>
              </w:rPr>
              <w:t>Total</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8"/>
              </w:rPr>
              <w:t>Amortized Cost</w:t>
            </w:r>
          </w:p>
        </w:tc>
        <w:tc>
          <w:tcPr>
            <w:tcW w:w="100" w:type="dxa"/>
            <w:vAlign w:val="bottom"/>
          </w:tcPr>
          <w:p>
            <w:pPr>
              <w:spacing w:after="0"/>
              <w:rPr>
                <w:sz w:val="8"/>
                <w:szCs w:val="8"/>
                <w:color w:val="auto"/>
              </w:rPr>
            </w:pPr>
          </w:p>
        </w:tc>
        <w:tc>
          <w:tcPr>
            <w:tcW w:w="840" w:type="dxa"/>
            <w:vAlign w:val="bottom"/>
          </w:tcPr>
          <w:p>
            <w:pPr>
              <w:jc w:val="right"/>
              <w:ind w:right="142"/>
              <w:spacing w:after="0" w:line="102"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8"/>
                <w:szCs w:val="8"/>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8"/>
              </w:rPr>
              <w:t>Amortized Cost</w:t>
            </w:r>
          </w:p>
        </w:tc>
        <w:tc>
          <w:tcPr>
            <w:tcW w:w="120" w:type="dxa"/>
            <w:vAlign w:val="bottom"/>
          </w:tcPr>
          <w:p>
            <w:pPr>
              <w:spacing w:after="0"/>
              <w:rPr>
                <w:sz w:val="8"/>
                <w:szCs w:val="8"/>
                <w:color w:val="auto"/>
              </w:rPr>
            </w:pPr>
          </w:p>
        </w:tc>
        <w:tc>
          <w:tcPr>
            <w:tcW w:w="820" w:type="dxa"/>
            <w:vAlign w:val="bottom"/>
          </w:tcPr>
          <w:p>
            <w:pPr>
              <w:jc w:val="right"/>
              <w:ind w:right="142"/>
              <w:spacing w:after="0" w:line="102"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8"/>
              </w:rPr>
              <w:t>Amortized Cost</w:t>
            </w:r>
          </w:p>
        </w:tc>
        <w:tc>
          <w:tcPr>
            <w:tcW w:w="10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88"/>
              </w:rPr>
              <w:t>Amortized Cost</w:t>
            </w:r>
          </w:p>
        </w:tc>
        <w:tc>
          <w:tcPr>
            <w:tcW w:w="100" w:type="dxa"/>
            <w:vAlign w:val="bottom"/>
          </w:tcPr>
          <w:p>
            <w:pPr>
              <w:spacing w:after="0"/>
              <w:rPr>
                <w:sz w:val="8"/>
                <w:szCs w:val="8"/>
                <w:color w:val="auto"/>
              </w:rPr>
            </w:pPr>
          </w:p>
        </w:tc>
        <w:tc>
          <w:tcPr>
            <w:tcW w:w="840" w:type="dxa"/>
            <w:vAlign w:val="bottom"/>
          </w:tcPr>
          <w:p>
            <w:pPr>
              <w:jc w:val="right"/>
              <w:ind w:right="139"/>
              <w:spacing w:after="0" w:line="102" w:lineRule="exact"/>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8"/>
                <w:szCs w:val="8"/>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Amortized Cost</w:t>
            </w:r>
          </w:p>
        </w:tc>
        <w:tc>
          <w:tcPr>
            <w:tcW w:w="74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1"/>
                <w:szCs w:val="11"/>
                <w:b w:val="1"/>
                <w:bCs w:val="1"/>
                <w:color w:val="auto"/>
                <w:w w:val="98"/>
              </w:rPr>
              <w:t>Average Yield</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7"/>
              </w:rPr>
              <w:t>Average Yield</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9"/>
              <w:spacing w:after="0"/>
              <w:rPr>
                <w:sz w:val="20"/>
                <w:szCs w:val="20"/>
                <w:color w:val="auto"/>
              </w:rPr>
            </w:pPr>
            <w:r>
              <w:rPr>
                <w:rFonts w:ascii="Arial" w:cs="Arial" w:eastAsia="Arial" w:hAnsi="Arial"/>
                <w:sz w:val="11"/>
                <w:szCs w:val="11"/>
                <w:b w:val="1"/>
                <w:bCs w:val="1"/>
                <w:color w:val="auto"/>
                <w:w w:val="98"/>
              </w:rPr>
              <w:t>Average Yield</w:t>
            </w:r>
          </w:p>
        </w:tc>
        <w:tc>
          <w:tcPr>
            <w:tcW w:w="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w w:val="98"/>
              </w:rPr>
              <w:t>Average Yield</w:t>
            </w: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Securities Available-for-Sale</w:t>
            </w:r>
          </w:p>
        </w:tc>
        <w:tc>
          <w:tcPr>
            <w:tcW w:w="1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240"/>
              <w:spacing w:after="0"/>
              <w:rPr>
                <w:sz w:val="20"/>
                <w:szCs w:val="20"/>
                <w:color w:val="auto"/>
              </w:rPr>
            </w:pPr>
            <w:r>
              <w:rPr>
                <w:rFonts w:ascii="Arial" w:cs="Arial" w:eastAsia="Arial" w:hAnsi="Arial"/>
                <w:sz w:val="11"/>
                <w:szCs w:val="11"/>
                <w:color w:val="auto"/>
              </w:rPr>
              <w:t>U.S. Treasuries and government agencies</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29,711</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1.61 %</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40,637</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1.13 %</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127,244</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w w:val="88"/>
              </w:rPr>
              <w:t>1.37 %</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197,592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Arial" w:cs="Arial" w:eastAsia="Arial" w:hAnsi="Arial"/>
                <w:sz w:val="13"/>
                <w:szCs w:val="13"/>
                <w:color w:val="auto"/>
                <w:w w:val="88"/>
              </w:rPr>
              <w:t>1.36 %</w:t>
            </w: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Obligations of states and municipalities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12,935</w:t>
            </w: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317,052</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207,837</w:t>
            </w:r>
          </w:p>
        </w:tc>
        <w:tc>
          <w:tcPr>
            <w:tcW w:w="940" w:type="dxa"/>
            <w:vAlign w:val="bottom"/>
            <w:gridSpan w:val="2"/>
            <w:shd w:val="clear" w:color="auto" w:fill="CCEEFF"/>
          </w:tcPr>
          <w:p>
            <w:pPr>
              <w:jc w:val="right"/>
              <w:ind w:right="99"/>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538,194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68"/>
        </w:trPr>
        <w:tc>
          <w:tcPr>
            <w:tcW w:w="2360" w:type="dxa"/>
            <w:vAlign w:val="bottom"/>
          </w:tcPr>
          <w:p>
            <w:pPr>
              <w:ind w:left="240"/>
              <w:spacing w:after="0"/>
              <w:rPr>
                <w:sz w:val="20"/>
                <w:szCs w:val="20"/>
                <w:color w:val="auto"/>
              </w:rPr>
            </w:pPr>
            <w:r>
              <w:rPr>
                <w:rFonts w:ascii="Arial" w:cs="Arial" w:eastAsia="Arial" w:hAnsi="Arial"/>
                <w:sz w:val="11"/>
                <w:szCs w:val="11"/>
                <w:color w:val="auto"/>
              </w:rPr>
              <w:t>Residential mortgage backed - agency</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w:t>
            </w:r>
          </w:p>
        </w:tc>
        <w:tc>
          <w:tcPr>
            <w:tcW w:w="940" w:type="dxa"/>
            <w:vAlign w:val="bottom"/>
            <w:gridSpan w:val="2"/>
          </w:tcPr>
          <w:p>
            <w:pPr>
              <w:jc w:val="right"/>
              <w:ind w:right="102"/>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23,836</w:t>
            </w:r>
          </w:p>
        </w:tc>
        <w:tc>
          <w:tcPr>
            <w:tcW w:w="940" w:type="dxa"/>
            <w:vAlign w:val="bottom"/>
            <w:gridSpan w:val="2"/>
          </w:tcPr>
          <w:p>
            <w:pPr>
              <w:jc w:val="right"/>
              <w:ind w:right="102"/>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23,462</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47,340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77"/>
        </w:trPr>
        <w:tc>
          <w:tcPr>
            <w:tcW w:w="2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Residential mortgage backed - non-agency</w:t>
            </w: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58,019</w:t>
            </w:r>
          </w:p>
        </w:tc>
        <w:tc>
          <w:tcPr>
            <w:tcW w:w="9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2.12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160,253</w:t>
            </w:r>
          </w:p>
        </w:tc>
        <w:tc>
          <w:tcPr>
            <w:tcW w:w="9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4.17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95,481</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3"/>
                <w:szCs w:val="13"/>
                <w:color w:val="auto"/>
              </w:rPr>
              <w:t>3.23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9,766</w:t>
            </w:r>
          </w:p>
        </w:tc>
        <w:tc>
          <w:tcPr>
            <w:tcW w:w="9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3"/>
                <w:szCs w:val="13"/>
                <w:color w:val="auto"/>
              </w:rPr>
              <w:t>4.80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323,519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68"/>
        </w:trPr>
        <w:tc>
          <w:tcPr>
            <w:tcW w:w="2360" w:type="dxa"/>
            <w:vAlign w:val="bottom"/>
          </w:tcPr>
          <w:p>
            <w:pPr>
              <w:ind w:left="240"/>
              <w:spacing w:after="0"/>
              <w:rPr>
                <w:sz w:val="20"/>
                <w:szCs w:val="20"/>
                <w:color w:val="auto"/>
              </w:rPr>
            </w:pPr>
            <w:r>
              <w:rPr>
                <w:rFonts w:ascii="Arial" w:cs="Arial" w:eastAsia="Arial" w:hAnsi="Arial"/>
                <w:sz w:val="11"/>
                <w:szCs w:val="11"/>
                <w:color w:val="auto"/>
              </w:rPr>
              <w:t>Commercial mortgage backed - agency</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196</w:t>
            </w:r>
          </w:p>
        </w:tc>
        <w:tc>
          <w:tcPr>
            <w:tcW w:w="940" w:type="dxa"/>
            <w:vAlign w:val="bottom"/>
            <w:gridSpan w:val="2"/>
          </w:tcPr>
          <w:p>
            <w:pPr>
              <w:jc w:val="right"/>
              <w:ind w:right="102"/>
              <w:spacing w:after="0"/>
              <w:rPr>
                <w:sz w:val="20"/>
                <w:szCs w:val="20"/>
                <w:color w:val="auto"/>
              </w:rPr>
            </w:pPr>
            <w:r>
              <w:rPr>
                <w:rFonts w:ascii="Arial" w:cs="Arial" w:eastAsia="Arial" w:hAnsi="Arial"/>
                <w:sz w:val="13"/>
                <w:szCs w:val="13"/>
                <w:color w:val="auto"/>
              </w:rPr>
              <w:t>7.08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31,090</w:t>
            </w:r>
          </w:p>
        </w:tc>
        <w:tc>
          <w:tcPr>
            <w:tcW w:w="940" w:type="dxa"/>
            <w:vAlign w:val="bottom"/>
            <w:gridSpan w:val="2"/>
          </w:tcPr>
          <w:p>
            <w:pPr>
              <w:jc w:val="right"/>
              <w:ind w:right="102"/>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6,272</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4.09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37,558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8"/>
              </w:rPr>
              <w:t>Commercial mortgage backed - non-agency</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8,562</w:t>
            </w: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158,575</w:t>
            </w: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5,149</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67"/>
        </w:trPr>
        <w:tc>
          <w:tcPr>
            <w:tcW w:w="2360" w:type="dxa"/>
            <w:vAlign w:val="bottom"/>
          </w:tcPr>
          <w:p>
            <w:pPr>
              <w:ind w:left="240"/>
              <w:spacing w:after="0"/>
              <w:rPr>
                <w:sz w:val="20"/>
                <w:szCs w:val="20"/>
                <w:color w:val="auto"/>
              </w:rPr>
            </w:pPr>
            <w:r>
              <w:rPr>
                <w:rFonts w:ascii="Arial" w:cs="Arial" w:eastAsia="Arial" w:hAnsi="Arial"/>
                <w:sz w:val="11"/>
                <w:szCs w:val="11"/>
                <w:color w:val="auto"/>
              </w:rPr>
              <w:t>Asset backed</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8,765</w:t>
            </w:r>
          </w:p>
        </w:tc>
        <w:tc>
          <w:tcPr>
            <w:tcW w:w="940" w:type="dxa"/>
            <w:vAlign w:val="bottom"/>
            <w:gridSpan w:val="2"/>
          </w:tcPr>
          <w:p>
            <w:pPr>
              <w:jc w:val="right"/>
              <w:ind w:right="102"/>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36,411</w:t>
            </w:r>
          </w:p>
        </w:tc>
        <w:tc>
          <w:tcPr>
            <w:tcW w:w="940" w:type="dxa"/>
            <w:vAlign w:val="bottom"/>
            <w:gridSpan w:val="2"/>
          </w:tcPr>
          <w:p>
            <w:pPr>
              <w:jc w:val="right"/>
              <w:ind w:right="102"/>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31,435</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5.99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76,611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9,500</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5.13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5.13</w:t>
            </w:r>
          </w:p>
        </w:tc>
        <w:tc>
          <w:tcPr>
            <w:tcW w:w="0" w:type="dxa"/>
            <w:vAlign w:val="bottom"/>
          </w:tcPr>
          <w:p>
            <w:pPr>
              <w:spacing w:after="0"/>
              <w:rPr>
                <w:sz w:val="1"/>
                <w:szCs w:val="1"/>
                <w:color w:val="auto"/>
              </w:rPr>
            </w:pPr>
          </w:p>
        </w:tc>
      </w:tr>
      <w:tr>
        <w:trPr>
          <w:trHeight w:val="169"/>
        </w:trPr>
        <w:tc>
          <w:tcPr>
            <w:tcW w:w="2360" w:type="dxa"/>
            <w:vAlign w:val="bottom"/>
          </w:tcPr>
          <w:p>
            <w:pPr>
              <w:ind w:left="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105,665</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2.67 %</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463,737</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4.26 %</w:t>
            </w:r>
          </w:p>
        </w:tc>
        <w:tc>
          <w:tcPr>
            <w:tcW w:w="100" w:type="dxa"/>
            <w:vAlign w:val="bottom"/>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615,595</w:t>
            </w:r>
          </w:p>
        </w:tc>
        <w:tc>
          <w:tcPr>
            <w:tcW w:w="100" w:type="dxa"/>
            <w:vAlign w:val="bottom"/>
          </w:tcPr>
          <w:p>
            <w:pPr>
              <w:spacing w:after="0"/>
              <w:rPr>
                <w:sz w:val="14"/>
                <w:szCs w:val="14"/>
                <w:color w:val="auto"/>
              </w:rPr>
            </w:pPr>
          </w:p>
        </w:tc>
        <w:tc>
          <w:tcPr>
            <w:tcW w:w="8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w w:val="88"/>
              </w:rPr>
              <w:t>2.37 %</w:t>
            </w:r>
          </w:p>
        </w:tc>
        <w:tc>
          <w:tcPr>
            <w:tcW w:w="8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217,603</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2.21 %</w:t>
            </w:r>
          </w:p>
        </w:tc>
        <w:tc>
          <w:tcPr>
            <w:tcW w:w="8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1,402,600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w w:val="88"/>
              </w:rPr>
              <w:t>2.99 %</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Arial" w:cs="Arial" w:eastAsia="Arial" w:hAnsi="Arial"/>
          <w:sz w:val="18"/>
          <w:szCs w:val="18"/>
          <w:u w:val="single" w:color="auto"/>
          <w:color w:val="0000FF"/>
        </w:rPr>
        <w:t>Note 3 — Loans</w:t>
      </w:r>
      <w:r>
        <w:rPr>
          <w:rFonts w:ascii="Arial" w:cs="Arial" w:eastAsia="Arial" w:hAnsi="Arial"/>
          <w:sz w:val="18"/>
          <w:szCs w:val="18"/>
          <w:color w:val="auto"/>
        </w:rPr>
        <w:t xml:space="preserve"> in Notes to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composition of our loan portfolio as of the dates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r>
      <w:tr>
        <w:trPr>
          <w:trHeight w:val="23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1,198,840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1,109,315</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124,466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127,114</w:t>
            </w: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94,450</w:t>
            </w: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59,142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53,514</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Single family residential (1-4 units)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499,362</w:t>
            </w:r>
          </w:p>
        </w:tc>
      </w:tr>
      <w:tr>
        <w:trPr>
          <w:trHeight w:val="240"/>
        </w:trPr>
        <w:tc>
          <w:tcPr>
            <w:tcW w:w="7480" w:type="dxa"/>
            <w:vAlign w:val="bottom"/>
          </w:tcPr>
          <w:p>
            <w:pPr>
              <w:ind w:left="20"/>
              <w:spacing w:after="0"/>
              <w:rPr>
                <w:sz w:val="20"/>
                <w:szCs w:val="20"/>
                <w:color w:val="auto"/>
              </w:rPr>
            </w:pPr>
            <w:r>
              <w:rPr>
                <w:rFonts w:ascii="Arial" w:cs="Arial" w:eastAsia="Arial" w:hAnsi="Arial"/>
                <w:sz w:val="16"/>
                <w:szCs w:val="16"/>
                <w:color w:val="auto"/>
              </w:rPr>
              <w:t>Consumer non-real estate and other</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w:t>
            </w:r>
          </w:p>
        </w:tc>
      </w:tr>
      <w:tr>
        <w:trPr>
          <w:trHeight w:val="253"/>
        </w:trPr>
        <w:tc>
          <w:tcPr>
            <w:tcW w:w="7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1,887,221</w:t>
            </w:r>
          </w:p>
        </w:tc>
      </w:tr>
      <w:tr>
        <w:trPr>
          <w:trHeight w:val="220"/>
        </w:trPr>
        <w:tc>
          <w:tcPr>
            <w:tcW w:w="7480" w:type="dxa"/>
            <w:vAlign w:val="bottom"/>
          </w:tcPr>
          <w:p>
            <w:pPr>
              <w:ind w:left="20"/>
              <w:spacing w:after="0"/>
              <w:rPr>
                <w:sz w:val="20"/>
                <w:szCs w:val="20"/>
                <w:color w:val="auto"/>
              </w:rPr>
            </w:pPr>
            <w:r>
              <w:rPr>
                <w:rFonts w:ascii="Arial" w:cs="Arial" w:eastAsia="Arial" w:hAnsi="Arial"/>
                <w:sz w:val="16"/>
                <w:szCs w:val="16"/>
                <w:color w:val="auto"/>
              </w:rPr>
              <w:t>Allowance for credit losses</w:t>
            </w:r>
          </w:p>
        </w:tc>
        <w:tc>
          <w:tcPr>
            <w:tcW w:w="2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(21,039)</w:t>
            </w:r>
          </w:p>
        </w:tc>
      </w:tr>
      <w:tr>
        <w:trPr>
          <w:trHeight w:val="24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1,975,050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1,866,182</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loan portfolio, excluding ACL, at June 30, 2023, increased by $113.7 million primarily due to growth in our commercial and residential real estate loan production. The Company’s organic growth has occurred in both legacy and newer markets, principally in commercial real estate.</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the maturity distribution for total loans outstanding as of June 30, 2023. The maturity distribution is grouped by remaining scheduled principal payments that are due in the following periods. The principal balance of loans are indicated by both fixed and floating rate categories in the table below (in thousands).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June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gridSpan w:val="4"/>
          </w:tcPr>
          <w:p>
            <w:pPr>
              <w:jc w:val="right"/>
              <w:ind w:right="390"/>
              <w:spacing w:after="0"/>
              <w:rPr>
                <w:sz w:val="20"/>
                <w:szCs w:val="20"/>
                <w:color w:val="auto"/>
              </w:rPr>
            </w:pPr>
            <w:r>
              <w:rPr>
                <w:rFonts w:ascii="Arial" w:cs="Arial" w:eastAsia="Arial" w:hAnsi="Arial"/>
                <w:sz w:val="13"/>
                <w:szCs w:val="13"/>
                <w:b w:val="1"/>
                <w:bCs w:val="1"/>
                <w:color w:val="auto"/>
              </w:rPr>
              <w:t>Within One Year</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4"/>
          </w:tcPr>
          <w:p>
            <w:pPr>
              <w:jc w:val="right"/>
              <w:ind w:right="250"/>
              <w:spacing w:after="0"/>
              <w:rPr>
                <w:sz w:val="20"/>
                <w:szCs w:val="20"/>
                <w:color w:val="auto"/>
              </w:rPr>
            </w:pPr>
            <w:r>
              <w:rPr>
                <w:rFonts w:ascii="Arial" w:cs="Arial" w:eastAsia="Arial" w:hAnsi="Arial"/>
                <w:sz w:val="13"/>
                <w:szCs w:val="13"/>
                <w:b w:val="1"/>
                <w:bCs w:val="1"/>
                <w:color w:val="auto"/>
                <w:w w:val="98"/>
              </w:rPr>
              <w:t>One Year to Five Years</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4"/>
          </w:tcPr>
          <w:p>
            <w:pPr>
              <w:jc w:val="right"/>
              <w:ind w:right="270"/>
              <w:spacing w:after="0"/>
              <w:rPr>
                <w:sz w:val="20"/>
                <w:szCs w:val="20"/>
                <w:color w:val="auto"/>
              </w:rPr>
            </w:pPr>
            <w:r>
              <w:rPr>
                <w:rFonts w:ascii="Arial" w:cs="Arial" w:eastAsia="Arial" w:hAnsi="Arial"/>
                <w:sz w:val="13"/>
                <w:szCs w:val="13"/>
                <w:b w:val="1"/>
                <w:bCs w:val="1"/>
                <w:color w:val="auto"/>
                <w:w w:val="99"/>
              </w:rPr>
              <w:t>Five Years to 15 Years</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3"/>
                <w:szCs w:val="13"/>
                <w:b w:val="1"/>
                <w:bCs w:val="1"/>
                <w:color w:val="auto"/>
              </w:rPr>
              <w:t>After 15 Years</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4"/>
              </w:rPr>
              <w:t>Fixed Rates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0"/>
              <w:spacing w:after="0" w:line="121" w:lineRule="exact"/>
              <w:rPr>
                <w:sz w:val="20"/>
                <w:szCs w:val="20"/>
                <w:color w:val="auto"/>
              </w:rPr>
            </w:pPr>
            <w:r>
              <w:rPr>
                <w:rFonts w:ascii="Arial" w:cs="Arial" w:eastAsia="Arial" w:hAnsi="Arial"/>
                <w:sz w:val="13"/>
                <w:szCs w:val="13"/>
                <w:b w:val="1"/>
                <w:bCs w:val="1"/>
                <w:color w:val="auto"/>
                <w:w w:val="87"/>
              </w:rPr>
              <w:t>Adjustable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4"/>
              </w:rPr>
              <w:t>Fixed Rates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90"/>
              <w:spacing w:after="0" w:line="121" w:lineRule="exact"/>
              <w:rPr>
                <w:sz w:val="20"/>
                <w:szCs w:val="20"/>
                <w:color w:val="auto"/>
              </w:rPr>
            </w:pPr>
            <w:r>
              <w:rPr>
                <w:rFonts w:ascii="Arial" w:cs="Arial" w:eastAsia="Arial" w:hAnsi="Arial"/>
                <w:sz w:val="13"/>
                <w:szCs w:val="13"/>
                <w:b w:val="1"/>
                <w:bCs w:val="1"/>
                <w:color w:val="auto"/>
                <w:w w:val="87"/>
              </w:rPr>
              <w:t>Adjustable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4"/>
              </w:rPr>
              <w:t>Fixed Rates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90"/>
              <w:spacing w:after="0" w:line="121" w:lineRule="exact"/>
              <w:rPr>
                <w:sz w:val="20"/>
                <w:szCs w:val="20"/>
                <w:color w:val="auto"/>
              </w:rPr>
            </w:pPr>
            <w:r>
              <w:rPr>
                <w:rFonts w:ascii="Arial" w:cs="Arial" w:eastAsia="Arial" w:hAnsi="Arial"/>
                <w:sz w:val="13"/>
                <w:szCs w:val="13"/>
                <w:b w:val="1"/>
                <w:bCs w:val="1"/>
                <w:color w:val="auto"/>
                <w:w w:val="87"/>
              </w:rPr>
              <w:t>Adjustable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4"/>
              </w:rPr>
              <w:t>Fixed Rates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70"/>
              <w:spacing w:after="0" w:line="121" w:lineRule="exact"/>
              <w:rPr>
                <w:sz w:val="20"/>
                <w:szCs w:val="20"/>
                <w:color w:val="auto"/>
              </w:rPr>
            </w:pPr>
            <w:r>
              <w:rPr>
                <w:rFonts w:ascii="Arial" w:cs="Arial" w:eastAsia="Arial" w:hAnsi="Arial"/>
                <w:sz w:val="13"/>
                <w:szCs w:val="13"/>
                <w:b w:val="1"/>
                <w:bCs w:val="1"/>
                <w:color w:val="auto"/>
                <w:w w:val="90"/>
              </w:rPr>
              <w:t>Adjustable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10"/>
              <w:spacing w:after="0"/>
              <w:rPr>
                <w:sz w:val="20"/>
                <w:szCs w:val="20"/>
                <w:color w:val="auto"/>
              </w:rPr>
            </w:pPr>
            <w:r>
              <w:rPr>
                <w:rFonts w:ascii="Arial" w:cs="Arial" w:eastAsia="Arial" w:hAnsi="Arial"/>
                <w:sz w:val="13"/>
                <w:szCs w:val="13"/>
                <w:b w:val="1"/>
                <w:bCs w:val="1"/>
                <w:color w:val="auto"/>
              </w:rPr>
              <w:t>Rates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Arial" w:cs="Arial" w:eastAsia="Arial" w:hAnsi="Arial"/>
                <w:sz w:val="13"/>
                <w:szCs w:val="13"/>
                <w:b w:val="1"/>
                <w:bCs w:val="1"/>
                <w:color w:val="auto"/>
              </w:rPr>
              <w:t>Rates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Arial" w:cs="Arial" w:eastAsia="Arial" w:hAnsi="Arial"/>
                <w:sz w:val="13"/>
                <w:szCs w:val="13"/>
                <w:b w:val="1"/>
                <w:bCs w:val="1"/>
                <w:color w:val="auto"/>
              </w:rPr>
              <w:t>Rates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Arial" w:cs="Arial" w:eastAsia="Arial" w:hAnsi="Arial"/>
                <w:sz w:val="13"/>
                <w:szCs w:val="13"/>
                <w:b w:val="1"/>
                <w:bCs w:val="1"/>
                <w:color w:val="auto"/>
              </w:rPr>
              <w:t>Rates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4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54,150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27,656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528,233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102,081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389,782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85,482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11,456</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1,198,840</w:t>
            </w:r>
          </w:p>
        </w:tc>
        <w:tc>
          <w:tcPr>
            <w:tcW w:w="0" w:type="dxa"/>
            <w:vAlign w:val="bottom"/>
          </w:tcPr>
          <w:p>
            <w:pPr>
              <w:spacing w:after="0"/>
              <w:rPr>
                <w:sz w:val="1"/>
                <w:szCs w:val="1"/>
                <w:color w:val="auto"/>
              </w:rPr>
            </w:pPr>
          </w:p>
        </w:tc>
      </w:tr>
      <w:tr>
        <w:trPr>
          <w:trHeight w:val="147"/>
        </w:trPr>
        <w:tc>
          <w:tcPr>
            <w:tcW w:w="254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Owner-occupied commercial real</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estate</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5,593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55,006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124,466</w:t>
            </w:r>
          </w:p>
        </w:tc>
        <w:tc>
          <w:tcPr>
            <w:tcW w:w="0" w:type="dxa"/>
            <w:vAlign w:val="bottom"/>
          </w:tcPr>
          <w:p>
            <w:pPr>
              <w:spacing w:after="0"/>
              <w:rPr>
                <w:sz w:val="1"/>
                <w:szCs w:val="1"/>
                <w:color w:val="auto"/>
              </w:rPr>
            </w:pPr>
          </w:p>
        </w:tc>
      </w:tr>
      <w:tr>
        <w:trPr>
          <w:trHeight w:val="135"/>
        </w:trPr>
        <w:tc>
          <w:tcPr>
            <w:tcW w:w="2540" w:type="dxa"/>
            <w:vAlign w:val="bottom"/>
          </w:tcPr>
          <w:p>
            <w:pPr>
              <w:ind w:left="240"/>
              <w:spacing w:after="0" w:line="135" w:lineRule="exact"/>
              <w:rPr>
                <w:sz w:val="20"/>
                <w:szCs w:val="20"/>
                <w:color w:val="auto"/>
              </w:rPr>
            </w:pPr>
            <w:r>
              <w:rPr>
                <w:rFonts w:ascii="Arial" w:cs="Arial" w:eastAsia="Arial" w:hAnsi="Arial"/>
                <w:sz w:val="14"/>
                <w:szCs w:val="14"/>
                <w:color w:val="auto"/>
              </w:rPr>
              <w:t>Acquisition, construction &amp;</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23,144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54,418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92,730</w:t>
            </w:r>
          </w:p>
        </w:tc>
        <w:tc>
          <w:tcPr>
            <w:tcW w:w="0" w:type="dxa"/>
            <w:vAlign w:val="bottom"/>
          </w:tcPr>
          <w:p>
            <w:pPr>
              <w:spacing w:after="0"/>
              <w:rPr>
                <w:sz w:val="1"/>
                <w:szCs w:val="1"/>
                <w:color w:val="auto"/>
              </w:rPr>
            </w:pPr>
          </w:p>
        </w:tc>
      </w:tr>
      <w:tr>
        <w:trPr>
          <w:trHeight w:val="182"/>
        </w:trPr>
        <w:tc>
          <w:tcPr>
            <w:tcW w:w="2540" w:type="dxa"/>
            <w:vAlign w:val="bottom"/>
          </w:tcPr>
          <w:p>
            <w:pPr>
              <w:ind w:left="400"/>
              <w:spacing w:after="0"/>
              <w:rPr>
                <w:sz w:val="20"/>
                <w:szCs w:val="20"/>
                <w:color w:val="auto"/>
              </w:rPr>
            </w:pPr>
            <w:r>
              <w:rPr>
                <w:rFonts w:ascii="Arial" w:cs="Arial" w:eastAsia="Arial" w:hAnsi="Arial"/>
                <w:sz w:val="14"/>
                <w:szCs w:val="14"/>
                <w:color w:val="auto"/>
              </w:rPr>
              <w:t>development</w:t>
            </w: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42,647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9,036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59,142</w:t>
            </w:r>
          </w:p>
        </w:tc>
        <w:tc>
          <w:tcPr>
            <w:tcW w:w="0" w:type="dxa"/>
            <w:vAlign w:val="bottom"/>
          </w:tcPr>
          <w:p>
            <w:pPr>
              <w:spacing w:after="0"/>
              <w:rPr>
                <w:sz w:val="1"/>
                <w:szCs w:val="1"/>
                <w:color w:val="auto"/>
              </w:rPr>
            </w:pPr>
          </w:p>
        </w:tc>
      </w:tr>
      <w:tr>
        <w:trPr>
          <w:trHeight w:val="179"/>
        </w:trPr>
        <w:tc>
          <w:tcPr>
            <w:tcW w:w="2540" w:type="dxa"/>
            <w:vAlign w:val="bottom"/>
          </w:tcPr>
          <w:p>
            <w:pPr>
              <w:ind w:left="460"/>
              <w:spacing w:after="0"/>
              <w:rPr>
                <w:sz w:val="20"/>
                <w:szCs w:val="20"/>
                <w:color w:val="auto"/>
              </w:rPr>
            </w:pPr>
            <w:r>
              <w:rPr>
                <w:rFonts w:ascii="Arial" w:cs="Arial" w:eastAsia="Arial" w:hAnsi="Arial"/>
                <w:sz w:val="14"/>
                <w:szCs w:val="14"/>
                <w:color w:val="auto"/>
              </w:rPr>
              <w:t>Total commercial loans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87,006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36,763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624,121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171,128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454,486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87,324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1,475,178</w:t>
            </w:r>
          </w:p>
        </w:tc>
        <w:tc>
          <w:tcPr>
            <w:tcW w:w="0" w:type="dxa"/>
            <w:vAlign w:val="bottom"/>
          </w:tcPr>
          <w:p>
            <w:pPr>
              <w:spacing w:after="0"/>
              <w:rPr>
                <w:sz w:val="1"/>
                <w:szCs w:val="1"/>
                <w:color w:val="auto"/>
              </w:rPr>
            </w:pPr>
          </w:p>
        </w:tc>
      </w:tr>
      <w:tr>
        <w:trPr>
          <w:trHeight w:val="186"/>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Single family residential (1-4 units)</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20,608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19,219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11,396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269,437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185,790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522,944</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Consumer non-real estate and other</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2,847</w:t>
            </w:r>
          </w:p>
        </w:tc>
        <w:tc>
          <w:tcPr>
            <w:tcW w:w="0" w:type="dxa"/>
            <w:vAlign w:val="bottom"/>
          </w:tcPr>
          <w:p>
            <w:pPr>
              <w:spacing w:after="0"/>
              <w:rPr>
                <w:sz w:val="1"/>
                <w:szCs w:val="1"/>
                <w:color w:val="auto"/>
              </w:rPr>
            </w:pPr>
          </w:p>
        </w:tc>
      </w:tr>
      <w:tr>
        <w:trPr>
          <w:trHeight w:val="185"/>
        </w:trPr>
        <w:tc>
          <w:tcPr>
            <w:tcW w:w="2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loans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89,846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38,826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637,025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192,418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474,135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98,720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270,696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199,303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2,000,969</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asset quality remained stable through the second quarter of 2023. The Company’s non-performing assets, which includes non-performing loans consisting of non-accrual loans, loans that are more than 90 days past due and still accruing, and other real estate owned as of June 30, 2023, totaled $2.9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non-performing assets as of June 30, 2023, and December 31,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Non-accrual loans</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2,923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90 days past due and still accruing</w:t>
            </w:r>
          </w:p>
        </w:tc>
        <w:tc>
          <w:tcPr>
            <w:tcW w:w="1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non-performing loans</w:t>
            </w: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2,923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w:t>
            </w:r>
          </w:p>
        </w:tc>
      </w:tr>
      <w:tr>
        <w:trPr>
          <w:trHeight w:val="270"/>
        </w:trPr>
        <w:tc>
          <w:tcPr>
            <w:tcW w:w="7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real estate owned</w:t>
            </w:r>
          </w:p>
        </w:tc>
        <w:tc>
          <w:tcPr>
            <w:tcW w:w="13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75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0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non-performing assets</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2,923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the discussion in </w:t>
      </w:r>
      <w:r>
        <w:rPr>
          <w:rFonts w:ascii="Arial" w:cs="Arial" w:eastAsia="Arial" w:hAnsi="Arial"/>
          <w:sz w:val="18"/>
          <w:szCs w:val="18"/>
          <w:u w:val="single" w:color="auto"/>
          <w:color w:val="0000FF"/>
        </w:rPr>
        <w:t>Note 1. Nature of Business Activities and Significant Accounting Policies</w:t>
      </w:r>
      <w:r>
        <w:rPr>
          <w:rFonts w:ascii="Arial" w:cs="Arial" w:eastAsia="Arial" w:hAnsi="Arial"/>
          <w:sz w:val="18"/>
          <w:szCs w:val="18"/>
          <w:color w:val="auto"/>
        </w:rPr>
        <w:t xml:space="preserve"> in Notes to Consolidated Financial Statements for management’s approach to estimating the ACL.</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maintains the ACL at a level deemed adequate by management for expected credit losses. As disclosed in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4</w:t>
      </w:r>
      <w:r>
        <w:rPr>
          <w:rFonts w:ascii="Arial" w:cs="Arial" w:eastAsia="Arial" w:hAnsi="Arial"/>
          <w:sz w:val="18"/>
          <w:szCs w:val="18"/>
          <w:color w:val="auto"/>
        </w:rPr>
        <w:t>, on January 1, 2023, the Company implemented CECL and increased the ACL, previously the allowance for credit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when conditions support a change. Management believes its approach properly addresses relevant accounting and bank regulatory guidance for loans both collectively and individually evaluated.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charged-off loans were $104.0 thousand and $3.3 million for the three months ended June 30, 2023, and June 30, 2022, respectively, and $121.0 thousand and $3.4 million for the six months ended June 30, 2023, and June 30, 2022, respectively. Gross recoveries totaled $9.0 thousand and $127.0 thousand for the three months ended June 30, 2023, and June 30, 2022, respectively, and $43.0 thousand and $186.0 thousand for the six months ended June 30, 2023, and June 30, 2022, respectively. The ACL as a percentage of gross loans, net of unearned income, was 1.30% and 1.34% as of June 30, 2023, and June 30, 2022, respectively.</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recorded a provision of $310.0 thousand and a provision recapture of $2.5 million for the three months ended June 30, 2023, and June 30, 2022, respectively, and a provision of $833.0 thousand and a provision recapture of $5.2 million for the six months ended June 30, 2023, and June 30, 2022, respectively. The provision recapture was as a result of removing COVID-19 qualitative factors and the sale of a non-performing loan note.</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changes in the Company’s credit loss experience by portfolio as of the three and six months ended June 30, 2023, and 2022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4"/>
          </w:tcPr>
          <w:p>
            <w:pPr>
              <w:jc w:val="right"/>
              <w:ind w:right="91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4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June 30, 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June 30, 2022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w w:val="97"/>
              </w:rPr>
              <w:t>June 30, 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w w:val="97"/>
              </w:rPr>
              <w:t>June 30, 2022</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outstanding at end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2,000,969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1,748,508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2,000,969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1,748,508</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Balance of allowance at beginning of period</w:t>
            </w:r>
          </w:p>
        </w:tc>
        <w:tc>
          <w:tcPr>
            <w:tcW w:w="2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(25,704)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(29,061)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78"/>
              <w:spacing w:after="0"/>
              <w:rPr>
                <w:sz w:val="20"/>
                <w:szCs w:val="20"/>
                <w:color w:val="auto"/>
              </w:rPr>
            </w:pPr>
            <w:r>
              <w:rPr>
                <w:rFonts w:ascii="Arial" w:cs="Arial" w:eastAsia="Arial" w:hAnsi="Arial"/>
                <w:sz w:val="16"/>
                <w:szCs w:val="16"/>
                <w:color w:val="auto"/>
              </w:rPr>
              <w:t>(21,039)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78"/>
              <w:spacing w:after="0"/>
              <w:rPr>
                <w:sz w:val="20"/>
                <w:szCs w:val="20"/>
                <w:color w:val="auto"/>
              </w:rPr>
            </w:pPr>
            <w:r>
              <w:rPr>
                <w:rFonts w:ascii="Arial" w:cs="Arial" w:eastAsia="Arial" w:hAnsi="Arial"/>
                <w:sz w:val="16"/>
                <w:szCs w:val="16"/>
                <w:color w:val="auto"/>
              </w:rPr>
              <w:t>(31,709)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the adoption of CECL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Loans charged-off:</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3,261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3,282</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Owner-occupied commercial real estate</w:t>
            </w: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construction &amp; development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Commercial &amp; industrial</w:t>
            </w: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6"/>
                <w:szCs w:val="16"/>
                <w:color w:val="auto"/>
              </w:rPr>
              <w:t>Consumer non-real estate and other</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loans charged-off</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Recoveries of loans charged-off:</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Owner-occupied commercial real estate</w:t>
            </w: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construction &amp; development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Arial" w:cs="Arial" w:eastAsia="Arial" w:hAnsi="Arial"/>
                <w:sz w:val="16"/>
                <w:szCs w:val="16"/>
                <w:color w:val="auto"/>
              </w:rPr>
              <w:t>Commercial &amp; industrial</w:t>
            </w: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6"/>
                <w:szCs w:val="16"/>
                <w:color w:val="auto"/>
              </w:rPr>
              <w:t>Consumer non-real estate and other</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recoveries of loans charged-off</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color w:val="auto"/>
              </w:rPr>
              <w:t>Net loan charge-offs (recoveries)</w:t>
            </w:r>
          </w:p>
        </w:tc>
        <w:tc>
          <w:tcPr>
            <w:tcW w:w="2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3,161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3,171</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(recapture of) credit losses for the period</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(2,538)</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Ending allowance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(25,919)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(23,362)</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8"/>
              <w:spacing w:after="0"/>
              <w:rPr>
                <w:sz w:val="20"/>
                <w:szCs w:val="20"/>
                <w:color w:val="auto"/>
              </w:rPr>
            </w:pPr>
            <w:r>
              <w:rPr>
                <w:rFonts w:ascii="Arial" w:cs="Arial" w:eastAsia="Arial" w:hAnsi="Arial"/>
                <w:sz w:val="16"/>
                <w:szCs w:val="16"/>
                <w:color w:val="auto"/>
              </w:rPr>
              <w:t>(25,919)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8"/>
              <w:spacing w:after="0"/>
              <w:rPr>
                <w:sz w:val="20"/>
                <w:szCs w:val="20"/>
                <w:color w:val="auto"/>
              </w:rPr>
            </w:pPr>
            <w:r>
              <w:rPr>
                <w:rFonts w:ascii="Arial" w:cs="Arial" w:eastAsia="Arial" w:hAnsi="Arial"/>
                <w:sz w:val="16"/>
                <w:szCs w:val="16"/>
                <w:color w:val="auto"/>
              </w:rPr>
              <w:t>(23,362)</w:t>
            </w: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Average loans outstanding during the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2,002,482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1,754,723</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1,961,309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8"/>
              <w:spacing w:after="0"/>
              <w:rPr>
                <w:sz w:val="20"/>
                <w:szCs w:val="20"/>
                <w:color w:val="auto"/>
              </w:rPr>
            </w:pPr>
            <w:r>
              <w:rPr>
                <w:rFonts w:ascii="Arial" w:cs="Arial" w:eastAsia="Arial" w:hAnsi="Arial"/>
                <w:sz w:val="16"/>
                <w:szCs w:val="16"/>
                <w:color w:val="auto"/>
              </w:rPr>
              <w:t>1,755,586</w:t>
            </w: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line="233" w:lineRule="exact"/>
              <w:rPr>
                <w:sz w:val="20"/>
                <w:szCs w:val="20"/>
                <w:color w:val="auto"/>
              </w:rPr>
            </w:pPr>
            <w:r>
              <w:rPr>
                <w:rFonts w:ascii="Arial" w:cs="Arial" w:eastAsia="Arial" w:hAnsi="Arial"/>
                <w:sz w:val="16"/>
                <w:szCs w:val="16"/>
                <w:color w:val="auto"/>
              </w:rPr>
              <w:t>Allowance coverage ratio</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6"/>
                <w:szCs w:val="16"/>
                <w:color w:val="auto"/>
              </w:rPr>
              <w:t>Net charge-offs to average outstanding loans during the period</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0.18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8"/>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66"/>
        </w:trPr>
        <w:tc>
          <w:tcPr>
            <w:tcW w:w="46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Allowance for credit losses as a percentage of non-performing</w:t>
            </w: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886.73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91.49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886.73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91.49</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loans</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allowance coverage ratio is calculated by dividing the ACL at the end of the period by gross loans, net of unearned income at the end of the period.</w:t>
      </w:r>
    </w:p>
    <w:p>
      <w:pPr>
        <w:spacing w:after="0" w:line="122" w:lineRule="exact"/>
        <w:rPr>
          <w:rFonts w:ascii="Arial" w:cs="Arial" w:eastAsia="Arial" w:hAnsi="Arial"/>
          <w:sz w:val="14"/>
          <w:szCs w:val="14"/>
          <w:color w:val="auto"/>
        </w:rPr>
      </w:pPr>
    </w:p>
    <w:p>
      <w:pPr>
        <w:ind w:left="660" w:hanging="328"/>
        <w:spacing w:after="0" w:line="27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79"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Allowance for credit losses as a percentage of non-performing loans ratio is calculated by dividing the ACL at the end of the period by non-accrual loans at the end of the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ACL and the allowance for credit losses by portfolio with a comparison of the percentage composition in relation to total ACL and allowance for credit losses and total loans as of June 30, 2023, and December 31, 2022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Allowance for credit</w:t>
            </w:r>
          </w:p>
        </w:tc>
        <w:tc>
          <w:tcPr>
            <w:tcW w:w="12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Percent of Allowance in</w:t>
            </w:r>
          </w:p>
        </w:tc>
        <w:tc>
          <w:tcPr>
            <w:tcW w:w="8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Percent of Loans in</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Each Category to Total</w:t>
            </w:r>
          </w:p>
        </w:tc>
        <w:tc>
          <w:tcPr>
            <w:tcW w:w="8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0" w:type="dxa"/>
            <w:vAlign w:val="bottom"/>
          </w:tcPr>
          <w:p>
            <w:pPr>
              <w:spacing w:after="0"/>
              <w:rPr>
                <w:sz w:val="1"/>
                <w:szCs w:val="1"/>
                <w:color w:val="auto"/>
              </w:rPr>
            </w:pPr>
          </w:p>
        </w:tc>
      </w:tr>
      <w:tr>
        <w:trPr>
          <w:trHeight w:val="213"/>
        </w:trPr>
        <w:tc>
          <w:tcPr>
            <w:tcW w:w="6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76"/>
              </w:rPr>
              <w:t>losses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Allocated ACL</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71.91 %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59.91 %</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719</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2.77</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5.09</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612</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2.36</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17.44</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490"/>
        </w:trPr>
        <w:tc>
          <w:tcPr>
            <w:tcW w:w="6140" w:type="dxa"/>
            <w:vAlign w:val="bottom"/>
            <w:tcBorders>
              <w:top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2022</w:t>
            </w:r>
          </w:p>
        </w:tc>
        <w:tc>
          <w:tcPr>
            <w:tcW w:w="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140" w:type="dxa"/>
            <w:vAlign w:val="bottom"/>
          </w:tcPr>
          <w:p>
            <w:pPr>
              <w:spacing w:after="0"/>
              <w:rPr>
                <w:sz w:val="13"/>
                <w:szCs w:val="13"/>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Allowance for credit</w:t>
            </w:r>
          </w:p>
        </w:tc>
        <w:tc>
          <w:tcPr>
            <w:tcW w:w="12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Percent of Allowance in</w:t>
            </w:r>
          </w:p>
        </w:tc>
        <w:tc>
          <w:tcPr>
            <w:tcW w:w="8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Percent of Loans in</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Each Category to Total</w:t>
            </w:r>
          </w:p>
        </w:tc>
        <w:tc>
          <w:tcPr>
            <w:tcW w:w="8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76"/>
              </w:rPr>
              <w:t>losses</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Allocated Allowance</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73.56 %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58.78 %</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635</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3.02</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9.90</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438</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2.08</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11.31</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0.13</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21,039</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are described more fully in </w:t>
      </w:r>
      <w:r>
        <w:rPr>
          <w:rFonts w:ascii="Arial" w:cs="Arial" w:eastAsia="Arial" w:hAnsi="Arial"/>
          <w:sz w:val="16"/>
          <w:szCs w:val="16"/>
          <w:u w:val="single" w:color="auto"/>
          <w:color w:val="0000FF"/>
        </w:rPr>
        <w:t>Note 9 — Derivatives</w:t>
      </w:r>
      <w:r>
        <w:rPr>
          <w:rFonts w:ascii="Arial" w:cs="Arial" w:eastAsia="Arial" w:hAnsi="Arial"/>
          <w:sz w:val="16"/>
          <w:szCs w:val="16"/>
          <w:color w:val="auto"/>
        </w:rPr>
        <w:t xml:space="preserve"> in 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Arial" w:cs="Arial" w:eastAsia="Arial" w:hAnsi="Arial"/>
          <w:sz w:val="16"/>
          <w:szCs w:val="16"/>
          <w:u w:val="single" w:color="auto"/>
          <w:color w:val="0000FF"/>
        </w:rPr>
        <w:t>Note 10 — Commitments and Contingencies</w:t>
      </w:r>
      <w:r>
        <w:rPr>
          <w:rFonts w:ascii="Arial" w:cs="Arial" w:eastAsia="Arial" w:hAnsi="Arial"/>
          <w:sz w:val="16"/>
          <w:szCs w:val="16"/>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Sources of borrowings include advances from the FHLB of Atlanta, borrowings from correspondent banks, and the Fed Discount Window. The Company also utilizes brokered time deposits. For more discussion of brokered time deposits, see the Deposits heading below this section.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2023, the Company has available unused borrowing capacity of $959.0 million through its available lines of credit with the FHLB of Atlanta and unsecured federal fund lines of credit from correspondent banking relationships. Advances on credit lines are secured by both securities and loans.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certain information regarding borrowings as of the three months ended June 30, 2023, and December 31, 2022, respectively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249,000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343,100</w:t>
            </w: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color w:val="auto"/>
              </w:rPr>
              <w:t>Weighted average interest rate at end of period</w:t>
            </w:r>
          </w:p>
        </w:tc>
        <w:tc>
          <w:tcPr>
            <w:tcW w:w="220" w:type="dxa"/>
            <w:vAlign w:val="bottom"/>
          </w:tcPr>
          <w:p>
            <w:pPr>
              <w:spacing w:after="0"/>
              <w:rPr>
                <w:sz w:val="18"/>
                <w:szCs w:val="18"/>
                <w:color w:val="auto"/>
              </w:rPr>
            </w:pPr>
          </w:p>
        </w:tc>
        <w:tc>
          <w:tcPr>
            <w:tcW w:w="1600" w:type="dxa"/>
            <w:vAlign w:val="bottom"/>
          </w:tcPr>
          <w:p>
            <w:pPr>
              <w:ind w:left="1000"/>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Arial" w:cs="Arial" w:eastAsia="Arial" w:hAnsi="Arial"/>
                <w:sz w:val="16"/>
                <w:szCs w:val="16"/>
                <w:color w:val="auto"/>
              </w:rPr>
              <w:t>4.42%</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deposits increased by $84.9 million from December 31, 2022, to June 30, 2023, due to an increase in the balance of brokered time deposits. The Company issued brokered time deposits that amounted to $389.1 million as of June 30, 2023, and $100.3 million at December 31, 2022, which are included in the table below. The following table sets forth the balance of each category of deposits as of the dates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r>
      <w:tr>
        <w:trPr>
          <w:trHeight w:val="210"/>
        </w:trPr>
        <w:tc>
          <w:tcPr>
            <w:tcW w:w="7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Balance</w:t>
            </w: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Demand, non-interest-bearing</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876,396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960,692</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Demand, interest-bearing</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525,155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616,665</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and savings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1,044,152</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deposits, other</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634,044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298,891</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2,128,867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1,959,708</w:t>
            </w:r>
          </w:p>
        </w:tc>
      </w:tr>
      <w:tr>
        <w:trPr>
          <w:trHeight w:val="206"/>
        </w:trPr>
        <w:tc>
          <w:tcPr>
            <w:tcW w:w="748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3,005,263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2,920,400</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deposits that meet or exceed the FDIC insurance limit of $250,000 in the amounts of $681.9 million and $843.4 million at June 30, 2023, and December 31, 2022,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maturity ranges of time deposits as of June 30, 2023, that meet or exceed the FDIC insurance limit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2023</w:t>
            </w:r>
          </w:p>
        </w:tc>
      </w:tr>
      <w:tr>
        <w:trPr>
          <w:trHeight w:val="213"/>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3 months or less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6,409</w:t>
            </w:r>
          </w:p>
        </w:tc>
      </w:tr>
      <w:tr>
        <w:trPr>
          <w:trHeight w:val="213"/>
        </w:trPr>
        <w:tc>
          <w:tcPr>
            <w:tcW w:w="9420" w:type="dxa"/>
            <w:vAlign w:val="bottom"/>
          </w:tcPr>
          <w:p>
            <w:pPr>
              <w:ind w:left="20"/>
              <w:spacing w:after="0"/>
              <w:rPr>
                <w:sz w:val="20"/>
                <w:szCs w:val="20"/>
                <w:color w:val="auto"/>
              </w:rPr>
            </w:pPr>
            <w:r>
              <w:rPr>
                <w:rFonts w:ascii="Arial" w:cs="Arial" w:eastAsia="Arial" w:hAnsi="Arial"/>
                <w:sz w:val="16"/>
                <w:szCs w:val="16"/>
                <w:color w:val="auto"/>
              </w:rPr>
              <w:t>Due after 3 months and within 6 months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11,070</w:t>
            </w: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6 months and within 12 months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27,333</w:t>
            </w:r>
          </w:p>
        </w:tc>
      </w:tr>
      <w:tr>
        <w:trPr>
          <w:trHeight w:val="216"/>
        </w:trPr>
        <w:tc>
          <w:tcPr>
            <w:tcW w:w="9420" w:type="dxa"/>
            <w:vAlign w:val="bottom"/>
          </w:tcPr>
          <w:p>
            <w:pPr>
              <w:ind w:left="20"/>
              <w:spacing w:after="0"/>
              <w:rPr>
                <w:sz w:val="20"/>
                <w:szCs w:val="20"/>
                <w:color w:val="auto"/>
              </w:rPr>
            </w:pPr>
            <w:r>
              <w:rPr>
                <w:rFonts w:ascii="Arial" w:cs="Arial" w:eastAsia="Arial" w:hAnsi="Arial"/>
                <w:sz w:val="16"/>
                <w:szCs w:val="16"/>
                <w:color w:val="auto"/>
              </w:rPr>
              <w:t>Due after 12 months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w:t>
            </w:r>
          </w:p>
        </w:tc>
      </w:tr>
      <w:tr>
        <w:trPr>
          <w:trHeight w:val="21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uninsured, time deposits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48,453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shareholders’ equity at June 30, 2023, was $290.1 million, compared to $273.5 million at December 31, 2022. Shareholders’ equity increased by $16.6 million in part due to a decrease in unrealized losses in the AFS securities portfolio since December 31, 2022. Accumulated other comprehensive income increased $13.3 million from December 31, 2022, to June 30, 2023, primarily as a result of a decrease in unrealized losses on AFS investment securities.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 See </w:t>
      </w:r>
      <w:r>
        <w:rPr>
          <w:rFonts w:ascii="Arial" w:cs="Arial" w:eastAsia="Arial" w:hAnsi="Arial"/>
          <w:sz w:val="17"/>
          <w:szCs w:val="17"/>
          <w:u w:val="single" w:color="auto"/>
          <w:color w:val="0000FF"/>
        </w:rPr>
        <w:t>Item 2. Management’s Discussion and Analysis of Financial Condition and Results of Operations</w:t>
      </w:r>
      <w:r>
        <w:rPr>
          <w:rFonts w:ascii="Arial" w:cs="Arial" w:eastAsia="Arial" w:hAnsi="Arial"/>
          <w:sz w:val="17"/>
          <w:szCs w:val="17"/>
          <w:color w:val="auto"/>
        </w:rPr>
        <w:t>, Recent Events in the Financial Services Industry.</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r>
        <w:rPr>
          <w:rFonts w:ascii="Arial" w:cs="Arial" w:eastAsia="Arial" w:hAnsi="Arial"/>
          <w:sz w:val="18"/>
          <w:szCs w:val="18"/>
          <w:u w:val="single" w:color="auto"/>
          <w:color w:val="0000FF"/>
        </w:rPr>
        <w:t>Note 9 -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r>
        <w:rPr>
          <w:rFonts w:ascii="Arial" w:cs="Arial" w:eastAsia="Arial" w:hAnsi="Arial"/>
          <w:sz w:val="18"/>
          <w:szCs w:val="18"/>
          <w:color w:val="000000"/>
        </w:rPr>
        <w:t>in Notes to Consolidated Financial Statements for a discussion of our hedging activity.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As of June 30, 2023</w:t>
            </w:r>
          </w:p>
        </w:tc>
        <w:tc>
          <w:tcPr>
            <w:tcW w:w="10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r>
      <w:tr>
        <w:trPr>
          <w:trHeight w:val="209"/>
        </w:trPr>
        <w:tc>
          <w:tcPr>
            <w:tcW w:w="35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 Interest Rates (in Basis Points)</w:t>
            </w:r>
          </w:p>
        </w:tc>
        <w:tc>
          <w:tcPr>
            <w:tcW w:w="100" w:type="dxa"/>
            <w:vAlign w:val="bottom"/>
          </w:tcPr>
          <w:p>
            <w:pPr>
              <w:spacing w:after="0"/>
              <w:rPr>
                <w:sz w:val="18"/>
                <w:szCs w:val="18"/>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Percentage Change in Net Interest Income</w:t>
            </w:r>
          </w:p>
        </w:tc>
        <w:tc>
          <w:tcPr>
            <w:tcW w:w="100" w:type="dxa"/>
            <w:vAlign w:val="bottom"/>
          </w:tcPr>
          <w:p>
            <w:pPr>
              <w:spacing w:after="0"/>
              <w:rPr>
                <w:sz w:val="18"/>
                <w:szCs w:val="18"/>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Percentage Change in Net Interest Income</w:t>
            </w:r>
          </w:p>
        </w:tc>
      </w:tr>
      <w:tr>
        <w:trPr>
          <w:trHeight w:val="243"/>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300</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4"/>
              </w:rPr>
              <w:t>(1.3)%</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4"/>
              </w:rPr>
              <w:t>(9.2)%</w:t>
            </w:r>
          </w:p>
        </w:tc>
      </w:tr>
      <w:tr>
        <w:trPr>
          <w:trHeight w:val="229"/>
        </w:trPr>
        <w:tc>
          <w:tcPr>
            <w:tcW w:w="3580" w:type="dxa"/>
            <w:vAlign w:val="bottom"/>
          </w:tcPr>
          <w:p>
            <w:pPr>
              <w:jc w:val="center"/>
              <w:ind w:left="3073"/>
              <w:spacing w:after="0"/>
              <w:rPr>
                <w:sz w:val="20"/>
                <w:szCs w:val="20"/>
                <w:color w:val="auto"/>
              </w:rPr>
            </w:pPr>
            <w:r>
              <w:rPr>
                <w:rFonts w:ascii="Arial" w:cs="Arial" w:eastAsia="Arial" w:hAnsi="Arial"/>
                <w:sz w:val="18"/>
                <w:szCs w:val="18"/>
                <w:color w:val="auto"/>
                <w:w w:val="86"/>
              </w:rPr>
              <w:t>200</w:t>
            </w:r>
          </w:p>
        </w:tc>
        <w:tc>
          <w:tcPr>
            <w:tcW w:w="3820" w:type="dxa"/>
            <w:vAlign w:val="bottom"/>
            <w:gridSpan w:val="2"/>
          </w:tcPr>
          <w:p>
            <w:pPr>
              <w:ind w:left="3300"/>
              <w:spacing w:after="0"/>
              <w:rPr>
                <w:sz w:val="20"/>
                <w:szCs w:val="20"/>
                <w:color w:val="auto"/>
              </w:rPr>
            </w:pPr>
            <w:r>
              <w:rPr>
                <w:rFonts w:ascii="Arial" w:cs="Arial" w:eastAsia="Arial" w:hAnsi="Arial"/>
                <w:sz w:val="18"/>
                <w:szCs w:val="18"/>
                <w:color w:val="auto"/>
              </w:rPr>
              <w:t>(1.1)</w:t>
            </w:r>
          </w:p>
        </w:tc>
        <w:tc>
          <w:tcPr>
            <w:tcW w:w="3820" w:type="dxa"/>
            <w:vAlign w:val="bottom"/>
            <w:gridSpan w:val="2"/>
          </w:tcPr>
          <w:p>
            <w:pPr>
              <w:ind w:left="3300"/>
              <w:spacing w:after="0"/>
              <w:rPr>
                <w:sz w:val="20"/>
                <w:szCs w:val="20"/>
                <w:color w:val="auto"/>
              </w:rPr>
            </w:pPr>
            <w:r>
              <w:rPr>
                <w:rFonts w:ascii="Arial" w:cs="Arial" w:eastAsia="Arial" w:hAnsi="Arial"/>
                <w:sz w:val="18"/>
                <w:szCs w:val="18"/>
                <w:color w:val="auto"/>
              </w:rPr>
              <w:t>(6.2)</w:t>
            </w:r>
          </w:p>
        </w:tc>
      </w:tr>
      <w:tr>
        <w:trPr>
          <w:trHeight w:val="229"/>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100</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(0.4)</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(3.0)</w:t>
            </w:r>
          </w:p>
        </w:tc>
      </w:tr>
      <w:tr>
        <w:trPr>
          <w:trHeight w:val="237"/>
        </w:trPr>
        <w:tc>
          <w:tcPr>
            <w:tcW w:w="3580" w:type="dxa"/>
            <w:vAlign w:val="bottom"/>
          </w:tcPr>
          <w:p>
            <w:pPr>
              <w:jc w:val="center"/>
              <w:ind w:left="3053"/>
              <w:spacing w:after="0"/>
              <w:rPr>
                <w:sz w:val="20"/>
                <w:szCs w:val="20"/>
                <w:color w:val="auto"/>
              </w:rPr>
            </w:pPr>
            <w:r>
              <w:rPr>
                <w:rFonts w:ascii="Arial" w:cs="Arial" w:eastAsia="Arial" w:hAnsi="Arial"/>
                <w:sz w:val="18"/>
                <w:szCs w:val="18"/>
                <w:color w:val="auto"/>
                <w:w w:val="95"/>
              </w:rPr>
              <w:t>(100)</w:t>
            </w:r>
          </w:p>
        </w:tc>
        <w:tc>
          <w:tcPr>
            <w:tcW w:w="3820" w:type="dxa"/>
            <w:vAlign w:val="bottom"/>
            <w:gridSpan w:val="2"/>
          </w:tcPr>
          <w:p>
            <w:pPr>
              <w:ind w:left="3300"/>
              <w:spacing w:after="0"/>
              <w:rPr>
                <w:sz w:val="20"/>
                <w:szCs w:val="20"/>
                <w:color w:val="auto"/>
              </w:rPr>
            </w:pPr>
            <w:r>
              <w:rPr>
                <w:rFonts w:ascii="Arial" w:cs="Arial" w:eastAsia="Arial" w:hAnsi="Arial"/>
                <w:sz w:val="18"/>
                <w:szCs w:val="18"/>
                <w:color w:val="auto"/>
              </w:rPr>
              <w:t>(2.3)</w:t>
            </w:r>
          </w:p>
        </w:tc>
        <w:tc>
          <w:tcPr>
            <w:tcW w:w="3820" w:type="dxa"/>
            <w:vAlign w:val="bottom"/>
            <w:gridSpan w:val="2"/>
          </w:tcPr>
          <w:p>
            <w:pPr>
              <w:ind w:left="3300"/>
              <w:spacing w:after="0"/>
              <w:rPr>
                <w:sz w:val="20"/>
                <w:szCs w:val="20"/>
                <w:color w:val="auto"/>
              </w:rPr>
            </w:pPr>
            <w:r>
              <w:rPr>
                <w:rFonts w:ascii="Arial" w:cs="Arial" w:eastAsia="Arial" w:hAnsi="Arial"/>
                <w:sz w:val="18"/>
                <w:szCs w:val="18"/>
                <w:color w:val="auto"/>
              </w:rPr>
              <w:t>(2.0)</w:t>
            </w:r>
          </w:p>
        </w:tc>
      </w:tr>
      <w:tr>
        <w:trPr>
          <w:trHeight w:val="236"/>
        </w:trPr>
        <w:tc>
          <w:tcPr>
            <w:tcW w:w="358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95"/>
              </w:rPr>
              <w:t>(200)</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(4.1)</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(5.8)</w:t>
            </w:r>
          </w:p>
        </w:tc>
      </w:tr>
    </w:tbl>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Economic Value of Equity Analysis (“EVE”). </w:t>
      </w:r>
      <w:r>
        <w:rPr>
          <w:rFonts w:ascii="Arial" w:cs="Arial" w:eastAsia="Arial" w:hAnsi="Arial"/>
          <w:sz w:val="18"/>
          <w:szCs w:val="18"/>
          <w:color w:val="auto"/>
        </w:rPr>
        <w:t>We analyze the sensitivity of our financial condition to changes in interest rates through our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Pr>
          <w:p>
            <w:pPr>
              <w:jc w:val="right"/>
              <w:ind w:right="1182"/>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Pr>
          <w:p>
            <w:pPr>
              <w:spacing w:after="0"/>
              <w:rPr>
                <w:sz w:val="16"/>
                <w:szCs w:val="16"/>
                <w:color w:val="auto"/>
              </w:rPr>
            </w:pPr>
          </w:p>
        </w:tc>
        <w:tc>
          <w:tcPr>
            <w:tcW w:w="3720" w:type="dxa"/>
            <w:vAlign w:val="bottom"/>
          </w:tcPr>
          <w:p>
            <w:pPr>
              <w:jc w:val="right"/>
              <w:ind w:right="1022"/>
              <w:spacing w:after="0"/>
              <w:rPr>
                <w:sz w:val="20"/>
                <w:szCs w:val="20"/>
                <w:color w:val="auto"/>
              </w:rPr>
            </w:pPr>
            <w:r>
              <w:rPr>
                <w:rFonts w:ascii="Arial" w:cs="Arial" w:eastAsia="Arial" w:hAnsi="Arial"/>
                <w:sz w:val="14"/>
                <w:szCs w:val="14"/>
                <w:b w:val="1"/>
                <w:bCs w:val="1"/>
                <w:color w:val="auto"/>
              </w:rPr>
              <w:t>As of December 31, 2022</w:t>
            </w:r>
          </w:p>
        </w:tc>
      </w:tr>
      <w:tr>
        <w:trPr>
          <w:trHeight w:val="189"/>
        </w:trPr>
        <w:tc>
          <w:tcPr>
            <w:tcW w:w="3580" w:type="dxa"/>
            <w:vAlign w:val="bottom"/>
          </w:tcPr>
          <w:p>
            <w:pPr>
              <w:ind w:left="520"/>
              <w:spacing w:after="0"/>
              <w:rPr>
                <w:sz w:val="20"/>
                <w:szCs w:val="20"/>
                <w:color w:val="auto"/>
              </w:rPr>
            </w:pPr>
            <w:r>
              <w:rPr>
                <w:rFonts w:ascii="Arial" w:cs="Arial" w:eastAsia="Arial" w:hAnsi="Arial"/>
                <w:sz w:val="14"/>
                <w:szCs w:val="14"/>
                <w:b w:val="1"/>
                <w:bCs w:val="1"/>
                <w:color w:val="auto"/>
              </w:rPr>
              <w:t>Change in Interest Rates (in Basis Points)</w:t>
            </w:r>
          </w:p>
        </w:tc>
        <w:tc>
          <w:tcPr>
            <w:tcW w:w="100" w:type="dxa"/>
            <w:vAlign w:val="bottom"/>
          </w:tcPr>
          <w:p>
            <w:pPr>
              <w:spacing w:after="0"/>
              <w:rPr>
                <w:sz w:val="16"/>
                <w:szCs w:val="16"/>
                <w:color w:val="auto"/>
              </w:rPr>
            </w:pPr>
          </w:p>
        </w:tc>
        <w:tc>
          <w:tcPr>
            <w:tcW w:w="3720" w:type="dxa"/>
            <w:vAlign w:val="bottom"/>
          </w:tcPr>
          <w:p>
            <w:pPr>
              <w:jc w:val="right"/>
              <w:ind w:right="942"/>
              <w:spacing w:after="0"/>
              <w:rPr>
                <w:sz w:val="20"/>
                <w:szCs w:val="20"/>
                <w:color w:val="auto"/>
              </w:rPr>
            </w:pPr>
            <w:r>
              <w:rPr>
                <w:rFonts w:ascii="Arial" w:cs="Arial" w:eastAsia="Arial" w:hAnsi="Arial"/>
                <w:sz w:val="14"/>
                <w:szCs w:val="14"/>
                <w:b w:val="1"/>
                <w:bCs w:val="1"/>
                <w:color w:val="auto"/>
              </w:rPr>
              <w:t>Percentage Change in EVE</w:t>
            </w:r>
          </w:p>
        </w:tc>
        <w:tc>
          <w:tcPr>
            <w:tcW w:w="100" w:type="dxa"/>
            <w:vAlign w:val="bottom"/>
          </w:tcPr>
          <w:p>
            <w:pPr>
              <w:spacing w:after="0"/>
              <w:rPr>
                <w:sz w:val="16"/>
                <w:szCs w:val="16"/>
                <w:color w:val="auto"/>
              </w:rPr>
            </w:pPr>
          </w:p>
        </w:tc>
        <w:tc>
          <w:tcPr>
            <w:tcW w:w="3720" w:type="dxa"/>
            <w:vAlign w:val="bottom"/>
          </w:tcPr>
          <w:p>
            <w:pPr>
              <w:jc w:val="right"/>
              <w:ind w:right="942"/>
              <w:spacing w:after="0"/>
              <w:rPr>
                <w:sz w:val="20"/>
                <w:szCs w:val="20"/>
                <w:color w:val="auto"/>
              </w:rPr>
            </w:pPr>
            <w:r>
              <w:rPr>
                <w:rFonts w:ascii="Arial" w:cs="Arial" w:eastAsia="Arial" w:hAnsi="Arial"/>
                <w:sz w:val="14"/>
                <w:szCs w:val="14"/>
                <w:b w:val="1"/>
                <w:bCs w:val="1"/>
                <w:color w:val="auto"/>
              </w:rPr>
              <w:t>Percentage Change in EVE</w:t>
            </w:r>
          </w:p>
        </w:tc>
      </w:tr>
      <w:tr>
        <w:trPr>
          <w:trHeight w:val="25"/>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23"/>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7"/>
        </w:trPr>
        <w:tc>
          <w:tcPr>
            <w:tcW w:w="3580" w:type="dxa"/>
            <w:vAlign w:val="bottom"/>
          </w:tcPr>
          <w:p>
            <w:pPr>
              <w:jc w:val="center"/>
              <w:ind w:left="3073"/>
              <w:spacing w:after="0"/>
              <w:rPr>
                <w:sz w:val="20"/>
                <w:szCs w:val="20"/>
                <w:color w:val="auto"/>
              </w:rPr>
            </w:pPr>
            <w:r>
              <w:rPr>
                <w:rFonts w:ascii="Arial" w:cs="Arial" w:eastAsia="Arial" w:hAnsi="Arial"/>
                <w:sz w:val="18"/>
                <w:szCs w:val="18"/>
                <w:color w:val="auto"/>
                <w:w w:val="86"/>
              </w:rPr>
              <w:t>200</w:t>
            </w:r>
          </w:p>
        </w:tc>
        <w:tc>
          <w:tcPr>
            <w:tcW w:w="3820" w:type="dxa"/>
            <w:vAlign w:val="bottom"/>
            <w:gridSpan w:val="2"/>
          </w:tcPr>
          <w:p>
            <w:pPr>
              <w:jc w:val="right"/>
              <w:ind w:right="102"/>
              <w:spacing w:after="0"/>
              <w:rPr>
                <w:sz w:val="20"/>
                <w:szCs w:val="20"/>
                <w:color w:val="auto"/>
              </w:rPr>
            </w:pPr>
            <w:r>
              <w:rPr>
                <w:rFonts w:ascii="Arial" w:cs="Arial" w:eastAsia="Arial" w:hAnsi="Arial"/>
                <w:sz w:val="18"/>
                <w:szCs w:val="18"/>
                <w:color w:val="auto"/>
              </w:rPr>
              <w:t>(10.3)</w:t>
            </w:r>
          </w:p>
        </w:tc>
        <w:tc>
          <w:tcPr>
            <w:tcW w:w="3820" w:type="dxa"/>
            <w:vAlign w:val="bottom"/>
            <w:gridSpan w:val="2"/>
          </w:tcPr>
          <w:p>
            <w:pPr>
              <w:jc w:val="right"/>
              <w:ind w:right="82"/>
              <w:spacing w:after="0"/>
              <w:rPr>
                <w:sz w:val="20"/>
                <w:szCs w:val="20"/>
                <w:color w:val="auto"/>
              </w:rPr>
            </w:pPr>
            <w:r>
              <w:rPr>
                <w:rFonts w:ascii="Arial" w:cs="Arial" w:eastAsia="Arial" w:hAnsi="Arial"/>
                <w:sz w:val="18"/>
                <w:szCs w:val="18"/>
                <w:color w:val="auto"/>
              </w:rPr>
              <w:t>(10.5)</w:t>
            </w:r>
          </w:p>
        </w:tc>
      </w:tr>
      <w:tr>
        <w:trPr>
          <w:trHeight w:val="236"/>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100</w:t>
            </w:r>
          </w:p>
        </w:tc>
        <w:tc>
          <w:tcPr>
            <w:tcW w:w="38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w:t>
            </w:r>
          </w:p>
        </w:tc>
        <w:tc>
          <w:tcPr>
            <w:tcW w:w="3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(4.7)</w:t>
            </w:r>
          </w:p>
        </w:tc>
      </w:tr>
      <w:tr>
        <w:trPr>
          <w:trHeight w:val="229"/>
        </w:trPr>
        <w:tc>
          <w:tcPr>
            <w:tcW w:w="3580" w:type="dxa"/>
            <w:vAlign w:val="bottom"/>
          </w:tcPr>
          <w:p>
            <w:pPr>
              <w:jc w:val="center"/>
              <w:ind w:left="3053"/>
              <w:spacing w:after="0"/>
              <w:rPr>
                <w:sz w:val="20"/>
                <w:szCs w:val="20"/>
                <w:color w:val="auto"/>
              </w:rPr>
            </w:pPr>
            <w:r>
              <w:rPr>
                <w:rFonts w:ascii="Arial" w:cs="Arial" w:eastAsia="Arial" w:hAnsi="Arial"/>
                <w:sz w:val="18"/>
                <w:szCs w:val="18"/>
                <w:color w:val="auto"/>
                <w:w w:val="95"/>
              </w:rPr>
              <w:t>(100)</w:t>
            </w:r>
          </w:p>
        </w:tc>
        <w:tc>
          <w:tcPr>
            <w:tcW w:w="3820" w:type="dxa"/>
            <w:vAlign w:val="bottom"/>
            <w:gridSpan w:val="2"/>
          </w:tcPr>
          <w:p>
            <w:pPr>
              <w:jc w:val="right"/>
              <w:ind w:right="142"/>
              <w:spacing w:after="0"/>
              <w:rPr>
                <w:sz w:val="20"/>
                <w:szCs w:val="20"/>
                <w:color w:val="auto"/>
              </w:rPr>
            </w:pPr>
            <w:r>
              <w:rPr>
                <w:rFonts w:ascii="Arial" w:cs="Arial" w:eastAsia="Arial" w:hAnsi="Arial"/>
                <w:sz w:val="18"/>
                <w:szCs w:val="18"/>
                <w:color w:val="auto"/>
              </w:rPr>
              <w:t>2.0</w:t>
            </w:r>
          </w:p>
        </w:tc>
        <w:tc>
          <w:tcPr>
            <w:tcW w:w="3820" w:type="dxa"/>
            <w:vAlign w:val="bottom"/>
            <w:gridSpan w:val="2"/>
          </w:tcPr>
          <w:p>
            <w:pPr>
              <w:jc w:val="right"/>
              <w:ind w:right="142"/>
              <w:spacing w:after="0"/>
              <w:rPr>
                <w:sz w:val="20"/>
                <w:szCs w:val="20"/>
                <w:color w:val="auto"/>
              </w:rPr>
            </w:pPr>
            <w:r>
              <w:rPr>
                <w:rFonts w:ascii="Arial" w:cs="Arial" w:eastAsia="Arial" w:hAnsi="Arial"/>
                <w:sz w:val="18"/>
                <w:szCs w:val="18"/>
                <w:color w:val="auto"/>
              </w:rPr>
              <w:t>0.1</w:t>
            </w:r>
          </w:p>
        </w:tc>
      </w:tr>
      <w:tr>
        <w:trPr>
          <w:trHeight w:val="243"/>
        </w:trPr>
        <w:tc>
          <w:tcPr>
            <w:tcW w:w="358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95"/>
              </w:rPr>
              <w:t>(200)</w:t>
            </w:r>
          </w:p>
        </w:tc>
        <w:tc>
          <w:tcPr>
            <w:tcW w:w="38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1.3</w:t>
            </w:r>
          </w:p>
        </w:tc>
        <w:tc>
          <w:tcPr>
            <w:tcW w:w="3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(3.2)</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2023.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our operations, and from time-to-time,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the risk factors that were disclosed in Item 1A, under the caption “Risk Factors” in our Registration Statement.</w:t>
      </w:r>
    </w:p>
    <w:p>
      <w:pPr>
        <w:spacing w:after="0" w:line="1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 Insider Trading Arrangements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Exhibit No.</w:t>
            </w:r>
          </w:p>
        </w:tc>
        <w:tc>
          <w:tcPr>
            <w:tcW w:w="1000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8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vMerge w:val="continue"/>
          </w:tcPr>
          <w:p>
            <w:pPr>
              <w:spacing w:after="0"/>
              <w:rPr>
                <w:sz w:val="18"/>
                <w:szCs w:val="18"/>
                <w:color w:val="auto"/>
              </w:rPr>
            </w:pPr>
          </w:p>
        </w:tc>
        <w:tc>
          <w:tcPr>
            <w:tcW w:w="1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31.1</w:t>
            </w:r>
          </w:p>
        </w:tc>
        <w:tc>
          <w:tcPr>
            <w:tcW w:w="99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160" w:type="dxa"/>
            <w:vAlign w:val="bottom"/>
            <w:tcBorders>
              <w:top w:val="single" w:sz="8" w:color="CCEEFF"/>
            </w:tcBorders>
          </w:tcPr>
          <w:p>
            <w:pPr>
              <w:ind w:left="40"/>
              <w:spacing w:after="0" w:line="189" w:lineRule="exact"/>
              <w:rPr>
                <w:sz w:val="20"/>
                <w:szCs w:val="20"/>
                <w:color w:val="auto"/>
              </w:rPr>
            </w:pPr>
            <w:r>
              <w:rPr>
                <w:rFonts w:ascii="Arial" w:cs="Arial" w:eastAsia="Arial" w:hAnsi="Arial"/>
                <w:sz w:val="18"/>
                <w:szCs w:val="18"/>
                <w:color w:val="auto"/>
              </w:rPr>
              <w:t>31.2</w:t>
            </w:r>
          </w:p>
        </w:tc>
        <w:tc>
          <w:tcPr>
            <w:tcW w:w="718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2740" w:type="dxa"/>
            <w:vAlign w:val="bottom"/>
            <w:tcBorders>
              <w:top w:val="single" w:sz="8" w:color="CCEEFF"/>
            </w:tcBorders>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43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 w:type="dxa"/>
            <w:vAlign w:val="bottom"/>
            <w:vMerge w:val="continue"/>
          </w:tcPr>
          <w:p>
            <w:pPr>
              <w:spacing w:after="0"/>
              <w:rPr>
                <w:sz w:val="16"/>
                <w:szCs w:val="16"/>
                <w:color w:val="auto"/>
              </w:rPr>
            </w:pPr>
          </w:p>
        </w:tc>
        <w:tc>
          <w:tcPr>
            <w:tcW w:w="1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32.1</w:t>
            </w:r>
          </w:p>
        </w:tc>
        <w:tc>
          <w:tcPr>
            <w:tcW w:w="99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Chief Executive Officer and Chief Financial Officer Pursuant to 18 U.S.C. Section 1350, as adopted pursuant to Section</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9800" w:type="dxa"/>
            <w:vAlign w:val="bottom"/>
            <w:tcBorders>
              <w:top w:val="single" w:sz="8" w:color="0000FF"/>
            </w:tcBorders>
            <w:gridSpan w:val="4"/>
            <w:shd w:val="clear" w:color="auto" w:fill="CCEEFF"/>
          </w:tcPr>
          <w:p>
            <w:pPr>
              <w:spacing w:after="0" w:line="169" w:lineRule="exact"/>
              <w:rPr>
                <w:sz w:val="20"/>
                <w:szCs w:val="20"/>
                <w:color w:val="auto"/>
              </w:rPr>
            </w:pPr>
            <w:r>
              <w:rPr>
                <w:rFonts w:ascii="Arial" w:cs="Arial" w:eastAsia="Arial" w:hAnsi="Arial"/>
                <w:sz w:val="18"/>
                <w:szCs w:val="18"/>
                <w:color w:val="0000FF"/>
              </w:rPr>
              <w:t>906 of the Sarbanes-Oxley Act of 2002</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5"/>
        </w:trPr>
        <w:tc>
          <w:tcPr>
            <w:tcW w:w="80" w:type="dxa"/>
            <w:vAlign w:val="bottom"/>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820" w:type="dxa"/>
            <w:vAlign w:val="bottom"/>
            <w:tcBorders>
              <w:top w:val="single" w:sz="8" w:color="0000FF"/>
            </w:tcBorders>
          </w:tcPr>
          <w:p>
            <w:pPr>
              <w:spacing w:after="0"/>
              <w:rPr>
                <w:sz w:val="24"/>
                <w:szCs w:val="24"/>
                <w:color w:val="auto"/>
              </w:rPr>
            </w:pPr>
          </w:p>
        </w:tc>
        <w:tc>
          <w:tcPr>
            <w:tcW w:w="4320" w:type="dxa"/>
            <w:vAlign w:val="bottom"/>
            <w:tcBorders>
              <w:top w:val="single" w:sz="8" w:color="CCEEFF"/>
            </w:tcBorders>
          </w:tcPr>
          <w:p>
            <w:pPr>
              <w:jc w:val="right"/>
              <w:ind w:right="2570"/>
              <w:spacing w:after="0"/>
              <w:rPr>
                <w:sz w:val="20"/>
                <w:szCs w:val="20"/>
                <w:color w:val="auto"/>
              </w:rPr>
            </w:pPr>
            <w:r>
              <w:rPr>
                <w:rFonts w:ascii="Arial" w:cs="Arial" w:eastAsia="Arial" w:hAnsi="Arial"/>
                <w:sz w:val="18"/>
                <w:szCs w:val="18"/>
                <w:color w:val="auto"/>
              </w:rPr>
              <w:t>68</w:t>
            </w:r>
          </w:p>
        </w:tc>
        <w:tc>
          <w:tcPr>
            <w:tcW w:w="4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5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P. Boyle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David P. Boyle</w:t>
            </w: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r>
        <w:trPr>
          <w:trHeight w:val="56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Roy E. Halyama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Roy E. Halyama</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Burke &amp; Herbert Financial Services Corp.;</w:t>
      </w:r>
    </w:p>
    <w:p>
      <w:pPr>
        <w:spacing w:after="0" w:line="188" w:lineRule="exact"/>
        <w:rPr>
          <w:rFonts w:ascii="Arial" w:cs="Arial" w:eastAsia="Arial" w:hAnsi="Arial"/>
          <w:sz w:val="20"/>
          <w:szCs w:val="20"/>
          <w:color w:val="auto"/>
        </w:rPr>
      </w:pPr>
    </w:p>
    <w:p>
      <w:pPr>
        <w:jc w:val="both"/>
        <w:ind w:left="340" w:hanging="332"/>
        <w:spacing w:after="0" w:line="223"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20"/>
          <w:szCs w:val="20"/>
          <w:color w:val="auto"/>
        </w:rPr>
      </w:pPr>
    </w:p>
    <w:p>
      <w:pPr>
        <w:ind w:left="340" w:hanging="332"/>
        <w:spacing w:after="0" w:line="26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20"/>
          <w:szCs w:val="20"/>
          <w:color w:val="auto"/>
        </w:rPr>
      </w:pPr>
    </w:p>
    <w:p>
      <w:pPr>
        <w:jc w:val="both"/>
        <w:ind w:left="980" w:hanging="324"/>
        <w:spacing w:after="0" w:line="239" w:lineRule="auto"/>
        <w:tabs>
          <w:tab w:leader="none" w:pos="980" w:val="left"/>
        </w:tabs>
        <w:numPr>
          <w:ilvl w:val="2"/>
          <w:numId w:val="2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9"/>
          <w:szCs w:val="19"/>
          <w:color w:val="auto"/>
        </w:rPr>
      </w:pPr>
    </w:p>
    <w:p>
      <w:pPr>
        <w:ind w:left="980" w:hanging="324"/>
        <w:spacing w:after="0"/>
        <w:tabs>
          <w:tab w:leader="none" w:pos="980" w:val="left"/>
        </w:tabs>
        <w:numPr>
          <w:ilvl w:val="2"/>
          <w:numId w:val="21"/>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980" w:hanging="324"/>
        <w:spacing w:after="0" w:line="223" w:lineRule="auto"/>
        <w:tabs>
          <w:tab w:leader="none" w:pos="950" w:val="left"/>
        </w:tabs>
        <w:numPr>
          <w:ilvl w:val="2"/>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980" w:hanging="324"/>
        <w:spacing w:after="0" w:line="235" w:lineRule="auto"/>
        <w:tabs>
          <w:tab w:leader="none" w:pos="1245" w:val="left"/>
        </w:tabs>
        <w:numPr>
          <w:ilvl w:val="2"/>
          <w:numId w:val="2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9"/>
          <w:szCs w:val="19"/>
          <w:color w:val="auto"/>
        </w:rPr>
      </w:pPr>
    </w:p>
    <w:p>
      <w:pPr>
        <w:jc w:val="both"/>
        <w:ind w:left="660" w:hanging="328"/>
        <w:spacing w:after="0" w:line="223" w:lineRule="auto"/>
        <w:tabs>
          <w:tab w:leader="none" w:pos="777"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980" w:hanging="324"/>
        <w:spacing w:after="0" w:line="223" w:lineRule="auto"/>
        <w:tabs>
          <w:tab w:leader="none" w:pos="925" w:val="left"/>
        </w:tabs>
        <w:numPr>
          <w:ilvl w:val="2"/>
          <w:numId w:val="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20"/>
          <w:szCs w:val="20"/>
          <w:color w:val="auto"/>
        </w:rPr>
      </w:pPr>
    </w:p>
    <w:p>
      <w:pPr>
        <w:ind w:left="980" w:hanging="324"/>
        <w:spacing w:after="0" w:line="236" w:lineRule="auto"/>
        <w:tabs>
          <w:tab w:leader="none" w:pos="936" w:val="left"/>
        </w:tabs>
        <w:numPr>
          <w:ilvl w:val="2"/>
          <w:numId w:val="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Date: August 11, 2023</w:t>
      </w:r>
    </w:p>
    <w:p>
      <w:pPr>
        <w:ind w:left="4540"/>
        <w:spacing w:after="0" w:line="197" w:lineRule="auto"/>
        <w:rPr>
          <w:sz w:val="20"/>
          <w:szCs w:val="20"/>
          <w:color w:val="auto"/>
        </w:rPr>
      </w:pPr>
      <w:r>
        <w:rPr>
          <w:rFonts w:ascii="Arial" w:cs="Arial" w:eastAsia="Arial" w:hAnsi="Arial"/>
          <w:sz w:val="20"/>
          <w:szCs w:val="20"/>
          <w:color w:val="auto"/>
        </w:rPr>
        <w:t>/s/ David P. Boyle</w:t>
      </w:r>
    </w:p>
    <w:p>
      <w:pPr>
        <w:ind w:left="4540"/>
        <w:spacing w:after="0" w:line="211" w:lineRule="auto"/>
        <w:rPr>
          <w:sz w:val="20"/>
          <w:szCs w:val="20"/>
          <w:color w:val="auto"/>
        </w:rPr>
      </w:pPr>
      <w:r>
        <w:rPr>
          <w:rFonts w:ascii="Arial" w:cs="Arial" w:eastAsia="Arial" w:hAnsi="Arial"/>
          <w:sz w:val="20"/>
          <w:szCs w:val="20"/>
          <w:color w:val="auto"/>
        </w:rPr>
        <w:t>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033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157842105v1</w:t>
      </w:r>
    </w:p>
    <w:p>
      <w:pPr>
        <w:sectPr>
          <w:pgSz w:w="11900" w:h="16838" w:orient="portrait"/>
          <w:cols w:equalWidth="0" w:num="1">
            <w:col w:w="11240"/>
          </w:cols>
          <w:pgMar w:left="320" w:top="994"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Burke &amp; Herbert Financial Services Corp.;</w:t>
      </w:r>
    </w:p>
    <w:p>
      <w:pPr>
        <w:spacing w:after="0" w:line="188" w:lineRule="exact"/>
        <w:rPr>
          <w:rFonts w:ascii="Arial" w:cs="Arial" w:eastAsia="Arial" w:hAnsi="Arial"/>
          <w:sz w:val="20"/>
          <w:szCs w:val="20"/>
          <w:color w:val="auto"/>
        </w:rPr>
      </w:pPr>
    </w:p>
    <w:p>
      <w:pPr>
        <w:jc w:val="both"/>
        <w:ind w:left="340" w:hanging="332"/>
        <w:spacing w:after="0" w:line="223"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20"/>
          <w:szCs w:val="20"/>
          <w:color w:val="auto"/>
        </w:rPr>
      </w:pPr>
    </w:p>
    <w:p>
      <w:pPr>
        <w:ind w:left="340" w:hanging="332"/>
        <w:spacing w:after="0" w:line="26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20"/>
          <w:szCs w:val="20"/>
          <w:color w:val="auto"/>
        </w:rPr>
      </w:pPr>
    </w:p>
    <w:p>
      <w:pPr>
        <w:jc w:val="both"/>
        <w:ind w:left="980" w:hanging="324"/>
        <w:spacing w:after="0" w:line="239" w:lineRule="auto"/>
        <w:tabs>
          <w:tab w:leader="none" w:pos="980" w:val="left"/>
        </w:tabs>
        <w:numPr>
          <w:ilvl w:val="2"/>
          <w:numId w:val="2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9"/>
          <w:szCs w:val="19"/>
          <w:color w:val="auto"/>
        </w:rPr>
      </w:pPr>
    </w:p>
    <w:p>
      <w:pPr>
        <w:ind w:left="980" w:hanging="324"/>
        <w:spacing w:after="0"/>
        <w:tabs>
          <w:tab w:leader="none" w:pos="980" w:val="left"/>
        </w:tabs>
        <w:numPr>
          <w:ilvl w:val="2"/>
          <w:numId w:val="22"/>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980" w:hanging="324"/>
        <w:spacing w:after="0" w:line="223" w:lineRule="auto"/>
        <w:tabs>
          <w:tab w:leader="none" w:pos="950" w:val="left"/>
        </w:tabs>
        <w:numPr>
          <w:ilvl w:val="2"/>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980" w:hanging="324"/>
        <w:spacing w:after="0" w:line="235" w:lineRule="auto"/>
        <w:tabs>
          <w:tab w:leader="none" w:pos="1245" w:val="left"/>
        </w:tabs>
        <w:numPr>
          <w:ilvl w:val="2"/>
          <w:numId w:val="2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9"/>
          <w:szCs w:val="19"/>
          <w:color w:val="auto"/>
        </w:rPr>
      </w:pPr>
    </w:p>
    <w:p>
      <w:pPr>
        <w:jc w:val="both"/>
        <w:ind w:left="660" w:hanging="328"/>
        <w:spacing w:after="0" w:line="223" w:lineRule="auto"/>
        <w:tabs>
          <w:tab w:leader="none" w:pos="777"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980" w:hanging="324"/>
        <w:spacing w:after="0" w:line="223" w:lineRule="auto"/>
        <w:tabs>
          <w:tab w:leader="none" w:pos="925" w:val="left"/>
        </w:tabs>
        <w:numPr>
          <w:ilvl w:val="2"/>
          <w:numId w:val="2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20"/>
          <w:szCs w:val="20"/>
          <w:color w:val="auto"/>
        </w:rPr>
      </w:pPr>
    </w:p>
    <w:p>
      <w:pPr>
        <w:ind w:left="980" w:hanging="324"/>
        <w:spacing w:after="0" w:line="236" w:lineRule="auto"/>
        <w:tabs>
          <w:tab w:leader="none" w:pos="936" w:val="left"/>
        </w:tabs>
        <w:numPr>
          <w:ilvl w:val="2"/>
          <w:numId w:val="2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Date: August 11, 2023</w:t>
      </w:r>
    </w:p>
    <w:p>
      <w:pPr>
        <w:ind w:left="4540"/>
        <w:spacing w:after="0" w:line="197" w:lineRule="auto"/>
        <w:rPr>
          <w:sz w:val="20"/>
          <w:szCs w:val="20"/>
          <w:color w:val="auto"/>
        </w:rPr>
      </w:pPr>
      <w:r>
        <w:rPr>
          <w:rFonts w:ascii="Arial" w:cs="Arial" w:eastAsia="Arial" w:hAnsi="Arial"/>
          <w:sz w:val="20"/>
          <w:szCs w:val="20"/>
          <w:color w:val="auto"/>
        </w:rPr>
        <w:t>/s/ Roy E. Halyama</w:t>
      </w:r>
    </w:p>
    <w:p>
      <w:pPr>
        <w:ind w:left="4540"/>
        <w:spacing w:after="0" w:line="211" w:lineRule="auto"/>
        <w:rPr>
          <w:sz w:val="20"/>
          <w:szCs w:val="20"/>
          <w:color w:val="auto"/>
        </w:rPr>
      </w:pPr>
      <w:r>
        <w:rPr>
          <w:rFonts w:ascii="Arial" w:cs="Arial" w:eastAsia="Arial" w:hAnsi="Arial"/>
          <w:sz w:val="20"/>
          <w:szCs w:val="20"/>
          <w:color w:val="auto"/>
        </w:rPr>
        <w:t>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109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157842164v1</w:t>
      </w:r>
    </w:p>
    <w:p>
      <w:pPr>
        <w:sectPr>
          <w:pgSz w:w="11900" w:h="16838" w:orient="portrait"/>
          <w:cols w:equalWidth="0" w:num="1">
            <w:col w:w="11240"/>
          </w:cols>
          <w:pgMar w:left="320" w:top="99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CERTIFICATION OF PRINCIPAL EXECUTIVE OFFICER AND PRINCIPAL FINANCIAL OFFICER</w:t>
      </w:r>
    </w:p>
    <w:p>
      <w:pPr>
        <w:jc w:val="center"/>
        <w:spacing w:after="0"/>
        <w:rPr>
          <w:sz w:val="20"/>
          <w:szCs w:val="20"/>
          <w:color w:val="auto"/>
        </w:rPr>
      </w:pPr>
      <w:r>
        <w:rPr>
          <w:rFonts w:ascii="Arial" w:cs="Arial" w:eastAsia="Arial" w:hAnsi="Arial"/>
          <w:sz w:val="16"/>
          <w:szCs w:val="16"/>
          <w:b w:val="1"/>
          <w:bCs w:val="1"/>
          <w:color w:val="auto"/>
        </w:rPr>
        <w:t>PURSUANT TO SECTION 906</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In connection with the Quarterly Report on Form 10-Q of Burke &amp; Herbert Financial Services Corp. (the “Company”) for the period ended June 30, 2023,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20" w:lineRule="exact"/>
        <w:rPr>
          <w:sz w:val="20"/>
          <w:szCs w:val="20"/>
          <w:color w:val="auto"/>
        </w:rPr>
      </w:pPr>
    </w:p>
    <w:p>
      <w:pPr>
        <w:ind w:left="1640" w:hanging="813"/>
        <w:spacing w:after="0"/>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 w:lineRule="exact"/>
        <w:rPr>
          <w:rFonts w:ascii="Arial" w:cs="Arial" w:eastAsia="Arial" w:hAnsi="Arial"/>
          <w:sz w:val="16"/>
          <w:szCs w:val="16"/>
          <w:color w:val="auto"/>
        </w:rPr>
      </w:pPr>
    </w:p>
    <w:p>
      <w:pPr>
        <w:ind w:left="1640" w:hanging="813"/>
        <w:spacing w:after="0"/>
        <w:tabs>
          <w:tab w:leader="none" w:pos="1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6"/>
          <w:szCs w:val="16"/>
          <w:color w:val="auto"/>
        </w:rPr>
        <w:t>Date: August 11, 2023</w:t>
      </w:r>
      <w:r>
        <w:rPr>
          <w:sz w:val="20"/>
          <w:szCs w:val="20"/>
          <w:color w:val="auto"/>
        </w:rPr>
        <w:tab/>
      </w:r>
      <w:r>
        <w:rPr>
          <w:rFonts w:ascii="Arial" w:cs="Arial" w:eastAsia="Arial" w:hAnsi="Arial"/>
          <w:sz w:val="14"/>
          <w:szCs w:val="14"/>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17780</wp:posOffset>
            </wp:positionV>
            <wp:extent cx="3557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David P. Boyle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6"/>
          <w:szCs w:val="16"/>
          <w:color w:val="auto"/>
        </w:rPr>
        <w:t>Date: August 11, 2023</w:t>
      </w:r>
      <w:r>
        <w:rPr>
          <w:sz w:val="20"/>
          <w:szCs w:val="20"/>
          <w:color w:val="auto"/>
        </w:rPr>
        <w:tab/>
      </w:r>
      <w:r>
        <w:rPr>
          <w:rFonts w:ascii="Arial" w:cs="Arial" w:eastAsia="Arial" w:hAnsi="Arial"/>
          <w:sz w:val="14"/>
          <w:szCs w:val="14"/>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17780</wp:posOffset>
            </wp:positionV>
            <wp:extent cx="3557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Roy E. Halyama</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Executive Vice President &amp; Chief Financial Officer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157842178v1</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4"/>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1">
    <w:nsid w:val="2443A85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2023-08-11T10:21:25Z</dcterms:created>
  <dcterms:modified xsi:type="dcterms:W3CDTF">2023-08-11T10:21:25Z</dcterms:modified>
</cp:coreProperties>
</file>