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692150</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w:t>
      </w:r>
      <w:r>
        <w:rPr>
          <w:rFonts w:ascii="Arial" w:cs="Arial" w:eastAsia="Arial" w:hAnsi="Arial"/>
          <w:sz w:val="32"/>
          <w:szCs w:val="32"/>
          <w:b w:val="1"/>
          <w:bCs w:val="1"/>
          <w:color w:val="auto"/>
        </w:rPr>
        <w:t>-</w:t>
      </w:r>
      <w:r>
        <w:rPr>
          <w:rFonts w:ascii="Arial" w:cs="Arial" w:eastAsia="Arial" w:hAnsi="Arial"/>
          <w:sz w:val="25"/>
          <w:szCs w:val="25"/>
          <w:b w:val="1"/>
          <w:bCs w:val="1"/>
          <w:color w:val="auto"/>
        </w:rPr>
        <w:t>Q</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00" w:right="2440" w:hanging="574"/>
        <w:spacing w:after="0" w:line="404" w:lineRule="auto"/>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2023</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600" w:hanging="574"/>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6" w:lineRule="exact"/>
        <w:rPr>
          <w:sz w:val="24"/>
          <w:szCs w:val="24"/>
          <w:color w:val="auto"/>
        </w:rPr>
      </w:pPr>
    </w:p>
    <w:p>
      <w:pPr>
        <w:ind w:left="600"/>
        <w:spacing w:after="0"/>
        <w:tabs>
          <w:tab w:leader="none" w:pos="36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001-41633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Burke &amp; Herbert Financial Services Corp.</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jc w:val="center"/>
              <w:ind w:left="248"/>
              <w:spacing w:after="0"/>
              <w:rPr>
                <w:sz w:val="20"/>
                <w:szCs w:val="20"/>
                <w:color w:val="auto"/>
              </w:rPr>
            </w:pPr>
            <w:r>
              <w:rPr>
                <w:rFonts w:ascii="Arial" w:cs="Arial" w:eastAsia="Arial" w:hAnsi="Arial"/>
                <w:sz w:val="14"/>
                <w:szCs w:val="14"/>
                <w:b w:val="1"/>
                <w:bCs w:val="1"/>
                <w:color w:val="auto"/>
                <w:w w:val="97"/>
              </w:rPr>
              <w:t>Virginia</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840" w:type="dxa"/>
            <w:vAlign w:val="bottom"/>
            <w:gridSpan w:val="2"/>
          </w:tcPr>
          <w:p>
            <w:pPr>
              <w:jc w:val="right"/>
              <w:ind w:right="1808"/>
              <w:spacing w:after="0"/>
              <w:rPr>
                <w:sz w:val="20"/>
                <w:szCs w:val="20"/>
                <w:color w:val="auto"/>
              </w:rPr>
            </w:pPr>
            <w:r>
              <w:rPr>
                <w:rFonts w:ascii="Arial" w:cs="Arial" w:eastAsia="Arial" w:hAnsi="Arial"/>
                <w:sz w:val="14"/>
                <w:szCs w:val="14"/>
                <w:b w:val="1"/>
                <w:bCs w:val="1"/>
                <w:color w:val="auto"/>
              </w:rPr>
              <w:t>92-0289417</w:t>
            </w:r>
          </w:p>
        </w:tc>
      </w:tr>
      <w:tr>
        <w:trPr>
          <w:trHeight w:val="189"/>
        </w:trPr>
        <w:tc>
          <w:tcPr>
            <w:tcW w:w="4100" w:type="dxa"/>
            <w:vAlign w:val="bottom"/>
          </w:tcPr>
          <w:p>
            <w:pPr>
              <w:jc w:val="center"/>
              <w:ind w:left="248"/>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40" w:type="dxa"/>
            <w:vAlign w:val="bottom"/>
          </w:tcPr>
          <w:p>
            <w:pPr>
              <w:jc w:val="center"/>
              <w:ind w:right="628"/>
              <w:spacing w:after="0"/>
              <w:rPr>
                <w:sz w:val="20"/>
                <w:szCs w:val="20"/>
                <w:color w:val="auto"/>
              </w:rPr>
            </w:pPr>
            <w:r>
              <w:rPr>
                <w:rFonts w:ascii="Arial" w:cs="Arial" w:eastAsia="Arial" w:hAnsi="Arial"/>
                <w:sz w:val="14"/>
                <w:szCs w:val="14"/>
                <w:color w:val="auto"/>
                <w:w w:val="96"/>
              </w:rPr>
              <w:t>(I.R.S. Employer Identification No.)</w:t>
            </w:r>
          </w:p>
        </w:tc>
      </w:tr>
      <w:tr>
        <w:trPr>
          <w:trHeight w:val="297"/>
        </w:trPr>
        <w:tc>
          <w:tcPr>
            <w:tcW w:w="410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100 S. Fairfax Street, Alexandria, Virginia</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40" w:type="dxa"/>
            <w:vAlign w:val="bottom"/>
            <w:gridSpan w:val="2"/>
          </w:tcPr>
          <w:p>
            <w:pPr>
              <w:jc w:val="right"/>
              <w:ind w:right="1968"/>
              <w:spacing w:after="0"/>
              <w:rPr>
                <w:sz w:val="20"/>
                <w:szCs w:val="20"/>
                <w:color w:val="auto"/>
              </w:rPr>
            </w:pPr>
            <w:r>
              <w:rPr>
                <w:rFonts w:ascii="Arial" w:cs="Arial" w:eastAsia="Arial" w:hAnsi="Arial"/>
                <w:sz w:val="14"/>
                <w:szCs w:val="14"/>
                <w:b w:val="1"/>
                <w:bCs w:val="1"/>
                <w:color w:val="auto"/>
              </w:rPr>
              <w:t>22314</w:t>
            </w:r>
          </w:p>
        </w:tc>
      </w:tr>
      <w:tr>
        <w:trPr>
          <w:trHeight w:val="189"/>
        </w:trPr>
        <w:tc>
          <w:tcPr>
            <w:tcW w:w="4100" w:type="dxa"/>
            <w:vAlign w:val="bottom"/>
          </w:tcPr>
          <w:p>
            <w:pPr>
              <w:jc w:val="center"/>
              <w:ind w:left="248"/>
              <w:spacing w:after="0"/>
              <w:rPr>
                <w:sz w:val="20"/>
                <w:szCs w:val="20"/>
                <w:color w:val="auto"/>
              </w:rPr>
            </w:pPr>
            <w:r>
              <w:rPr>
                <w:rFonts w:ascii="Arial" w:cs="Arial" w:eastAsia="Arial" w:hAnsi="Arial"/>
                <w:sz w:val="14"/>
                <w:szCs w:val="14"/>
                <w:color w:val="auto"/>
                <w:w w:val="95"/>
              </w:rPr>
              <w:t>(Address of principal executive offices)</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40" w:type="dxa"/>
            <w:vAlign w:val="bottom"/>
          </w:tcPr>
          <w:p>
            <w:pPr>
              <w:jc w:val="center"/>
              <w:ind w:right="628"/>
              <w:spacing w:after="0"/>
              <w:rPr>
                <w:sz w:val="20"/>
                <w:szCs w:val="20"/>
                <w:color w:val="auto"/>
              </w:rPr>
            </w:pPr>
            <w:r>
              <w:rPr>
                <w:rFonts w:ascii="Arial" w:cs="Arial" w:eastAsia="Arial" w:hAnsi="Arial"/>
                <w:sz w:val="14"/>
                <w:szCs w:val="14"/>
                <w:color w:val="auto"/>
                <w:w w:val="96"/>
              </w:rPr>
              <w:t>(Zip Code)</w:t>
            </w:r>
          </w:p>
        </w:tc>
      </w:tr>
      <w:tr>
        <w:trPr>
          <w:trHeight w:val="297"/>
        </w:trPr>
        <w:tc>
          <w:tcPr>
            <w:tcW w:w="4100" w:type="dxa"/>
            <w:vAlign w:val="bottom"/>
          </w:tcPr>
          <w:p>
            <w:pPr>
              <w:spacing w:after="0"/>
              <w:rPr>
                <w:sz w:val="24"/>
                <w:szCs w:val="24"/>
                <w:color w:val="auto"/>
              </w:rPr>
            </w:pPr>
          </w:p>
        </w:tc>
        <w:tc>
          <w:tcPr>
            <w:tcW w:w="3300" w:type="dxa"/>
            <w:vAlign w:val="bottom"/>
            <w:gridSpan w:val="3"/>
          </w:tcPr>
          <w:p>
            <w:pPr>
              <w:jc w:val="right"/>
              <w:ind w:right="1308"/>
              <w:spacing w:after="0"/>
              <w:rPr>
                <w:sz w:val="20"/>
                <w:szCs w:val="20"/>
                <w:color w:val="auto"/>
              </w:rPr>
            </w:pPr>
            <w:r>
              <w:rPr>
                <w:rFonts w:ascii="Arial" w:cs="Arial" w:eastAsia="Arial" w:hAnsi="Arial"/>
                <w:sz w:val="14"/>
                <w:szCs w:val="14"/>
                <w:b w:val="1"/>
                <w:bCs w:val="1"/>
                <w:color w:val="auto"/>
              </w:rPr>
              <w:t>703-549-2304</w:t>
            </w: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9"/>
        </w:trPr>
        <w:tc>
          <w:tcPr>
            <w:tcW w:w="4100" w:type="dxa"/>
            <w:vAlign w:val="bottom"/>
          </w:tcPr>
          <w:p>
            <w:pPr>
              <w:spacing w:after="0"/>
              <w:rPr>
                <w:sz w:val="16"/>
                <w:szCs w:val="16"/>
                <w:color w:val="auto"/>
              </w:rPr>
            </w:pPr>
          </w:p>
        </w:tc>
        <w:tc>
          <w:tcPr>
            <w:tcW w:w="3300" w:type="dxa"/>
            <w:vAlign w:val="bottom"/>
            <w:gridSpan w:val="3"/>
          </w:tcPr>
          <w:p>
            <w:pPr>
              <w:jc w:val="center"/>
              <w:ind w:right="188"/>
              <w:spacing w:after="0"/>
              <w:rPr>
                <w:sz w:val="20"/>
                <w:szCs w:val="20"/>
                <w:color w:val="auto"/>
              </w:rPr>
            </w:pPr>
            <w:r>
              <w:rPr>
                <w:rFonts w:ascii="Arial" w:cs="Arial" w:eastAsia="Arial" w:hAnsi="Arial"/>
                <w:sz w:val="14"/>
                <w:szCs w:val="14"/>
                <w:color w:val="auto"/>
                <w:w w:val="92"/>
              </w:rPr>
              <w:t>Registrant’s telephone number, including area code</w:t>
            </w:r>
          </w:p>
        </w:tc>
        <w:tc>
          <w:tcPr>
            <w:tcW w:w="10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445"/>
        </w:trPr>
        <w:tc>
          <w:tcPr>
            <w:tcW w:w="41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65"/>
        </w:trPr>
        <w:tc>
          <w:tcPr>
            <w:tcW w:w="4100" w:type="dxa"/>
            <w:vAlign w:val="bottom"/>
          </w:tcPr>
          <w:p>
            <w:pPr>
              <w:jc w:val="center"/>
              <w:ind w:left="1388"/>
              <w:spacing w:after="0"/>
              <w:rPr>
                <w:sz w:val="20"/>
                <w:szCs w:val="20"/>
                <w:color w:val="auto"/>
              </w:rPr>
            </w:pPr>
            <w:r>
              <w:rPr>
                <w:rFonts w:ascii="Arial" w:cs="Arial" w:eastAsia="Arial" w:hAnsi="Arial"/>
                <w:sz w:val="14"/>
                <w:szCs w:val="14"/>
                <w:b w:val="1"/>
                <w:bCs w:val="1"/>
                <w:color w:val="auto"/>
                <w:w w:val="93"/>
              </w:rPr>
              <w:t>Title of Each Class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0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Exchange on which registered</w:t>
            </w:r>
          </w:p>
        </w:tc>
      </w:tr>
      <w:tr>
        <w:trPr>
          <w:trHeight w:val="25"/>
        </w:trPr>
        <w:tc>
          <w:tcPr>
            <w:tcW w:w="4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80"/>
        </w:trPr>
        <w:tc>
          <w:tcPr>
            <w:tcW w:w="4100" w:type="dxa"/>
            <w:vAlign w:val="bottom"/>
          </w:tcPr>
          <w:p>
            <w:pPr>
              <w:jc w:val="center"/>
              <w:ind w:left="1388"/>
              <w:spacing w:after="0"/>
              <w:rPr>
                <w:sz w:val="20"/>
                <w:szCs w:val="20"/>
                <w:color w:val="auto"/>
              </w:rPr>
            </w:pPr>
            <w:r>
              <w:rPr>
                <w:rFonts w:ascii="Arial" w:cs="Arial" w:eastAsia="Arial" w:hAnsi="Arial"/>
                <w:sz w:val="14"/>
                <w:szCs w:val="14"/>
                <w:b w:val="1"/>
                <w:bCs w:val="1"/>
                <w:color w:val="auto"/>
                <w:w w:val="92"/>
              </w:rPr>
              <w:t>Common Stock, par value $0.50 per share</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8"/>
              </w:rPr>
              <w:t>BHRB</w:t>
            </w:r>
          </w:p>
        </w:tc>
        <w:tc>
          <w:tcPr>
            <w:tcW w:w="100" w:type="dxa"/>
            <w:vAlign w:val="bottom"/>
          </w:tcPr>
          <w:p>
            <w:pPr>
              <w:spacing w:after="0"/>
              <w:rPr>
                <w:sz w:val="15"/>
                <w:szCs w:val="15"/>
                <w:color w:val="auto"/>
              </w:rPr>
            </w:pP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bl>
    <w:p>
      <w:pPr>
        <w:spacing w:after="0" w:line="241" w:lineRule="exact"/>
        <w:rPr>
          <w:sz w:val="24"/>
          <w:szCs w:val="24"/>
          <w:color w:val="auto"/>
        </w:rPr>
      </w:pPr>
    </w:p>
    <w:p>
      <w:pPr>
        <w:jc w:val="both"/>
        <w:spacing w:after="0" w:line="19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jc w:val="both"/>
        <w:spacing w:after="0" w:line="19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2"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20" w:type="dxa"/>
        <w:tblCellMar>
          <w:top w:w="0" w:type="dxa"/>
          <w:left w:w="0" w:type="dxa"/>
          <w:bottom w:w="0" w:type="dxa"/>
          <w:right w:w="0" w:type="dxa"/>
        </w:tblCellMar>
      </w:tblPr>
      <w:tr>
        <w:trPr>
          <w:trHeight w:val="181"/>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20" w:type="dxa"/>
            <w:vAlign w:val="bottom"/>
          </w:tcPr>
          <w:p>
            <w:pPr>
              <w:ind w:left="480"/>
              <w:spacing w:after="0"/>
              <w:rPr>
                <w:sz w:val="20"/>
                <w:szCs w:val="20"/>
                <w:color w:val="auto"/>
              </w:rPr>
            </w:pPr>
            <w:r>
              <w:rPr>
                <w:rFonts w:ascii="Arial" w:cs="Arial" w:eastAsia="Arial" w:hAnsi="Arial"/>
                <w:sz w:val="14"/>
                <w:szCs w:val="14"/>
                <w:color w:val="auto"/>
              </w:rPr>
              <w:t>o</w:t>
            </w:r>
          </w:p>
        </w:tc>
        <w:tc>
          <w:tcPr>
            <w:tcW w:w="4940" w:type="dxa"/>
            <w:vAlign w:val="bottom"/>
          </w:tcPr>
          <w:p>
            <w:pPr>
              <w:ind w:left="282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40"/>
              <w:spacing w:after="0"/>
              <w:rPr>
                <w:sz w:val="20"/>
                <w:szCs w:val="20"/>
                <w:color w:val="auto"/>
              </w:rPr>
            </w:pPr>
            <w:r>
              <w:rPr>
                <w:rFonts w:ascii="Arial" w:cs="Arial" w:eastAsia="Arial" w:hAnsi="Arial"/>
                <w:sz w:val="14"/>
                <w:szCs w:val="14"/>
                <w:color w:val="auto"/>
              </w:rPr>
              <w:t>o</w:t>
            </w:r>
          </w:p>
        </w:tc>
      </w:tr>
      <w:tr>
        <w:trPr>
          <w:trHeight w:val="229"/>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34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2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40"/>
              <w:spacing w:after="0"/>
              <w:rPr>
                <w:sz w:val="20"/>
                <w:szCs w:val="20"/>
                <w:color w:val="auto"/>
              </w:rPr>
            </w:pPr>
            <w:r>
              <w:rPr>
                <w:rFonts w:ascii="Arial" w:cs="Arial" w:eastAsia="Arial" w:hAnsi="Arial"/>
                <w:sz w:val="14"/>
                <w:szCs w:val="14"/>
                <w:color w:val="auto"/>
              </w:rPr>
              <w:t>o</w:t>
            </w:r>
          </w:p>
        </w:tc>
      </w:tr>
      <w:tr>
        <w:trPr>
          <w:trHeight w:val="242"/>
        </w:trPr>
        <w:tc>
          <w:tcPr>
            <w:tcW w:w="17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940" w:type="dxa"/>
            <w:vAlign w:val="bottom"/>
          </w:tcPr>
          <w:p>
            <w:pPr>
              <w:ind w:left="282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53" w:lineRule="exact"/>
        <w:rPr>
          <w:sz w:val="24"/>
          <w:szCs w:val="24"/>
          <w:color w:val="auto"/>
        </w:rPr>
      </w:pPr>
    </w:p>
    <w:p>
      <w:pPr>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4"/>
          <w:szCs w:val="14"/>
          <w:color w:val="auto"/>
        </w:rPr>
        <w:t>As of May 26, 2023, there were 7,427,840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814070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700" w:type="dxa"/>
            <w:vAlign w:val="bottom"/>
            <w:gridSpan w:val="5"/>
          </w:tcPr>
          <w:p>
            <w:pPr>
              <w:ind w:left="200"/>
              <w:spacing w:after="0"/>
              <w:rPr>
                <w:sz w:val="20"/>
                <w:szCs w:val="20"/>
                <w:color w:val="auto"/>
              </w:rPr>
            </w:pPr>
            <w:r>
              <w:rPr>
                <w:rFonts w:ascii="Arial" w:cs="Arial" w:eastAsia="Arial" w:hAnsi="Arial"/>
                <w:sz w:val="14"/>
                <w:szCs w:val="14"/>
                <w:b w:val="1"/>
                <w:bCs w:val="1"/>
                <w:color w:val="auto"/>
              </w:rPr>
              <w:t>Page</w:t>
            </w:r>
          </w:p>
        </w:tc>
      </w:tr>
      <w:tr>
        <w:trPr>
          <w:trHeight w:val="26"/>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FF"/>
            </w:tcBorders>
            <w:gridSpan w:val="9"/>
            <w:shd w:val="clear" w:color="auto" w:fill="CCEEFF"/>
          </w:tcPr>
          <w:p>
            <w:pPr>
              <w:spacing w:after="0" w:line="182" w:lineRule="exact"/>
              <w:rPr>
                <w:sz w:val="20"/>
                <w:szCs w:val="20"/>
                <w:color w:val="auto"/>
              </w:rPr>
            </w:pPr>
            <w:r>
              <w:rPr>
                <w:rFonts w:ascii="Arial" w:cs="Arial" w:eastAsia="Arial" w:hAnsi="Arial"/>
                <w:sz w:val="18"/>
                <w:szCs w:val="18"/>
                <w:b w:val="1"/>
                <w:bCs w:val="1"/>
                <w:color w:val="0000FF"/>
                <w:w w:val="94"/>
              </w:rPr>
              <w:t>Part I - Financial Information</w:t>
            </w:r>
          </w:p>
        </w:tc>
        <w:tc>
          <w:tcPr>
            <w:tcW w:w="8200" w:type="dxa"/>
            <w:vAlign w:val="bottom"/>
            <w:tcBorders>
              <w:bottom w:val="single" w:sz="8" w:color="CCEEFF"/>
            </w:tcBorders>
            <w:gridSpan w:val="6"/>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FF"/>
            </w:tcBorders>
            <w:shd w:val="clear" w:color="auto" w:fill="CCEEFF"/>
          </w:tcPr>
          <w:p>
            <w:pPr>
              <w:jc w:val="center"/>
              <w:spacing w:after="0" w:line="182" w:lineRule="exact"/>
              <w:rPr>
                <w:sz w:val="20"/>
                <w:szCs w:val="20"/>
                <w:color w:val="auto"/>
              </w:rPr>
            </w:pPr>
            <w:r>
              <w:rPr>
                <w:rFonts w:ascii="Arial" w:cs="Arial" w:eastAsia="Arial" w:hAnsi="Arial"/>
                <w:sz w:val="18"/>
                <w:szCs w:val="18"/>
                <w:color w:val="0000FF"/>
                <w:w w:val="99"/>
              </w:rPr>
              <w:t>1</w:t>
            </w: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0" w:type="dxa"/>
            <w:vAlign w:val="bottom"/>
            <w:gridSpan w:val="14"/>
          </w:tcPr>
          <w:p>
            <w:pPr>
              <w:ind w:left="20"/>
              <w:spacing w:after="0" w:line="189" w:lineRule="exact"/>
              <w:rPr>
                <w:sz w:val="20"/>
                <w:szCs w:val="20"/>
                <w:color w:val="auto"/>
              </w:rPr>
            </w:pPr>
            <w:r>
              <w:rPr>
                <w:rFonts w:ascii="Arial" w:cs="Arial" w:eastAsia="Arial" w:hAnsi="Arial"/>
                <w:sz w:val="18"/>
                <w:szCs w:val="18"/>
                <w:color w:val="0000FF"/>
              </w:rPr>
              <w:t>Item 1. Financial Statements</w:t>
            </w:r>
          </w:p>
        </w:tc>
        <w:tc>
          <w:tcPr>
            <w:tcW w:w="400" w:type="dxa"/>
            <w:vAlign w:val="bottom"/>
            <w:gridSpan w:val="3"/>
          </w:tcPr>
          <w:p>
            <w:pPr>
              <w:jc w:val="center"/>
              <w:ind w:left="212"/>
              <w:spacing w:after="0" w:line="189" w:lineRule="exact"/>
              <w:rPr>
                <w:sz w:val="20"/>
                <w:szCs w:val="20"/>
                <w:color w:val="auto"/>
              </w:rPr>
            </w:pPr>
            <w:r>
              <w:rPr>
                <w:rFonts w:ascii="Arial" w:cs="Arial" w:eastAsia="Arial" w:hAnsi="Arial"/>
                <w:sz w:val="18"/>
                <w:szCs w:val="18"/>
                <w:color w:val="0000FF"/>
                <w:w w:val="99"/>
              </w:rPr>
              <w:t>1</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0" w:type="dxa"/>
            <w:vAlign w:val="bottom"/>
            <w:gridSpan w:val="13"/>
            <w:shd w:val="clear" w:color="auto" w:fill="CCEEFF"/>
          </w:tcPr>
          <w:p>
            <w:pPr>
              <w:ind w:left="20"/>
              <w:spacing w:after="0" w:line="189" w:lineRule="exact"/>
              <w:rPr>
                <w:sz w:val="20"/>
                <w:szCs w:val="20"/>
                <w:color w:val="auto"/>
              </w:rPr>
            </w:pPr>
            <w:r>
              <w:rPr>
                <w:rFonts w:ascii="Arial" w:cs="Arial" w:eastAsia="Arial" w:hAnsi="Arial"/>
                <w:sz w:val="18"/>
                <w:szCs w:val="18"/>
                <w:color w:val="0000FF"/>
                <w:w w:val="90"/>
              </w:rPr>
              <w:t>Item 2. Management's Discussion and Analysis of Financial Condition and Results of Operations</w:t>
            </w:r>
          </w:p>
        </w:tc>
        <w:tc>
          <w:tcPr>
            <w:tcW w:w="3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4"/>
            <w:shd w:val="clear" w:color="auto" w:fill="CCEEFF"/>
          </w:tcPr>
          <w:p>
            <w:pPr>
              <w:jc w:val="center"/>
              <w:ind w:right="260"/>
              <w:spacing w:after="0" w:line="189" w:lineRule="exact"/>
              <w:rPr>
                <w:sz w:val="20"/>
                <w:szCs w:val="20"/>
                <w:color w:val="auto"/>
              </w:rPr>
            </w:pPr>
            <w:r>
              <w:rPr>
                <w:rFonts w:ascii="Arial" w:cs="Arial" w:eastAsia="Arial" w:hAnsi="Arial"/>
                <w:sz w:val="18"/>
                <w:szCs w:val="18"/>
                <w:color w:val="0000FF"/>
                <w:w w:val="89"/>
              </w:rPr>
              <w:t>38</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040" w:type="dxa"/>
            <w:vAlign w:val="bottom"/>
            <w:tcBorders>
              <w:top w:val="single" w:sz="8" w:color="0000FF"/>
            </w:tcBorders>
            <w:shd w:val="clear" w:color="auto" w:fill="CCEEFF"/>
          </w:tcPr>
          <w:p>
            <w:pPr>
              <w:spacing w:after="0"/>
              <w:rPr>
                <w:sz w:val="2"/>
                <w:szCs w:val="2"/>
                <w:color w:val="auto"/>
              </w:rPr>
            </w:pPr>
          </w:p>
        </w:tc>
        <w:tc>
          <w:tcPr>
            <w:tcW w:w="2080" w:type="dxa"/>
            <w:vAlign w:val="bottom"/>
            <w:tcBorders>
              <w:top w:val="single" w:sz="8" w:color="0000FF"/>
            </w:tcBorders>
            <w:shd w:val="clear" w:color="auto" w:fill="CCEEFF"/>
          </w:tcPr>
          <w:p>
            <w:pPr>
              <w:spacing w:after="0"/>
              <w:rPr>
                <w:sz w:val="2"/>
                <w:szCs w:val="2"/>
                <w:color w:val="auto"/>
              </w:rPr>
            </w:pPr>
          </w:p>
        </w:tc>
        <w:tc>
          <w:tcPr>
            <w:tcW w:w="3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0" w:type="dxa"/>
            <w:vAlign w:val="bottom"/>
            <w:gridSpan w:val="13"/>
          </w:tcPr>
          <w:p>
            <w:pPr>
              <w:ind w:left="20"/>
              <w:spacing w:after="0" w:line="189" w:lineRule="exact"/>
              <w:rPr>
                <w:sz w:val="20"/>
                <w:szCs w:val="20"/>
                <w:color w:val="auto"/>
              </w:rPr>
            </w:pPr>
            <w:r>
              <w:rPr>
                <w:rFonts w:ascii="Arial" w:cs="Arial" w:eastAsia="Arial" w:hAnsi="Arial"/>
                <w:sz w:val="18"/>
                <w:szCs w:val="18"/>
                <w:color w:val="0000FF"/>
              </w:rPr>
              <w:t>Item 3. Quantitative and Qualitative Disclosures About Market Risk</w:t>
            </w:r>
          </w:p>
        </w:tc>
        <w:tc>
          <w:tcPr>
            <w:tcW w:w="3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4"/>
          </w:tcPr>
          <w:p>
            <w:pPr>
              <w:jc w:val="center"/>
              <w:ind w:right="260"/>
              <w:spacing w:after="0" w:line="189" w:lineRule="exact"/>
              <w:rPr>
                <w:sz w:val="20"/>
                <w:szCs w:val="20"/>
                <w:color w:val="auto"/>
              </w:rPr>
            </w:pPr>
            <w:r>
              <w:rPr>
                <w:rFonts w:ascii="Arial" w:cs="Arial" w:eastAsia="Arial" w:hAnsi="Arial"/>
                <w:sz w:val="18"/>
                <w:szCs w:val="18"/>
                <w:color w:val="0000FF"/>
                <w:w w:val="89"/>
              </w:rPr>
              <w:t>56</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4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0" w:type="dxa"/>
            <w:vAlign w:val="bottom"/>
            <w:gridSpan w:val="14"/>
            <w:shd w:val="clear" w:color="auto" w:fill="CCEEFF"/>
          </w:tcPr>
          <w:p>
            <w:pPr>
              <w:ind w:left="20"/>
              <w:spacing w:after="0" w:line="189" w:lineRule="exact"/>
              <w:rPr>
                <w:sz w:val="20"/>
                <w:szCs w:val="20"/>
                <w:color w:val="auto"/>
              </w:rPr>
            </w:pPr>
            <w:r>
              <w:rPr>
                <w:rFonts w:ascii="Arial" w:cs="Arial" w:eastAsia="Arial" w:hAnsi="Arial"/>
                <w:sz w:val="18"/>
                <w:szCs w:val="18"/>
                <w:color w:val="0000FF"/>
              </w:rPr>
              <w:t>Item 4. Controls and Procedures</w:t>
            </w:r>
          </w:p>
        </w:tc>
        <w:tc>
          <w:tcPr>
            <w:tcW w:w="700" w:type="dxa"/>
            <w:vAlign w:val="bottom"/>
            <w:gridSpan w:val="5"/>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57</w:t>
            </w: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60" w:type="dxa"/>
            <w:vAlign w:val="bottom"/>
            <w:tcBorders>
              <w:top w:val="single" w:sz="8" w:color="0000FF"/>
            </w:tcBorders>
            <w:gridSpan w:val="2"/>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2040" w:type="dxa"/>
            <w:vAlign w:val="bottom"/>
            <w:tcBorders>
              <w:top w:val="single" w:sz="8" w:color="CCEEFF"/>
            </w:tcBorders>
          </w:tcPr>
          <w:p>
            <w:pPr>
              <w:spacing w:after="0"/>
              <w:rPr>
                <w:sz w:val="23"/>
                <w:szCs w:val="23"/>
                <w:color w:val="auto"/>
              </w:rPr>
            </w:pPr>
          </w:p>
        </w:tc>
        <w:tc>
          <w:tcPr>
            <w:tcW w:w="2080" w:type="dxa"/>
            <w:vAlign w:val="bottom"/>
            <w:tcBorders>
              <w:top w:val="single" w:sz="8" w:color="CCEEFF"/>
            </w:tcBorders>
          </w:tcPr>
          <w:p>
            <w:pPr>
              <w:spacing w:after="0"/>
              <w:rPr>
                <w:sz w:val="23"/>
                <w:szCs w:val="23"/>
                <w:color w:val="auto"/>
              </w:rPr>
            </w:pPr>
          </w:p>
        </w:tc>
        <w:tc>
          <w:tcPr>
            <w:tcW w:w="32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1052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Part II - Other Information</w:t>
            </w:r>
          </w:p>
        </w:tc>
        <w:tc>
          <w:tcPr>
            <w:tcW w:w="700" w:type="dxa"/>
            <w:vAlign w:val="bottom"/>
            <w:gridSpan w:val="5"/>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58</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3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0" w:type="dxa"/>
            <w:vAlign w:val="bottom"/>
            <w:gridSpan w:val="14"/>
          </w:tcPr>
          <w:p>
            <w:pPr>
              <w:ind w:left="20"/>
              <w:spacing w:after="0" w:line="189" w:lineRule="exact"/>
              <w:rPr>
                <w:sz w:val="20"/>
                <w:szCs w:val="20"/>
                <w:color w:val="auto"/>
              </w:rPr>
            </w:pPr>
            <w:r>
              <w:rPr>
                <w:rFonts w:ascii="Arial" w:cs="Arial" w:eastAsia="Arial" w:hAnsi="Arial"/>
                <w:sz w:val="18"/>
                <w:szCs w:val="18"/>
                <w:color w:val="0000FF"/>
              </w:rPr>
              <w:t>Item 1. Legal Proceedings</w:t>
            </w:r>
          </w:p>
        </w:tc>
        <w:tc>
          <w:tcPr>
            <w:tcW w:w="700" w:type="dxa"/>
            <w:vAlign w:val="bottom"/>
            <w:gridSpan w:val="5"/>
          </w:tcPr>
          <w:p>
            <w:pPr>
              <w:jc w:val="center"/>
              <w:spacing w:after="0" w:line="189" w:lineRule="exact"/>
              <w:rPr>
                <w:sz w:val="20"/>
                <w:szCs w:val="20"/>
                <w:color w:val="auto"/>
              </w:rPr>
            </w:pPr>
            <w:r>
              <w:rPr>
                <w:rFonts w:ascii="Arial" w:cs="Arial" w:eastAsia="Arial" w:hAnsi="Arial"/>
                <w:sz w:val="18"/>
                <w:szCs w:val="18"/>
                <w:color w:val="0000FF"/>
                <w:w w:val="89"/>
              </w:rPr>
              <w:t>58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0000FF"/>
                <w:w w:val="90"/>
              </w:rPr>
              <w:t>Item 1A. Risk Factors</w:t>
            </w:r>
          </w:p>
        </w:tc>
        <w:tc>
          <w:tcPr>
            <w:tcW w:w="8600" w:type="dxa"/>
            <w:vAlign w:val="bottom"/>
            <w:gridSpan w:val="10"/>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4"/>
            <w:shd w:val="clear" w:color="auto" w:fill="CCEEFF"/>
          </w:tcPr>
          <w:p>
            <w:pPr>
              <w:jc w:val="center"/>
              <w:ind w:right="260"/>
              <w:spacing w:after="0" w:line="189" w:lineRule="exact"/>
              <w:rPr>
                <w:sz w:val="20"/>
                <w:szCs w:val="20"/>
                <w:color w:val="auto"/>
              </w:rPr>
            </w:pPr>
            <w:r>
              <w:rPr>
                <w:rFonts w:ascii="Arial" w:cs="Arial" w:eastAsia="Arial" w:hAnsi="Arial"/>
                <w:sz w:val="18"/>
                <w:szCs w:val="18"/>
                <w:color w:val="0000FF"/>
                <w:w w:val="89"/>
              </w:rPr>
              <w:t>58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0" w:type="dxa"/>
            <w:vAlign w:val="bottom"/>
            <w:gridSpan w:val="14"/>
          </w:tcPr>
          <w:p>
            <w:pPr>
              <w:ind w:left="20"/>
              <w:spacing w:after="0" w:line="189"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700" w:type="dxa"/>
            <w:vAlign w:val="bottom"/>
            <w:gridSpan w:val="5"/>
          </w:tcPr>
          <w:p>
            <w:pPr>
              <w:jc w:val="center"/>
              <w:spacing w:after="0" w:line="189" w:lineRule="exact"/>
              <w:rPr>
                <w:sz w:val="20"/>
                <w:szCs w:val="20"/>
                <w:color w:val="auto"/>
              </w:rPr>
            </w:pPr>
            <w:r>
              <w:rPr>
                <w:rFonts w:ascii="Arial" w:cs="Arial" w:eastAsia="Arial" w:hAnsi="Arial"/>
                <w:sz w:val="18"/>
                <w:szCs w:val="18"/>
                <w:color w:val="0000FF"/>
                <w:w w:val="89"/>
              </w:rPr>
              <w:t>58</w:t>
            </w: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40" w:type="dxa"/>
            <w:vAlign w:val="bottom"/>
            <w:tcBorders>
              <w:top w:val="single" w:sz="8" w:color="0000FF"/>
            </w:tcBorders>
          </w:tcPr>
          <w:p>
            <w:pPr>
              <w:spacing w:after="0"/>
              <w:rPr>
                <w:sz w:val="2"/>
                <w:szCs w:val="2"/>
                <w:color w:val="auto"/>
              </w:rPr>
            </w:pPr>
          </w:p>
        </w:tc>
        <w:tc>
          <w:tcPr>
            <w:tcW w:w="20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90"/>
              </w:rPr>
              <w:t>Item 3.</w:t>
            </w:r>
          </w:p>
        </w:tc>
        <w:tc>
          <w:tcPr>
            <w:tcW w:w="9660" w:type="dxa"/>
            <w:vAlign w:val="bottom"/>
            <w:gridSpan w:val="13"/>
            <w:shd w:val="clear" w:color="auto" w:fill="CCEEFF"/>
          </w:tcPr>
          <w:p>
            <w:pPr>
              <w:ind w:left="20"/>
              <w:spacing w:after="0" w:line="189" w:lineRule="exact"/>
              <w:rPr>
                <w:sz w:val="20"/>
                <w:szCs w:val="20"/>
                <w:color w:val="auto"/>
              </w:rPr>
            </w:pPr>
            <w:r>
              <w:rPr>
                <w:rFonts w:ascii="Arial" w:cs="Arial" w:eastAsia="Arial" w:hAnsi="Arial"/>
                <w:sz w:val="18"/>
                <w:szCs w:val="18"/>
                <w:color w:val="0000FF"/>
              </w:rPr>
              <w:t>Defaults Upon Senior Securities</w:t>
            </w:r>
          </w:p>
        </w:tc>
        <w:tc>
          <w:tcPr>
            <w:tcW w:w="700" w:type="dxa"/>
            <w:vAlign w:val="bottom"/>
            <w:gridSpan w:val="5"/>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58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ind w:left="20"/>
              <w:spacing w:after="0" w:line="189" w:lineRule="exact"/>
              <w:rPr>
                <w:sz w:val="20"/>
                <w:szCs w:val="20"/>
                <w:color w:val="auto"/>
              </w:rPr>
            </w:pPr>
            <w:r>
              <w:rPr>
                <w:rFonts w:ascii="Arial" w:cs="Arial" w:eastAsia="Arial" w:hAnsi="Arial"/>
                <w:sz w:val="18"/>
                <w:szCs w:val="18"/>
                <w:color w:val="0000FF"/>
                <w:w w:val="90"/>
              </w:rPr>
              <w:t>Item 4.</w:t>
            </w:r>
          </w:p>
        </w:tc>
        <w:tc>
          <w:tcPr>
            <w:tcW w:w="2340" w:type="dxa"/>
            <w:vAlign w:val="bottom"/>
            <w:gridSpan w:val="10"/>
          </w:tcPr>
          <w:p>
            <w:pPr>
              <w:ind w:left="20"/>
              <w:spacing w:after="0" w:line="189" w:lineRule="exact"/>
              <w:rPr>
                <w:sz w:val="20"/>
                <w:szCs w:val="20"/>
                <w:color w:val="auto"/>
              </w:rPr>
            </w:pPr>
            <w:r>
              <w:rPr>
                <w:rFonts w:ascii="Arial" w:cs="Arial" w:eastAsia="Arial" w:hAnsi="Arial"/>
                <w:sz w:val="18"/>
                <w:szCs w:val="18"/>
                <w:color w:val="0000FF"/>
              </w:rPr>
              <w:t>Mine Safety Disclosures</w:t>
            </w:r>
          </w:p>
        </w:tc>
        <w:tc>
          <w:tcPr>
            <w:tcW w:w="7320" w:type="dxa"/>
            <w:vAlign w:val="bottom"/>
            <w:gridSpan w:val="3"/>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4"/>
          </w:tcPr>
          <w:p>
            <w:pPr>
              <w:jc w:val="center"/>
              <w:ind w:right="260"/>
              <w:spacing w:after="0" w:line="189" w:lineRule="exact"/>
              <w:rPr>
                <w:sz w:val="20"/>
                <w:szCs w:val="20"/>
                <w:color w:val="auto"/>
              </w:rPr>
            </w:pPr>
            <w:r>
              <w:rPr>
                <w:rFonts w:ascii="Arial" w:cs="Arial" w:eastAsia="Arial" w:hAnsi="Arial"/>
                <w:sz w:val="18"/>
                <w:szCs w:val="18"/>
                <w:color w:val="0000FF"/>
                <w:w w:val="89"/>
              </w:rPr>
              <w:t>58</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0000FF"/>
                <w:w w:val="90"/>
              </w:rPr>
              <w:t>Item 5.</w:t>
            </w:r>
          </w:p>
        </w:tc>
        <w:tc>
          <w:tcPr>
            <w:tcW w:w="1340" w:type="dxa"/>
            <w:vAlign w:val="bottom"/>
            <w:gridSpan w:val="5"/>
            <w:shd w:val="clear" w:color="auto" w:fill="CCEEFF"/>
          </w:tcPr>
          <w:p>
            <w:pPr>
              <w:ind w:left="20"/>
              <w:spacing w:after="0" w:line="189" w:lineRule="exact"/>
              <w:rPr>
                <w:sz w:val="20"/>
                <w:szCs w:val="20"/>
                <w:color w:val="auto"/>
              </w:rPr>
            </w:pPr>
            <w:r>
              <w:rPr>
                <w:rFonts w:ascii="Arial" w:cs="Arial" w:eastAsia="Arial" w:hAnsi="Arial"/>
                <w:sz w:val="18"/>
                <w:szCs w:val="18"/>
                <w:color w:val="0000FF"/>
                <w:w w:val="92"/>
              </w:rPr>
              <w:t>Other Information</w:t>
            </w:r>
          </w:p>
        </w:tc>
        <w:tc>
          <w:tcPr>
            <w:tcW w:w="8320" w:type="dxa"/>
            <w:vAlign w:val="bottom"/>
            <w:gridSpan w:val="8"/>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4"/>
            <w:shd w:val="clear" w:color="auto" w:fill="CCEEFF"/>
          </w:tcPr>
          <w:p>
            <w:pPr>
              <w:jc w:val="center"/>
              <w:ind w:right="260"/>
              <w:spacing w:after="0" w:line="189" w:lineRule="exact"/>
              <w:rPr>
                <w:sz w:val="20"/>
                <w:szCs w:val="20"/>
                <w:color w:val="auto"/>
              </w:rPr>
            </w:pPr>
            <w:r>
              <w:rPr>
                <w:rFonts w:ascii="Arial" w:cs="Arial" w:eastAsia="Arial" w:hAnsi="Arial"/>
                <w:sz w:val="18"/>
                <w:szCs w:val="18"/>
                <w:color w:val="0000FF"/>
                <w:w w:val="89"/>
              </w:rPr>
              <w:t>58</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32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ind w:left="20"/>
              <w:spacing w:after="0" w:line="189" w:lineRule="exact"/>
              <w:rPr>
                <w:sz w:val="20"/>
                <w:szCs w:val="20"/>
                <w:color w:val="auto"/>
              </w:rPr>
            </w:pPr>
            <w:r>
              <w:rPr>
                <w:rFonts w:ascii="Arial" w:cs="Arial" w:eastAsia="Arial" w:hAnsi="Arial"/>
                <w:sz w:val="18"/>
                <w:szCs w:val="18"/>
                <w:color w:val="0000FF"/>
                <w:w w:val="90"/>
              </w:rPr>
              <w:t>Item 6.</w:t>
            </w:r>
          </w:p>
        </w:tc>
        <w:tc>
          <w:tcPr>
            <w:tcW w:w="1340" w:type="dxa"/>
            <w:vAlign w:val="bottom"/>
            <w:gridSpan w:val="5"/>
          </w:tcPr>
          <w:p>
            <w:pPr>
              <w:ind w:left="20"/>
              <w:spacing w:after="0" w:line="189" w:lineRule="exact"/>
              <w:rPr>
                <w:sz w:val="20"/>
                <w:szCs w:val="20"/>
                <w:color w:val="auto"/>
              </w:rPr>
            </w:pPr>
            <w:r>
              <w:rPr>
                <w:rFonts w:ascii="Arial" w:cs="Arial" w:eastAsia="Arial" w:hAnsi="Arial"/>
                <w:sz w:val="18"/>
                <w:szCs w:val="18"/>
                <w:color w:val="0000FF"/>
              </w:rPr>
              <w:t>Exhibits</w:t>
            </w:r>
          </w:p>
        </w:tc>
        <w:tc>
          <w:tcPr>
            <w:tcW w:w="8320" w:type="dxa"/>
            <w:vAlign w:val="bottom"/>
            <w:gridSpan w:val="8"/>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gridSpan w:val="4"/>
          </w:tcPr>
          <w:p>
            <w:pPr>
              <w:jc w:val="center"/>
              <w:ind w:right="260"/>
              <w:spacing w:after="0" w:line="189" w:lineRule="exact"/>
              <w:rPr>
                <w:sz w:val="20"/>
                <w:szCs w:val="20"/>
                <w:color w:val="auto"/>
              </w:rPr>
            </w:pPr>
            <w:r>
              <w:rPr>
                <w:rFonts w:ascii="Arial" w:cs="Arial" w:eastAsia="Arial" w:hAnsi="Arial"/>
                <w:sz w:val="18"/>
                <w:szCs w:val="18"/>
                <w:color w:val="0000FF"/>
                <w:w w:val="89"/>
              </w:rPr>
              <w:t>59</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0" w:type="dxa"/>
            <w:vAlign w:val="bottom"/>
            <w:gridSpan w:val="14"/>
            <w:shd w:val="clear" w:color="auto" w:fill="CCEEFF"/>
          </w:tcPr>
          <w:p>
            <w:pPr>
              <w:ind w:left="20"/>
              <w:spacing w:after="0" w:line="189" w:lineRule="exact"/>
              <w:rPr>
                <w:sz w:val="20"/>
                <w:szCs w:val="20"/>
                <w:color w:val="auto"/>
              </w:rPr>
            </w:pPr>
            <w:r>
              <w:rPr>
                <w:rFonts w:ascii="Arial" w:cs="Arial" w:eastAsia="Arial" w:hAnsi="Arial"/>
                <w:sz w:val="18"/>
                <w:szCs w:val="18"/>
                <w:color w:val="0000FF"/>
              </w:rPr>
              <w:t>Signatures</w:t>
            </w:r>
          </w:p>
        </w:tc>
        <w:tc>
          <w:tcPr>
            <w:tcW w:w="700" w:type="dxa"/>
            <w:vAlign w:val="bottom"/>
            <w:gridSpan w:val="5"/>
            <w:shd w:val="clear" w:color="auto" w:fill="CCEEFF"/>
          </w:tcPr>
          <w:p>
            <w:pPr>
              <w:jc w:val="center"/>
              <w:spacing w:after="0" w:line="189" w:lineRule="exact"/>
              <w:rPr>
                <w:sz w:val="20"/>
                <w:szCs w:val="20"/>
                <w:color w:val="auto"/>
              </w:rPr>
            </w:pPr>
            <w:r>
              <w:rPr>
                <w:rFonts w:ascii="Arial" w:cs="Arial" w:eastAsia="Arial" w:hAnsi="Arial"/>
                <w:sz w:val="18"/>
                <w:szCs w:val="18"/>
                <w:color w:val="0000FF"/>
                <w:w w:val="89"/>
              </w:rPr>
              <w:t>60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Burke &amp; Herbert Financial Services Corp.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10400" w:type="dxa"/>
            <w:vAlign w:val="bottom"/>
            <w:gridSpan w:val="9"/>
            <w:shd w:val="clear" w:color="auto" w:fill="CCEEFF"/>
          </w:tcPr>
          <w:p>
            <w:pPr>
              <w:spacing w:after="0" w:line="182" w:lineRule="exact"/>
              <w:rPr>
                <w:sz w:val="20"/>
                <w:szCs w:val="20"/>
                <w:color w:val="auto"/>
              </w:rPr>
            </w:pPr>
            <w:r>
              <w:rPr>
                <w:rFonts w:ascii="Arial" w:cs="Arial" w:eastAsia="Arial" w:hAnsi="Arial"/>
                <w:sz w:val="18"/>
                <w:szCs w:val="18"/>
                <w:color w:val="0000FF"/>
              </w:rPr>
              <w:t>Consolidated Balance Sheets as of March 31, 2023 (Unaudited), and December 31, 2022</w:t>
            </w:r>
          </w:p>
        </w:tc>
        <w:tc>
          <w:tcPr>
            <w:tcW w:w="460" w:type="dxa"/>
            <w:vAlign w:val="bottom"/>
            <w:gridSpan w:val="2"/>
            <w:shd w:val="clear" w:color="auto" w:fill="CCEEFF"/>
          </w:tcPr>
          <w:p>
            <w:pPr>
              <w:jc w:val="center"/>
              <w:ind w:left="275"/>
              <w:spacing w:after="0" w:line="182" w:lineRule="exact"/>
              <w:rPr>
                <w:sz w:val="20"/>
                <w:szCs w:val="20"/>
                <w:color w:val="auto"/>
              </w:rPr>
            </w:pPr>
            <w:r>
              <w:rPr>
                <w:rFonts w:ascii="Arial" w:cs="Arial" w:eastAsia="Arial" w:hAnsi="Arial"/>
                <w:sz w:val="18"/>
                <w:szCs w:val="18"/>
                <w:color w:val="0000FF"/>
                <w:w w:val="99"/>
              </w:rPr>
              <w:t>2</w:t>
            </w:r>
          </w:p>
        </w:tc>
        <w:tc>
          <w:tcPr>
            <w:tcW w:w="3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00" w:type="dxa"/>
            <w:vAlign w:val="bottom"/>
            <w:gridSpan w:val="9"/>
          </w:tcPr>
          <w:p>
            <w:pPr>
              <w:spacing w:after="0" w:line="189" w:lineRule="exact"/>
              <w:rPr>
                <w:sz w:val="20"/>
                <w:szCs w:val="20"/>
                <w:color w:val="auto"/>
              </w:rPr>
            </w:pPr>
            <w:r>
              <w:rPr>
                <w:rFonts w:ascii="Arial" w:cs="Arial" w:eastAsia="Arial" w:hAnsi="Arial"/>
                <w:sz w:val="18"/>
                <w:szCs w:val="18"/>
                <w:color w:val="0000FF"/>
              </w:rPr>
              <w:t>Consolidated Statements of Income for the Three Months Ended March 31, 2023, and March 31, 2022 (Unaudited)</w:t>
            </w:r>
          </w:p>
        </w:tc>
        <w:tc>
          <w:tcPr>
            <w:tcW w:w="460" w:type="dxa"/>
            <w:vAlign w:val="bottom"/>
            <w:gridSpan w:val="2"/>
          </w:tcPr>
          <w:p>
            <w:pPr>
              <w:jc w:val="center"/>
              <w:ind w:left="275"/>
              <w:spacing w:after="0" w:line="189" w:lineRule="exact"/>
              <w:rPr>
                <w:sz w:val="20"/>
                <w:szCs w:val="20"/>
                <w:color w:val="auto"/>
              </w:rPr>
            </w:pPr>
            <w:r>
              <w:rPr>
                <w:rFonts w:ascii="Arial" w:cs="Arial" w:eastAsia="Arial" w:hAnsi="Arial"/>
                <w:sz w:val="18"/>
                <w:szCs w:val="18"/>
                <w:color w:val="0000FF"/>
                <w:w w:val="99"/>
              </w:rPr>
              <w:t>3</w:t>
            </w:r>
          </w:p>
        </w:tc>
        <w:tc>
          <w:tcPr>
            <w:tcW w:w="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2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9980" w:type="dxa"/>
            <w:vAlign w:val="bottom"/>
            <w:tcBorders>
              <w:bottom w:val="single" w:sz="8" w:color="0000FF"/>
            </w:tcBorders>
            <w:gridSpan w:val="7"/>
            <w:shd w:val="clear" w:color="auto" w:fill="CCEEFF"/>
          </w:tcPr>
          <w:p>
            <w:pPr>
              <w:spacing w:after="0" w:line="189" w:lineRule="exact"/>
              <w:rPr>
                <w:sz w:val="20"/>
                <w:szCs w:val="20"/>
                <w:color w:val="auto"/>
              </w:rPr>
            </w:pPr>
            <w:r>
              <w:rPr>
                <w:rFonts w:ascii="Arial" w:cs="Arial" w:eastAsia="Arial" w:hAnsi="Arial"/>
                <w:sz w:val="18"/>
                <w:szCs w:val="18"/>
                <w:color w:val="0000FF"/>
                <w:w w:val="90"/>
              </w:rPr>
              <w:t>Consolidated Statements of Comprehensive Income (Loss) for the Three Months Ended March 31, 2023, and March 31, 2022 (Unaudited)</w:t>
            </w:r>
          </w:p>
        </w:tc>
        <w:tc>
          <w:tcPr>
            <w:tcW w:w="42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0000FF"/>
            </w:tcBorders>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4</w:t>
            </w:r>
          </w:p>
        </w:tc>
        <w:tc>
          <w:tcPr>
            <w:tcW w:w="360" w:type="dxa"/>
            <w:vAlign w:val="bottom"/>
            <w:tcBorders>
              <w:bottom w:val="single" w:sz="8" w:color="CCEEFF"/>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0400" w:type="dxa"/>
            <w:vAlign w:val="bottom"/>
            <w:gridSpan w:val="9"/>
          </w:tcPr>
          <w:p>
            <w:pPr>
              <w:spacing w:after="0" w:line="189" w:lineRule="exact"/>
              <w:rPr>
                <w:sz w:val="20"/>
                <w:szCs w:val="20"/>
                <w:color w:val="auto"/>
              </w:rPr>
            </w:pPr>
            <w:r>
              <w:rPr>
                <w:rFonts w:ascii="Arial" w:cs="Arial" w:eastAsia="Arial" w:hAnsi="Arial"/>
                <w:sz w:val="18"/>
                <w:szCs w:val="18"/>
                <w:color w:val="0000FF"/>
                <w:w w:val="92"/>
              </w:rPr>
              <w:t>Consolidated Statements of Changes in Shareholders’ Equity for the Three Months Ended March 31, 2023, and March 31, 2022 (Unaudited)</w:t>
            </w:r>
          </w:p>
        </w:tc>
        <w:tc>
          <w:tcPr>
            <w:tcW w:w="460" w:type="dxa"/>
            <w:vAlign w:val="bottom"/>
            <w:gridSpan w:val="2"/>
          </w:tcPr>
          <w:p>
            <w:pPr>
              <w:jc w:val="center"/>
              <w:ind w:left="275"/>
              <w:spacing w:after="0" w:line="189" w:lineRule="exact"/>
              <w:rPr>
                <w:sz w:val="20"/>
                <w:szCs w:val="20"/>
                <w:color w:val="auto"/>
              </w:rPr>
            </w:pPr>
            <w:r>
              <w:rPr>
                <w:rFonts w:ascii="Arial" w:cs="Arial" w:eastAsia="Arial" w:hAnsi="Arial"/>
                <w:sz w:val="18"/>
                <w:szCs w:val="18"/>
                <w:color w:val="0000FF"/>
                <w:w w:val="99"/>
              </w:rPr>
              <w:t>5</w:t>
            </w:r>
          </w:p>
        </w:tc>
        <w:tc>
          <w:tcPr>
            <w:tcW w:w="3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72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600" w:type="dxa"/>
            <w:vAlign w:val="bottom"/>
            <w:tcBorders>
              <w:bottom w:val="single" w:sz="8" w:color="0000FF"/>
            </w:tcBorders>
            <w:gridSpan w:val="6"/>
            <w:shd w:val="clear" w:color="auto" w:fill="CCEEFF"/>
          </w:tcPr>
          <w:p>
            <w:pPr>
              <w:spacing w:after="0" w:line="189" w:lineRule="exact"/>
              <w:rPr>
                <w:sz w:val="20"/>
                <w:szCs w:val="20"/>
                <w:color w:val="auto"/>
              </w:rPr>
            </w:pPr>
            <w:r>
              <w:rPr>
                <w:rFonts w:ascii="Arial" w:cs="Arial" w:eastAsia="Arial" w:hAnsi="Arial"/>
                <w:sz w:val="18"/>
                <w:szCs w:val="18"/>
                <w:color w:val="0000FF"/>
                <w:w w:val="90"/>
              </w:rPr>
              <w:t>Consolidated Statements of Cash Flows for the Three Months Ended March 31, 2023, and March 31, 2022 (Unaudited)</w:t>
            </w:r>
          </w:p>
        </w:tc>
        <w:tc>
          <w:tcPr>
            <w:tcW w:w="1800" w:type="dxa"/>
            <w:vAlign w:val="bottom"/>
            <w:tcBorders>
              <w:bottom w:val="single" w:sz="8" w:color="CCEEFF"/>
            </w:tcBorders>
            <w:gridSpan w:val="3"/>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9" w:lineRule="exact"/>
              <w:rPr>
                <w:sz w:val="20"/>
                <w:szCs w:val="20"/>
                <w:color w:val="auto"/>
              </w:rPr>
            </w:pPr>
            <w:r>
              <w:rPr>
                <w:rFonts w:ascii="Arial" w:cs="Arial" w:eastAsia="Arial" w:hAnsi="Arial"/>
                <w:sz w:val="18"/>
                <w:szCs w:val="18"/>
                <w:color w:val="0000FF"/>
                <w:w w:val="99"/>
              </w:rPr>
              <w:t>6</w:t>
            </w:r>
          </w:p>
        </w:tc>
        <w:tc>
          <w:tcPr>
            <w:tcW w:w="3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4340" w:type="dxa"/>
            <w:vAlign w:val="bottom"/>
            <w:tcBorders>
              <w:bottom w:val="single" w:sz="8" w:color="0000FF"/>
            </w:tcBorders>
          </w:tcPr>
          <w:p>
            <w:pPr>
              <w:spacing w:after="0" w:line="189" w:lineRule="exact"/>
              <w:rPr>
                <w:sz w:val="20"/>
                <w:szCs w:val="20"/>
                <w:color w:val="auto"/>
              </w:rPr>
            </w:pPr>
            <w:r>
              <w:rPr>
                <w:rFonts w:ascii="Arial" w:cs="Arial" w:eastAsia="Arial" w:hAnsi="Arial"/>
                <w:sz w:val="18"/>
                <w:szCs w:val="18"/>
                <w:color w:val="0000FF"/>
                <w:w w:val="90"/>
              </w:rPr>
              <w:t>Notes to the Consolidated Financial Statements (Unaudited)</w:t>
            </w:r>
          </w:p>
        </w:tc>
        <w:tc>
          <w:tcPr>
            <w:tcW w:w="6060" w:type="dxa"/>
            <w:vAlign w:val="bottom"/>
            <w:gridSpan w:val="8"/>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9" w:lineRule="exact"/>
              <w:rPr>
                <w:sz w:val="20"/>
                <w:szCs w:val="20"/>
                <w:color w:val="auto"/>
              </w:rPr>
            </w:pPr>
            <w:r>
              <w:rPr>
                <w:rFonts w:ascii="Arial" w:cs="Arial" w:eastAsia="Arial" w:hAnsi="Arial"/>
                <w:sz w:val="18"/>
                <w:szCs w:val="18"/>
                <w:color w:val="0000FF"/>
                <w:w w:val="99"/>
              </w:rPr>
              <w:t>7</w:t>
            </w:r>
          </w:p>
        </w:tc>
        <w:tc>
          <w:tcPr>
            <w:tcW w:w="360" w:type="dxa"/>
            <w:vAlign w:val="bottom"/>
          </w:tcPr>
          <w:p>
            <w:pPr>
              <w:spacing w:after="0"/>
              <w:rPr>
                <w:sz w:val="16"/>
                <w:szCs w:val="16"/>
                <w:color w:val="auto"/>
              </w:rPr>
            </w:pPr>
          </w:p>
        </w:tc>
      </w:tr>
      <w:tr>
        <w:trPr>
          <w:trHeight w:val="925"/>
        </w:trPr>
        <w:tc>
          <w:tcPr>
            <w:tcW w:w="6420" w:type="dxa"/>
            <w:vAlign w:val="bottom"/>
            <w:gridSpan w:val="5"/>
          </w:tcPr>
          <w:p>
            <w:pPr>
              <w:jc w:val="right"/>
              <w:ind w:right="760"/>
              <w:spacing w:after="0"/>
              <w:rPr>
                <w:sz w:val="20"/>
                <w:szCs w:val="20"/>
                <w:color w:val="auto"/>
              </w:rPr>
            </w:pPr>
            <w:r>
              <w:rPr>
                <w:rFonts w:ascii="Arial" w:cs="Arial" w:eastAsia="Arial" w:hAnsi="Arial"/>
                <w:sz w:val="18"/>
                <w:szCs w:val="18"/>
                <w:color w:val="auto"/>
              </w:rPr>
              <w:t>1</w:t>
            </w: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7"/>
        </w:trPr>
        <w:tc>
          <w:tcPr>
            <w:tcW w:w="2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-1525270</wp:posOffset>
            </wp:positionV>
            <wp:extent cx="28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144"/>
        </w:trPr>
        <w:tc>
          <w:tcPr>
            <w:tcW w:w="8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rPr>
              <w:t>Cash and due from banks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10,616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9,124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Interest-bearing deposits with banks</w:t>
            </w: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106,323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41,171</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116,939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50,295</w:t>
            </w:r>
          </w:p>
        </w:tc>
        <w:tc>
          <w:tcPr>
            <w:tcW w:w="0" w:type="dxa"/>
            <w:vAlign w:val="bottom"/>
          </w:tcPr>
          <w:p>
            <w:pPr>
              <w:spacing w:after="0"/>
              <w:rPr>
                <w:sz w:val="1"/>
                <w:szCs w:val="1"/>
                <w:color w:val="auto"/>
              </w:rPr>
            </w:pPr>
          </w:p>
        </w:tc>
      </w:tr>
      <w:tr>
        <w:trPr>
          <w:trHeight w:val="18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Securities available-for-sale, at fair value</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1,362,785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1,371,757</w:t>
            </w:r>
          </w:p>
        </w:tc>
        <w:tc>
          <w:tcPr>
            <w:tcW w:w="0" w:type="dxa"/>
            <w:vAlign w:val="bottom"/>
          </w:tcPr>
          <w:p>
            <w:pPr>
              <w:spacing w:after="0"/>
              <w:rPr>
                <w:sz w:val="1"/>
                <w:szCs w:val="1"/>
                <w:color w:val="auto"/>
              </w:rPr>
            </w:pPr>
          </w:p>
        </w:tc>
      </w:tr>
      <w:tr>
        <w:trPr>
          <w:trHeight w:val="186"/>
        </w:trPr>
        <w:tc>
          <w:tcPr>
            <w:tcW w:w="8160" w:type="dxa"/>
            <w:vAlign w:val="bottom"/>
          </w:tcPr>
          <w:p>
            <w:pPr>
              <w:ind w:left="20"/>
              <w:spacing w:after="0"/>
              <w:rPr>
                <w:sz w:val="20"/>
                <w:szCs w:val="20"/>
                <w:color w:val="auto"/>
              </w:rPr>
            </w:pPr>
            <w:r>
              <w:rPr>
                <w:rFonts w:ascii="Arial" w:cs="Arial" w:eastAsia="Arial" w:hAnsi="Arial"/>
                <w:sz w:val="14"/>
                <w:szCs w:val="14"/>
                <w:color w:val="auto"/>
              </w:rPr>
              <w:t>Restricted stock, at cost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9,129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16,443</w:t>
            </w:r>
          </w:p>
        </w:tc>
        <w:tc>
          <w:tcPr>
            <w:tcW w:w="0" w:type="dxa"/>
            <w:vAlign w:val="bottom"/>
          </w:tcPr>
          <w:p>
            <w:pPr>
              <w:spacing w:after="0"/>
              <w:rPr>
                <w:sz w:val="1"/>
                <w:szCs w:val="1"/>
                <w:color w:val="auto"/>
              </w:rPr>
            </w:pPr>
          </w:p>
        </w:tc>
      </w:tr>
      <w:tr>
        <w:trPr>
          <w:trHeight w:val="18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held-for-sale, at fair value</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rPr>
              <w:t>Loans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1,951,738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1,887,221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for credit losses (a)</w:t>
            </w: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(25,704)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(21,039)</w:t>
            </w:r>
          </w:p>
        </w:tc>
        <w:tc>
          <w:tcPr>
            <w:tcW w:w="0" w:type="dxa"/>
            <w:vAlign w:val="bottom"/>
          </w:tcPr>
          <w:p>
            <w:pPr>
              <w:spacing w:after="0"/>
              <w:rPr>
                <w:sz w:val="1"/>
                <w:szCs w:val="1"/>
                <w:color w:val="auto"/>
              </w:rPr>
            </w:pPr>
          </w:p>
        </w:tc>
      </w:tr>
      <w:tr>
        <w:trPr>
          <w:trHeight w:val="193"/>
        </w:trPr>
        <w:tc>
          <w:tcPr>
            <w:tcW w:w="8160" w:type="dxa"/>
            <w:vAlign w:val="bottom"/>
          </w:tcPr>
          <w:p>
            <w:pPr>
              <w:ind w:left="20"/>
              <w:spacing w:after="0"/>
              <w:rPr>
                <w:sz w:val="20"/>
                <w:szCs w:val="20"/>
                <w:color w:val="auto"/>
              </w:rPr>
            </w:pPr>
            <w:r>
              <w:rPr>
                <w:rFonts w:ascii="Arial" w:cs="Arial" w:eastAsia="Arial" w:hAnsi="Arial"/>
                <w:sz w:val="14"/>
                <w:szCs w:val="14"/>
                <w:color w:val="auto"/>
              </w:rPr>
              <w:t>Net loans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1,926,034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1,866,182</w:t>
            </w:r>
          </w:p>
        </w:tc>
        <w:tc>
          <w:tcPr>
            <w:tcW w:w="0" w:type="dxa"/>
            <w:vAlign w:val="bottom"/>
          </w:tcPr>
          <w:p>
            <w:pPr>
              <w:spacing w:after="0"/>
              <w:rPr>
                <w:sz w:val="1"/>
                <w:szCs w:val="1"/>
                <w:color w:val="auto"/>
              </w:rPr>
            </w:pPr>
          </w:p>
        </w:tc>
      </w:tr>
      <w:tr>
        <w:trPr>
          <w:trHeight w:val="18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Premises and equipment, net</w:t>
            </w: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55,157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53,170</w:t>
            </w:r>
          </w:p>
        </w:tc>
        <w:tc>
          <w:tcPr>
            <w:tcW w:w="0" w:type="dxa"/>
            <w:vAlign w:val="bottom"/>
          </w:tcPr>
          <w:p>
            <w:pPr>
              <w:spacing w:after="0"/>
              <w:rPr>
                <w:sz w:val="1"/>
                <w:szCs w:val="1"/>
                <w:color w:val="auto"/>
              </w:rPr>
            </w:pPr>
          </w:p>
        </w:tc>
      </w:tr>
      <w:tr>
        <w:trPr>
          <w:trHeight w:val="186"/>
        </w:trPr>
        <w:tc>
          <w:tcPr>
            <w:tcW w:w="8160" w:type="dxa"/>
            <w:vAlign w:val="bottom"/>
          </w:tcPr>
          <w:p>
            <w:pPr>
              <w:ind w:left="20"/>
              <w:spacing w:after="0"/>
              <w:rPr>
                <w:sz w:val="20"/>
                <w:szCs w:val="20"/>
                <w:color w:val="auto"/>
              </w:rPr>
            </w:pPr>
            <w:r>
              <w:rPr>
                <w:rFonts w:ascii="Arial" w:cs="Arial" w:eastAsia="Arial" w:hAnsi="Arial"/>
                <w:sz w:val="14"/>
                <w:szCs w:val="14"/>
                <w:color w:val="auto"/>
              </w:rPr>
              <w:t>Accrued interest receivable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15,158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15,481</w:t>
            </w:r>
          </w:p>
        </w:tc>
        <w:tc>
          <w:tcPr>
            <w:tcW w:w="0" w:type="dxa"/>
            <w:vAlign w:val="bottom"/>
          </w:tcPr>
          <w:p>
            <w:pPr>
              <w:spacing w:after="0"/>
              <w:rPr>
                <w:sz w:val="1"/>
                <w:szCs w:val="1"/>
                <w:color w:val="auto"/>
              </w:rPr>
            </w:pPr>
          </w:p>
        </w:tc>
      </w:tr>
      <w:tr>
        <w:trPr>
          <w:trHeight w:val="186"/>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Company-owned life insurance</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93,053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92,487</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92,571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97,083</w:t>
            </w:r>
          </w:p>
        </w:tc>
        <w:tc>
          <w:tcPr>
            <w:tcW w:w="0" w:type="dxa"/>
            <w:vAlign w:val="bottom"/>
          </w:tcPr>
          <w:p>
            <w:pPr>
              <w:spacing w:after="0"/>
              <w:rPr>
                <w:sz w:val="1"/>
                <w:szCs w:val="1"/>
                <w:color w:val="auto"/>
              </w:rPr>
            </w:pPr>
          </w:p>
        </w:tc>
      </w:tr>
      <w:tr>
        <w:trPr>
          <w:trHeight w:val="185"/>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3,671,186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3,562,898</w:t>
            </w:r>
          </w:p>
        </w:tc>
        <w:tc>
          <w:tcPr>
            <w:tcW w:w="0" w:type="dxa"/>
            <w:vAlign w:val="bottom"/>
          </w:tcPr>
          <w:p>
            <w:pPr>
              <w:spacing w:after="0"/>
              <w:rPr>
                <w:sz w:val="1"/>
                <w:szCs w:val="1"/>
                <w:color w:val="auto"/>
              </w:rPr>
            </w:pPr>
          </w:p>
        </w:tc>
      </w:tr>
      <w:tr>
        <w:trPr>
          <w:trHeight w:val="132"/>
        </w:trPr>
        <w:tc>
          <w:tcPr>
            <w:tcW w:w="8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Non-interest-bearing deposits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906,723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960,692</w:t>
            </w:r>
          </w:p>
        </w:tc>
        <w:tc>
          <w:tcPr>
            <w:tcW w:w="0" w:type="dxa"/>
            <w:vAlign w:val="bottom"/>
          </w:tcPr>
          <w:p>
            <w:pPr>
              <w:spacing w:after="0"/>
              <w:rPr>
                <w:sz w:val="1"/>
                <w:szCs w:val="1"/>
                <w:color w:val="auto"/>
              </w:rPr>
            </w:pPr>
          </w:p>
        </w:tc>
      </w:tr>
      <w:tr>
        <w:trPr>
          <w:trHeight w:val="196"/>
        </w:trPr>
        <w:tc>
          <w:tcPr>
            <w:tcW w:w="8160" w:type="dxa"/>
            <w:vAlign w:val="bottom"/>
          </w:tcPr>
          <w:p>
            <w:pPr>
              <w:ind w:left="20"/>
              <w:spacing w:after="0"/>
              <w:rPr>
                <w:sz w:val="20"/>
                <w:szCs w:val="20"/>
                <w:color w:val="auto"/>
              </w:rPr>
            </w:pPr>
            <w:r>
              <w:rPr>
                <w:rFonts w:ascii="Arial" w:cs="Arial" w:eastAsia="Arial" w:hAnsi="Arial"/>
                <w:sz w:val="14"/>
                <w:szCs w:val="14"/>
                <w:color w:val="auto"/>
              </w:rPr>
              <w:t>Interest-bearing deposits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2,125,668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1,959,708</w:t>
            </w: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deposits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3,032,391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2,920,400</w:t>
            </w:r>
          </w:p>
        </w:tc>
        <w:tc>
          <w:tcPr>
            <w:tcW w:w="0" w:type="dxa"/>
            <w:vAlign w:val="bottom"/>
          </w:tcPr>
          <w:p>
            <w:pPr>
              <w:spacing w:after="0"/>
              <w:rPr>
                <w:sz w:val="1"/>
                <w:szCs w:val="1"/>
                <w:color w:val="auto"/>
              </w:rPr>
            </w:pPr>
          </w:p>
        </w:tc>
      </w:tr>
      <w:tr>
        <w:trPr>
          <w:trHeight w:val="179"/>
        </w:trPr>
        <w:tc>
          <w:tcPr>
            <w:tcW w:w="8160" w:type="dxa"/>
            <w:vAlign w:val="bottom"/>
          </w:tcPr>
          <w:p>
            <w:pPr>
              <w:ind w:left="20"/>
              <w:spacing w:after="0"/>
              <w:rPr>
                <w:sz w:val="20"/>
                <w:szCs w:val="20"/>
                <w:color w:val="auto"/>
              </w:rPr>
            </w:pPr>
            <w:r>
              <w:rPr>
                <w:rFonts w:ascii="Arial" w:cs="Arial" w:eastAsia="Arial" w:hAnsi="Arial"/>
                <w:sz w:val="14"/>
                <w:szCs w:val="14"/>
                <w:color w:val="auto"/>
              </w:rPr>
              <w:t>Borrowed funds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321,700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343,100</w:t>
            </w:r>
          </w:p>
        </w:tc>
        <w:tc>
          <w:tcPr>
            <w:tcW w:w="0" w:type="dxa"/>
            <w:vAlign w:val="bottom"/>
          </w:tcPr>
          <w:p>
            <w:pPr>
              <w:spacing w:after="0"/>
              <w:rPr>
                <w:sz w:val="1"/>
                <w:szCs w:val="1"/>
                <w:color w:val="auto"/>
              </w:rPr>
            </w:pPr>
          </w:p>
        </w:tc>
      </w:tr>
      <w:tr>
        <w:trPr>
          <w:trHeight w:val="20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and other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27,312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25,945</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3,381,403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3,289,445</w:t>
            </w:r>
          </w:p>
        </w:tc>
        <w:tc>
          <w:tcPr>
            <w:tcW w:w="0" w:type="dxa"/>
            <w:vAlign w:val="bottom"/>
          </w:tcPr>
          <w:p>
            <w:pPr>
              <w:spacing w:after="0"/>
              <w:rPr>
                <w:sz w:val="1"/>
                <w:szCs w:val="1"/>
                <w:color w:val="auto"/>
              </w:rPr>
            </w:pPr>
          </w:p>
        </w:tc>
      </w:tr>
      <w:tr>
        <w:trPr>
          <w:trHeight w:val="135"/>
        </w:trPr>
        <w:tc>
          <w:tcPr>
            <w:tcW w:w="8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rPr>
              <w:t>Commitments and contingent liabilities (see Note 10)</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Preferred Stock, $1.00 par value per share; 2,000,000 shares authorized; no shares issued or outstanding</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50"/>
        </w:trPr>
        <w:tc>
          <w:tcPr>
            <w:tcW w:w="8160" w:type="dxa"/>
            <w:vAlign w:val="bottom"/>
          </w:tcPr>
          <w:p>
            <w:pPr>
              <w:ind w:left="20"/>
              <w:spacing w:after="0" w:line="150" w:lineRule="exact"/>
              <w:rPr>
                <w:sz w:val="20"/>
                <w:szCs w:val="20"/>
                <w:color w:val="auto"/>
              </w:rPr>
            </w:pPr>
            <w:r>
              <w:rPr>
                <w:rFonts w:ascii="Arial" w:cs="Arial" w:eastAsia="Arial" w:hAnsi="Arial"/>
                <w:sz w:val="14"/>
                <w:szCs w:val="14"/>
                <w:color w:val="auto"/>
                <w:w w:val="99"/>
              </w:rPr>
              <w:t>$0.50 par value; 20,000,000 shares authorized and 8,000,000 issued at March 31, 2023, and December 31, 2022; 7,427,840 shares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160" w:type="dxa"/>
            <w:vAlign w:val="bottom"/>
          </w:tcPr>
          <w:p>
            <w:pPr>
              <w:ind w:left="180"/>
              <w:spacing w:after="0"/>
              <w:rPr>
                <w:sz w:val="20"/>
                <w:szCs w:val="20"/>
                <w:color w:val="auto"/>
              </w:rPr>
            </w:pPr>
            <w:r>
              <w:rPr>
                <w:rFonts w:ascii="Arial" w:cs="Arial" w:eastAsia="Arial" w:hAnsi="Arial"/>
                <w:sz w:val="14"/>
                <w:szCs w:val="14"/>
                <w:color w:val="auto"/>
              </w:rPr>
              <w:t>outstanding at March 31, 2023, and 7,425,760 shares outstanding at December 31, 2022</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12,686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12,282</w:t>
            </w:r>
          </w:p>
        </w:tc>
        <w:tc>
          <w:tcPr>
            <w:tcW w:w="0" w:type="dxa"/>
            <w:vAlign w:val="bottom"/>
          </w:tcPr>
          <w:p>
            <w:pPr>
              <w:spacing w:after="0"/>
              <w:rPr>
                <w:sz w:val="1"/>
                <w:szCs w:val="1"/>
                <w:color w:val="auto"/>
              </w:rPr>
            </w:pP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424,532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424,391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(139,495)</w:t>
            </w:r>
          </w:p>
        </w:tc>
        <w:tc>
          <w:tcPr>
            <w:tcW w:w="0" w:type="dxa"/>
            <w:vAlign w:val="bottom"/>
          </w:tcPr>
          <w:p>
            <w:pPr>
              <w:spacing w:after="0"/>
              <w:rPr>
                <w:sz w:val="1"/>
                <w:szCs w:val="1"/>
                <w:color w:val="auto"/>
              </w:rPr>
            </w:pPr>
          </w:p>
        </w:tc>
      </w:tr>
      <w:tr>
        <w:trPr>
          <w:trHeight w:val="182"/>
        </w:trPr>
        <w:tc>
          <w:tcPr>
            <w:tcW w:w="8160" w:type="dxa"/>
            <w:vAlign w:val="bottom"/>
          </w:tcPr>
          <w:p>
            <w:pPr>
              <w:ind w:left="20"/>
              <w:spacing w:after="0"/>
              <w:rPr>
                <w:sz w:val="20"/>
                <w:szCs w:val="20"/>
                <w:color w:val="auto"/>
              </w:rPr>
            </w:pPr>
            <w:r>
              <w:rPr>
                <w:rFonts w:ascii="Arial" w:cs="Arial" w:eastAsia="Arial" w:hAnsi="Arial"/>
                <w:sz w:val="14"/>
                <w:szCs w:val="14"/>
                <w:color w:val="auto"/>
              </w:rPr>
              <w:t>Treasury stock</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(27,626)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(27,725)</w:t>
            </w:r>
          </w:p>
        </w:tc>
        <w:tc>
          <w:tcPr>
            <w:tcW w:w="0" w:type="dxa"/>
            <w:vAlign w:val="bottom"/>
          </w:tcPr>
          <w:p>
            <w:pPr>
              <w:spacing w:after="0"/>
              <w:rPr>
                <w:sz w:val="1"/>
                <w:szCs w:val="1"/>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4"/>
                <w:szCs w:val="14"/>
                <w:color w:val="auto"/>
              </w:rPr>
              <w:t>572,160 shares, at cost, at March 31, 2023, and 574,240 shares, at cost, at December 31, 2022</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289,783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273,453</w:t>
            </w:r>
          </w:p>
        </w:tc>
        <w:tc>
          <w:tcPr>
            <w:tcW w:w="0" w:type="dxa"/>
            <w:vAlign w:val="bottom"/>
          </w:tcPr>
          <w:p>
            <w:pPr>
              <w:spacing w:after="0"/>
              <w:rPr>
                <w:sz w:val="1"/>
                <w:szCs w:val="1"/>
                <w:color w:val="auto"/>
              </w:rPr>
            </w:pPr>
          </w:p>
        </w:tc>
      </w:tr>
      <w:tr>
        <w:trPr>
          <w:trHeight w:val="176"/>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3,671,186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3,562,898</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20" w:firstLine="8"/>
        <w:spacing w:after="0" w:line="272" w:lineRule="auto"/>
        <w:tabs>
          <w:tab w:leader="none" w:pos="188"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Amount at March 31, 2023, reflects the impact of adopting Accounting Standards update 2016-13 - Financial Instruments - Credit Losses, which is commonly referred to as the Current Expected Credit Losses (CECL) standard, and our transition from an incurred loss methodology for these reserves to an expected credit loss methodology. Prior period amounts represent Allowance for Loan and Lease Losses (ALLL) under the incurred loss methodology. See </w:t>
      </w:r>
      <w:r>
        <w:rPr>
          <w:rFonts w:ascii="Arial" w:cs="Arial" w:eastAsia="Arial" w:hAnsi="Arial"/>
          <w:sz w:val="14"/>
          <w:szCs w:val="14"/>
          <w:u w:val="single" w:color="auto"/>
          <w:color w:val="0000FF"/>
        </w:rPr>
        <w:t>Note 1 - Nature of Business Activities and Significant Accounting Policies</w:t>
      </w:r>
      <w:r>
        <w:rPr>
          <w:rFonts w:ascii="Arial" w:cs="Arial" w:eastAsia="Arial" w:hAnsi="Arial"/>
          <w:sz w:val="14"/>
          <w:szCs w:val="14"/>
          <w:color w:val="auto"/>
        </w:rPr>
        <w:t xml:space="preserve"> in Notes to Consolidated Financial Statements for additional information related to our adoption of this standard.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6"/>
                <w:szCs w:val="16"/>
                <w:color w:val="auto"/>
              </w:rPr>
            </w:pPr>
          </w:p>
        </w:tc>
      </w:tr>
      <w:tr>
        <w:trPr>
          <w:trHeight w:val="208"/>
        </w:trPr>
        <w:tc>
          <w:tcPr>
            <w:tcW w:w="8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8"/>
                <w:szCs w:val="18"/>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9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Loans, including fees</w:t>
            </w:r>
          </w:p>
        </w:tc>
        <w:tc>
          <w:tcPr>
            <w:tcW w:w="900" w:type="dxa"/>
            <w:vAlign w:val="bottom"/>
          </w:tcPr>
          <w:p>
            <w:pPr>
              <w:jc w:val="right"/>
              <w:ind w:right="71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22,760</w:t>
            </w:r>
          </w:p>
        </w:tc>
        <w:tc>
          <w:tcPr>
            <w:tcW w:w="10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16,450</w:t>
            </w: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Taxable securities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Tax-exempt securities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2,426</w:t>
            </w:r>
          </w:p>
        </w:tc>
      </w:tr>
      <w:tr>
        <w:trPr>
          <w:trHeight w:val="23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interest income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interest income</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34,328</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24,252</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Deposits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Borrowed funds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4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interest expense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9,554</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24,774</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23,471</w:t>
            </w:r>
          </w:p>
        </w:tc>
      </w:tr>
      <w:tr>
        <w:trPr>
          <w:trHeight w:val="263"/>
        </w:trPr>
        <w:tc>
          <w:tcPr>
            <w:tcW w:w="8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Provision for (recapture of) credit losses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(2,638)</w:t>
            </w:r>
          </w:p>
        </w:tc>
      </w:tr>
      <w:tr>
        <w:trPr>
          <w:trHeight w:val="22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 after credit loss expense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24,259</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26,109</w:t>
            </w:r>
          </w:p>
        </w:tc>
      </w:tr>
      <w:tr>
        <w:trPr>
          <w:trHeight w:val="263"/>
        </w:trPr>
        <w:tc>
          <w:tcPr>
            <w:tcW w:w="8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income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8"/>
                <w:szCs w:val="18"/>
                <w:color w:val="auto"/>
              </w:rPr>
              <w:t>Fiduciary and wealth management</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1,305</w:t>
            </w:r>
          </w:p>
        </w:tc>
      </w:tr>
      <w:tr>
        <w:trPr>
          <w:trHeight w:val="236"/>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charges and fees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Net gains (losses) on securities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life insurance</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non-interest income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r>
      <w:tr>
        <w:trPr>
          <w:trHeight w:val="22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non-interest income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r>
      <w:tr>
        <w:trPr>
          <w:trHeight w:val="263"/>
        </w:trPr>
        <w:tc>
          <w:tcPr>
            <w:tcW w:w="8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Salaries and wages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9,494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9,529</w:t>
            </w:r>
          </w:p>
        </w:tc>
      </w:tr>
      <w:tr>
        <w:trPr>
          <w:trHeight w:val="24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Pensions and other employee benefits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Occupancy</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1,546</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rentals, depreciation and maintenance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r>
      <w:tr>
        <w:trPr>
          <w:trHeight w:val="24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w:t>
            </w:r>
          </w:p>
        </w:tc>
      </w:tr>
      <w:tr>
        <w:trPr>
          <w:trHeight w:val="22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non-interest expense</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20,365</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19,165</w:t>
            </w:r>
          </w:p>
        </w:tc>
      </w:tr>
      <w:tr>
        <w:trPr>
          <w:trHeight w:val="263"/>
        </w:trPr>
        <w:tc>
          <w:tcPr>
            <w:tcW w:w="8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11,059</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1,933</w:t>
            </w:r>
          </w:p>
        </w:tc>
      </w:tr>
      <w:tr>
        <w:trPr>
          <w:trHeight w:val="270"/>
        </w:trPr>
        <w:tc>
          <w:tcPr>
            <w:tcW w:w="8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r>
      <w:tr>
        <w:trPr>
          <w:trHeight w:val="22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bottom w:val="single" w:sz="8" w:color="auto"/>
            </w:tcBorders>
          </w:tcPr>
          <w:p>
            <w:pPr>
              <w:jc w:val="right"/>
              <w:ind w:right="717"/>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9,126</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Basic</w:t>
            </w:r>
          </w:p>
        </w:tc>
        <w:tc>
          <w:tcPr>
            <w:tcW w:w="900" w:type="dxa"/>
            <w:vAlign w:val="bottom"/>
          </w:tcPr>
          <w:p>
            <w:pPr>
              <w:jc w:val="right"/>
              <w:ind w:right="71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0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bl>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080" w:type="dxa"/>
            <w:vAlign w:val="bottom"/>
            <w:gridSpan w:val="5"/>
          </w:tcPr>
          <w:p>
            <w:pPr>
              <w:jc w:val="right"/>
              <w:ind w:right="49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gridSpan w:val="3"/>
          </w:tcPr>
          <w:p>
            <w:pPr>
              <w:spacing w:after="0"/>
              <w:rPr>
                <w:sz w:val="20"/>
                <w:szCs w:val="20"/>
                <w:color w:val="auto"/>
              </w:rPr>
            </w:pPr>
            <w:r>
              <w:rPr>
                <w:rFonts w:ascii="Arial" w:cs="Arial" w:eastAsia="Arial" w:hAnsi="Arial"/>
                <w:sz w:val="18"/>
                <w:szCs w:val="18"/>
                <w:color w:val="auto"/>
              </w:rPr>
              <w:t>Other comprehensive income (loss), net of tax:</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9"/>
              </w:rPr>
              <w:t>Unrealized gains (losses) on securities:</w:t>
            </w:r>
          </w:p>
        </w:tc>
        <w:tc>
          <w:tcPr>
            <w:tcW w:w="5320" w:type="dxa"/>
            <w:vAlign w:val="bottom"/>
            <w:tcBorders>
              <w:bottom w:val="single" w:sz="8" w:color="CCEEFF"/>
            </w:tcBorders>
            <w:gridSpan w:val="2"/>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140" w:type="dxa"/>
            <w:vAlign w:val="bottom"/>
            <w:gridSpan w:val="3"/>
          </w:tcPr>
          <w:p>
            <w:pPr>
              <w:ind w:left="220"/>
              <w:spacing w:after="0" w:line="189" w:lineRule="exact"/>
              <w:rPr>
                <w:sz w:val="20"/>
                <w:szCs w:val="20"/>
                <w:color w:val="auto"/>
              </w:rPr>
            </w:pPr>
            <w:r>
              <w:rPr>
                <w:rFonts w:ascii="Arial" w:cs="Arial" w:eastAsia="Arial" w:hAnsi="Arial"/>
                <w:sz w:val="18"/>
                <w:szCs w:val="18"/>
                <w:color w:val="auto"/>
                <w:w w:val="97"/>
              </w:rPr>
              <w:t>Unrealized gain (loss) arising during period, net of tax of ($4,577) for March 31, 2023, and $16,962 for</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rPr>
              <w:t>March 31, 2022</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17,218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(63,808)</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14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Reclassification adjustment for loss (gain) on securities, net of tax of $— for March 31, 2023, and $22 for</w:t>
            </w:r>
          </w:p>
        </w:tc>
        <w:tc>
          <w:tcPr>
            <w:tcW w:w="9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1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March 31, 2022</w:t>
            </w:r>
          </w:p>
        </w:tc>
        <w:tc>
          <w:tcPr>
            <w:tcW w:w="90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4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3"/>
              </w:rPr>
              <w:t>Reclassification adjustment for loss (gain) on a fair value hedge, net of tax of $496 for March 31, 2023, $—</w:t>
            </w:r>
          </w:p>
        </w:tc>
        <w:tc>
          <w:tcPr>
            <w:tcW w:w="9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4"/>
              </w:rPr>
              <w:t>(1,866)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rPr>
              <w:t>for March 31, 2022</w:t>
            </w:r>
          </w:p>
        </w:tc>
        <w:tc>
          <w:tcPr>
            <w:tcW w:w="9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0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Unrealized gain (loss) on cash flow hedge</w:t>
            </w:r>
          </w:p>
        </w:tc>
        <w:tc>
          <w:tcPr>
            <w:tcW w:w="5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4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6"/>
              </w:rPr>
              <w:t>Unrealized holding gain (loss) on cash flow hedge, net of tax of ($13) for March 31, 2023, and $133 for</w:t>
            </w:r>
          </w:p>
        </w:tc>
        <w:tc>
          <w:tcPr>
            <w:tcW w:w="9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40" w:type="dxa"/>
            <w:vAlign w:val="bottom"/>
            <w:gridSpan w:val="3"/>
          </w:tcPr>
          <w:p>
            <w:pPr>
              <w:ind w:left="380"/>
              <w:spacing w:after="0"/>
              <w:rPr>
                <w:sz w:val="20"/>
                <w:szCs w:val="20"/>
                <w:color w:val="auto"/>
              </w:rPr>
            </w:pPr>
            <w:r>
              <w:rPr>
                <w:rFonts w:ascii="Arial" w:cs="Arial" w:eastAsia="Arial" w:hAnsi="Arial"/>
                <w:sz w:val="18"/>
                <w:szCs w:val="18"/>
                <w:color w:val="auto"/>
              </w:rPr>
              <w:t>March 31, 2022</w:t>
            </w:r>
          </w:p>
        </w:tc>
        <w:tc>
          <w:tcPr>
            <w:tcW w:w="9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814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8"/>
                <w:szCs w:val="18"/>
                <w:color w:val="auto"/>
                <w:w w:val="94"/>
              </w:rPr>
              <w:t>Reclassification adjustment for losses (gains) included in net income, net of tax ($76) for March 31, 2023,</w:t>
            </w:r>
          </w:p>
        </w:tc>
        <w:tc>
          <w:tcPr>
            <w:tcW w:w="9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81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and $16 for March 31, 2022</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20"/>
                <w:szCs w:val="20"/>
                <w:color w:val="auto"/>
              </w:rPr>
            </w:pPr>
          </w:p>
        </w:tc>
        <w:tc>
          <w:tcPr>
            <w:tcW w:w="81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other comprehensive income (loss)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15,686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(64,452)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81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Comprehensive income (loss)</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23,210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(55,326)</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0" w:type="dxa"/>
            <w:vAlign w:val="bottom"/>
          </w:tcPr>
          <w:p>
            <w:pPr>
              <w:spacing w:after="0"/>
              <w:rPr>
                <w:sz w:val="15"/>
                <w:szCs w:val="15"/>
                <w:color w:val="auto"/>
              </w:rPr>
            </w:pPr>
          </w:p>
        </w:tc>
        <w:tc>
          <w:tcPr>
            <w:tcW w:w="242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5"/>
              </w:rPr>
              <w:t>Shares Outstanding</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1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right"/>
              <w:ind w:right="30"/>
              <w:spacing w:after="0" w:line="135" w:lineRule="exact"/>
              <w:rPr>
                <w:sz w:val="20"/>
                <w:szCs w:val="20"/>
                <w:color w:val="auto"/>
              </w:rPr>
            </w:pPr>
            <w:r>
              <w:rPr>
                <w:rFonts w:ascii="Arial" w:cs="Arial" w:eastAsia="Arial" w:hAnsi="Arial"/>
                <w:sz w:val="13"/>
                <w:szCs w:val="13"/>
                <w:b w:val="1"/>
                <w:bCs w:val="1"/>
                <w:color w:val="auto"/>
                <w:w w:val="90"/>
              </w:rPr>
              <w:t>Additional Paid-in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ind w:right="290"/>
              <w:spacing w:after="0" w:line="13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w w:val="90"/>
              </w:rPr>
              <w:t>Comprehensive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ind w:right="290"/>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ind w:right="169"/>
              <w:spacing w:after="0" w:line="135" w:lineRule="exact"/>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w w:val="95"/>
              </w:rPr>
              <w:t>Income (Loss)</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7,425,760</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12,282</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424,391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(139,495)</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(27,725)</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273,453</w:t>
            </w:r>
          </w:p>
        </w:tc>
        <w:tc>
          <w:tcPr>
            <w:tcW w:w="0" w:type="dxa"/>
            <w:vAlign w:val="bottom"/>
          </w:tcPr>
          <w:p>
            <w:pPr>
              <w:spacing w:after="0"/>
              <w:rPr>
                <w:sz w:val="1"/>
                <w:szCs w:val="1"/>
                <w:color w:val="auto"/>
              </w:rPr>
            </w:pPr>
          </w:p>
        </w:tc>
      </w:tr>
      <w:tr>
        <w:trPr>
          <w:trHeight w:val="135"/>
        </w:trPr>
        <w:tc>
          <w:tcPr>
            <w:tcW w:w="2200" w:type="dxa"/>
            <w:vAlign w:val="bottom"/>
          </w:tcPr>
          <w:p>
            <w:pPr>
              <w:ind w:left="240"/>
              <w:spacing w:after="0" w:line="135" w:lineRule="exact"/>
              <w:rPr>
                <w:sz w:val="20"/>
                <w:szCs w:val="20"/>
                <w:color w:val="auto"/>
              </w:rPr>
            </w:pPr>
            <w:r>
              <w:rPr>
                <w:rFonts w:ascii="Arial" w:cs="Arial" w:eastAsia="Arial" w:hAnsi="Arial"/>
                <w:sz w:val="14"/>
                <w:szCs w:val="14"/>
                <w:color w:val="auto"/>
              </w:rPr>
              <w:t>Cumulative effect adjustment</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200" w:type="dxa"/>
            <w:vAlign w:val="bottom"/>
          </w:tcPr>
          <w:p>
            <w:pPr>
              <w:ind w:left="240"/>
              <w:spacing w:after="0" w:line="143" w:lineRule="exact"/>
              <w:rPr>
                <w:sz w:val="20"/>
                <w:szCs w:val="20"/>
                <w:color w:val="auto"/>
              </w:rPr>
            </w:pPr>
            <w:r>
              <w:rPr>
                <w:rFonts w:ascii="Arial" w:cs="Arial" w:eastAsia="Arial" w:hAnsi="Arial"/>
                <w:sz w:val="14"/>
                <w:szCs w:val="14"/>
                <w:color w:val="auto"/>
                <w:w w:val="95"/>
              </w:rPr>
              <w:t>due to the adoption of CECL, net</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00" w:type="dxa"/>
            <w:vAlign w:val="bottom"/>
          </w:tcPr>
          <w:p>
            <w:pPr>
              <w:ind w:left="240"/>
              <w:spacing w:after="0"/>
              <w:rPr>
                <w:sz w:val="20"/>
                <w:szCs w:val="20"/>
                <w:color w:val="auto"/>
              </w:rPr>
            </w:pPr>
            <w:r>
              <w:rPr>
                <w:rFonts w:ascii="Arial" w:cs="Arial" w:eastAsia="Arial" w:hAnsi="Arial"/>
                <w:sz w:val="14"/>
                <w:szCs w:val="14"/>
                <w:color w:val="auto"/>
              </w:rPr>
              <w:t>of tax</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(3,439)</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7,524</w:t>
            </w:r>
          </w:p>
        </w:tc>
        <w:tc>
          <w:tcPr>
            <w:tcW w:w="0" w:type="dxa"/>
            <w:vAlign w:val="bottom"/>
          </w:tcPr>
          <w:p>
            <w:pPr>
              <w:spacing w:after="0"/>
              <w:rPr>
                <w:sz w:val="1"/>
                <w:szCs w:val="1"/>
                <w:color w:val="auto"/>
              </w:rPr>
            </w:pPr>
          </w:p>
        </w:tc>
      </w:tr>
      <w:tr>
        <w:trPr>
          <w:trHeight w:val="143"/>
        </w:trPr>
        <w:tc>
          <w:tcPr>
            <w:tcW w:w="2200" w:type="dxa"/>
            <w:vAlign w:val="bottom"/>
          </w:tcPr>
          <w:p>
            <w:pPr>
              <w:ind w:left="240"/>
              <w:spacing w:after="0" w:line="143" w:lineRule="exact"/>
              <w:rPr>
                <w:sz w:val="20"/>
                <w:szCs w:val="20"/>
                <w:color w:val="auto"/>
              </w:rPr>
            </w:pPr>
            <w:r>
              <w:rPr>
                <w:rFonts w:ascii="Arial" w:cs="Arial" w:eastAsia="Arial" w:hAnsi="Arial"/>
                <w:sz w:val="14"/>
                <w:szCs w:val="14"/>
                <w:color w:val="auto"/>
              </w:rPr>
              <w:t>Other comprehensive income</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00" w:type="dxa"/>
            <w:vAlign w:val="bottom"/>
          </w:tcPr>
          <w:p>
            <w:pPr>
              <w:ind w:left="240"/>
              <w:spacing w:after="0"/>
              <w:rPr>
                <w:sz w:val="20"/>
                <w:szCs w:val="20"/>
                <w:color w:val="auto"/>
              </w:rPr>
            </w:pPr>
            <w:r>
              <w:rPr>
                <w:rFonts w:ascii="Arial" w:cs="Arial" w:eastAsia="Arial" w:hAnsi="Arial"/>
                <w:sz w:val="14"/>
                <w:szCs w:val="14"/>
                <w:color w:val="auto"/>
              </w:rPr>
              <w:t>(loss)</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15,686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15,686</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2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w w:val="93"/>
              </w:rPr>
              <w:t>(Purchase) sale of treasury stock,</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w:t>
            </w:r>
          </w:p>
        </w:tc>
        <w:tc>
          <w:tcPr>
            <w:tcW w:w="11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00" w:type="dxa"/>
            <w:vAlign w:val="bottom"/>
          </w:tcPr>
          <w:p>
            <w:pPr>
              <w:ind w:left="240"/>
              <w:spacing w:after="0"/>
              <w:rPr>
                <w:sz w:val="20"/>
                <w:szCs w:val="20"/>
                <w:color w:val="auto"/>
              </w:rPr>
            </w:pPr>
            <w:r>
              <w:rPr>
                <w:rFonts w:ascii="Arial" w:cs="Arial" w:eastAsia="Arial" w:hAnsi="Arial"/>
                <w:sz w:val="14"/>
                <w:szCs w:val="14"/>
                <w:color w:val="auto"/>
              </w:rPr>
              <w:t>Cash dividends, declared</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(3,936)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200" w:type="dxa"/>
            <w:vAlign w:val="bottom"/>
            <w:shd w:val="clear" w:color="auto" w:fill="CCEEFF"/>
          </w:tcPr>
          <w:p>
            <w:pPr>
              <w:ind w:left="240"/>
              <w:spacing w:after="0" w:line="135" w:lineRule="exact"/>
              <w:rPr>
                <w:sz w:val="20"/>
                <w:szCs w:val="20"/>
                <w:color w:val="auto"/>
              </w:rPr>
            </w:pPr>
            <w:r>
              <w:rPr>
                <w:rFonts w:ascii="Arial" w:cs="Arial" w:eastAsia="Arial" w:hAnsi="Arial"/>
                <w:sz w:val="14"/>
                <w:szCs w:val="14"/>
                <w:color w:val="auto"/>
              </w:rPr>
              <w:t>Share-based compensation</w:t>
            </w: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03"/>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expense, net</w:t>
            </w: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7,427,840</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12,686</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424,532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(123,809)</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(27,626)</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289,783</w:t>
            </w:r>
          </w:p>
        </w:tc>
        <w:tc>
          <w:tcPr>
            <w:tcW w:w="0" w:type="dxa"/>
            <w:vAlign w:val="bottom"/>
          </w:tcPr>
          <w:p>
            <w:pPr>
              <w:spacing w:after="0"/>
              <w:rPr>
                <w:sz w:val="1"/>
                <w:szCs w:val="1"/>
                <w:color w:val="auto"/>
              </w:rPr>
            </w:pPr>
          </w:p>
        </w:tc>
      </w:tr>
      <w:tr>
        <w:trPr>
          <w:trHeight w:val="213"/>
        </w:trPr>
        <w:tc>
          <w:tcPr>
            <w:tcW w:w="2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120" w:type="dxa"/>
            <w:vAlign w:val="bottom"/>
          </w:tcPr>
          <w:p>
            <w:pPr>
              <w:jc w:val="right"/>
              <w:spacing w:after="0"/>
              <w:rPr>
                <w:sz w:val="20"/>
                <w:szCs w:val="20"/>
                <w:color w:val="auto"/>
              </w:rPr>
            </w:pPr>
            <w:r>
              <w:rPr>
                <w:rFonts w:ascii="Arial" w:cs="Arial" w:eastAsia="Arial" w:hAnsi="Arial"/>
                <w:sz w:val="14"/>
                <w:szCs w:val="14"/>
                <w:color w:val="auto"/>
              </w:rPr>
              <w:t>7,423,760</w:t>
            </w: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10,374</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396,120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6,955</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(27,822)</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389,627</w:t>
            </w:r>
          </w:p>
        </w:tc>
        <w:tc>
          <w:tcPr>
            <w:tcW w:w="0" w:type="dxa"/>
            <w:vAlign w:val="bottom"/>
          </w:tcPr>
          <w:p>
            <w:pPr>
              <w:spacing w:after="0"/>
              <w:rPr>
                <w:sz w:val="1"/>
                <w:szCs w:val="1"/>
                <w:color w:val="auto"/>
              </w:rPr>
            </w:pPr>
          </w:p>
        </w:tc>
      </w:tr>
      <w:tr>
        <w:trPr>
          <w:trHeight w:val="184"/>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income</w:t>
            </w: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9,126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9,126</w:t>
            </w:r>
          </w:p>
        </w:tc>
        <w:tc>
          <w:tcPr>
            <w:tcW w:w="0" w:type="dxa"/>
            <w:vAlign w:val="bottom"/>
          </w:tcPr>
          <w:p>
            <w:pPr>
              <w:spacing w:after="0"/>
              <w:rPr>
                <w:sz w:val="1"/>
                <w:szCs w:val="1"/>
                <w:color w:val="auto"/>
              </w:rPr>
            </w:pPr>
          </w:p>
        </w:tc>
      </w:tr>
      <w:tr>
        <w:trPr>
          <w:trHeight w:val="143"/>
        </w:trPr>
        <w:tc>
          <w:tcPr>
            <w:tcW w:w="2200" w:type="dxa"/>
            <w:vAlign w:val="bottom"/>
          </w:tcPr>
          <w:p>
            <w:pPr>
              <w:ind w:left="240"/>
              <w:spacing w:after="0" w:line="143" w:lineRule="exact"/>
              <w:rPr>
                <w:sz w:val="20"/>
                <w:szCs w:val="20"/>
                <w:color w:val="auto"/>
              </w:rPr>
            </w:pPr>
            <w:r>
              <w:rPr>
                <w:rFonts w:ascii="Arial" w:cs="Arial" w:eastAsia="Arial" w:hAnsi="Arial"/>
                <w:sz w:val="14"/>
                <w:szCs w:val="14"/>
                <w:color w:val="auto"/>
              </w:rPr>
              <w:t>Other comprehensive income</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00" w:type="dxa"/>
            <w:vAlign w:val="bottom"/>
          </w:tcPr>
          <w:p>
            <w:pPr>
              <w:ind w:left="240"/>
              <w:spacing w:after="0"/>
              <w:rPr>
                <w:sz w:val="20"/>
                <w:szCs w:val="20"/>
                <w:color w:val="auto"/>
              </w:rPr>
            </w:pPr>
            <w:r>
              <w:rPr>
                <w:rFonts w:ascii="Arial" w:cs="Arial" w:eastAsia="Arial" w:hAnsi="Arial"/>
                <w:sz w:val="14"/>
                <w:szCs w:val="14"/>
                <w:color w:val="auto"/>
              </w:rPr>
              <w:t>(loss)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(64,452)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(64,452)</w:t>
            </w: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3"/>
              </w:rPr>
              <w:t>(Purchase) sale of treasury stock,</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2200" w:type="dxa"/>
            <w:vAlign w:val="bottom"/>
          </w:tcPr>
          <w:p>
            <w:pPr>
              <w:ind w:left="240"/>
              <w:spacing w:after="0"/>
              <w:rPr>
                <w:sz w:val="20"/>
                <w:szCs w:val="20"/>
                <w:color w:val="auto"/>
              </w:rPr>
            </w:pPr>
            <w:r>
              <w:rPr>
                <w:rFonts w:ascii="Arial" w:cs="Arial" w:eastAsia="Arial" w:hAnsi="Arial"/>
                <w:sz w:val="14"/>
                <w:szCs w:val="14"/>
                <w:color w:val="auto"/>
              </w:rPr>
              <w:t>Cash dividends, declared</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(3,935)</w:t>
            </w:r>
          </w:p>
        </w:tc>
        <w:tc>
          <w:tcPr>
            <w:tcW w:w="0" w:type="dxa"/>
            <w:vAlign w:val="bottom"/>
          </w:tcPr>
          <w:p>
            <w:pPr>
              <w:spacing w:after="0"/>
              <w:rPr>
                <w:sz w:val="1"/>
                <w:szCs w:val="1"/>
                <w:color w:val="auto"/>
              </w:rPr>
            </w:pPr>
          </w:p>
        </w:tc>
      </w:tr>
      <w:tr>
        <w:trPr>
          <w:trHeight w:val="147"/>
        </w:trPr>
        <w:tc>
          <w:tcPr>
            <w:tcW w:w="2200" w:type="dxa"/>
            <w:vAlign w:val="bottom"/>
            <w:shd w:val="clear" w:color="auto" w:fill="CCEEFF"/>
          </w:tcPr>
          <w:p>
            <w:pPr>
              <w:ind w:left="240"/>
              <w:spacing w:after="0" w:line="147" w:lineRule="exact"/>
              <w:rPr>
                <w:sz w:val="20"/>
                <w:szCs w:val="20"/>
                <w:color w:val="auto"/>
              </w:rPr>
            </w:pPr>
            <w:r>
              <w:rPr>
                <w:rFonts w:ascii="Arial" w:cs="Arial" w:eastAsia="Arial" w:hAnsi="Arial"/>
                <w:sz w:val="14"/>
                <w:szCs w:val="14"/>
                <w:color w:val="auto"/>
              </w:rPr>
              <w:t>Share-based compensation</w:t>
            </w: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88"/>
        </w:trPr>
        <w:tc>
          <w:tcPr>
            <w:tcW w:w="2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expense, net</w:t>
            </w:r>
          </w:p>
        </w:tc>
        <w:tc>
          <w:tcPr>
            <w:tcW w:w="1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7,424,320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401,311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(57,497)</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(27,795)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330,910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3080" w:type="dxa"/>
            <w:vAlign w:val="bottom"/>
            <w:gridSpan w:val="5"/>
          </w:tcPr>
          <w:p>
            <w:pPr>
              <w:jc w:val="right"/>
              <w:ind w:right="499"/>
              <w:spacing w:after="0"/>
              <w:rPr>
                <w:sz w:val="20"/>
                <w:szCs w:val="20"/>
                <w:color w:val="auto"/>
              </w:rPr>
            </w:pPr>
            <w:r>
              <w:rPr>
                <w:rFonts w:ascii="Arial" w:cs="Arial" w:eastAsia="Arial" w:hAnsi="Arial"/>
                <w:sz w:val="14"/>
                <w:szCs w:val="14"/>
                <w:b w:val="1"/>
                <w:bCs w:val="1"/>
                <w:color w:val="auto"/>
              </w:rPr>
              <w:t>Three months ended March 31,</w:t>
            </w:r>
          </w:p>
        </w:tc>
      </w:tr>
      <w:tr>
        <w:trPr>
          <w:trHeight w:val="208"/>
        </w:trPr>
        <w:tc>
          <w:tcPr>
            <w:tcW w:w="8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16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7,524</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9,126</w:t>
            </w: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Depreciation and amortization of fixed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777</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housing tax credits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Realized (gain) on sales of available-for-sale securities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Provision for (recapture of) credit losses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Income from Company-owned life insurance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(537)</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tax (benefit)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Loss on Disposal of fixed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Accretion of securities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Amortization of securities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2,906</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Share-based compensation expense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Repayment of operating lease liabilities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(Gain) on loans held for sale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Proceeds from sale of loans held-for-sale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2,604</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 in fair value of loans held-for-sale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Originations of loans held-for-sale</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(1,326)</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(Increase) decrease in accrued interest receivable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(Increase) decrease in other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4,027</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Increase (decrease) in accrued interest payable and other liabilities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w:t>
            </w:r>
          </w:p>
        </w:tc>
      </w:tr>
      <w:tr>
        <w:trPr>
          <w:trHeight w:val="206"/>
        </w:trPr>
        <w:tc>
          <w:tcPr>
            <w:tcW w:w="8160" w:type="dxa"/>
            <w:vAlign w:val="bottom"/>
          </w:tcPr>
          <w:p>
            <w:pPr>
              <w:ind w:left="680"/>
              <w:spacing w:after="0"/>
              <w:rPr>
                <w:sz w:val="20"/>
                <w:szCs w:val="20"/>
                <w:color w:val="auto"/>
              </w:rPr>
            </w:pPr>
            <w:r>
              <w:rPr>
                <w:rFonts w:ascii="Arial" w:cs="Arial" w:eastAsia="Arial" w:hAnsi="Arial"/>
                <w:sz w:val="16"/>
                <w:szCs w:val="16"/>
                <w:color w:val="auto"/>
              </w:rPr>
              <w:t>Net cash flows provided by operating activities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10,926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14,195</w:t>
            </w:r>
          </w:p>
        </w:tc>
      </w:tr>
      <w:tr>
        <w:trPr>
          <w:trHeight w:val="199"/>
        </w:trPr>
        <w:tc>
          <w:tcPr>
            <w:tcW w:w="8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maturities, prepayments, and calls of securities available-for-sale, net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66,373</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Proceeds from sale of securities available-for-sale, net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87,033</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securities available-for-sale, net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(158,035)</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Sales of restricted stock</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22,232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2,250</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Purchases of restricted stock</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(14,918)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Purchases of property and equipment, net of disposals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 of) company-owned life insurance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8160" w:type="dxa"/>
            <w:vAlign w:val="bottom"/>
          </w:tcPr>
          <w:p>
            <w:pPr>
              <w:ind w:left="460"/>
              <w:spacing w:after="0"/>
              <w:rPr>
                <w:sz w:val="20"/>
                <w:szCs w:val="20"/>
                <w:color w:val="auto"/>
              </w:rPr>
            </w:pPr>
            <w:r>
              <w:rPr>
                <w:rFonts w:ascii="Arial" w:cs="Arial" w:eastAsia="Arial" w:hAnsi="Arial"/>
                <w:sz w:val="16"/>
                <w:szCs w:val="16"/>
                <w:color w:val="auto"/>
              </w:rPr>
              <w:t>(Increase) in loans made to customers, net</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(64,517)</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(15,235)</w:t>
            </w:r>
          </w:p>
        </w:tc>
      </w:tr>
      <w:tr>
        <w:trPr>
          <w:trHeight w:val="210"/>
        </w:trPr>
        <w:tc>
          <w:tcPr>
            <w:tcW w:w="8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flows (used in) investing activities</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(30,997)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(18,193)</w:t>
            </w:r>
          </w:p>
        </w:tc>
      </w:tr>
      <w:tr>
        <w:trPr>
          <w:trHeight w:val="210"/>
        </w:trPr>
        <w:tc>
          <w:tcPr>
            <w:tcW w:w="8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Net increase (decrease) in non-interest-bearing accounts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(53,969)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34,634</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increase in interest-bearing accounts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165,960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5,567</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(Decrease) in other short-term borrowings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(21,400)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Repayment of finance lease liabilities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8160" w:type="dxa"/>
            <w:vAlign w:val="bottom"/>
          </w:tcPr>
          <w:p>
            <w:pPr>
              <w:ind w:left="460"/>
              <w:spacing w:after="0"/>
              <w:rPr>
                <w:sz w:val="20"/>
                <w:szCs w:val="20"/>
                <w:color w:val="auto"/>
              </w:rPr>
            </w:pPr>
            <w:r>
              <w:rPr>
                <w:rFonts w:ascii="Arial" w:cs="Arial" w:eastAsia="Arial" w:hAnsi="Arial"/>
                <w:sz w:val="16"/>
                <w:szCs w:val="16"/>
                <w:color w:val="auto"/>
              </w:rPr>
              <w:t>Cash dividends paid</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(3,935)</w:t>
            </w: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Sale of treasury stock</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7"/>
        </w:trPr>
        <w:tc>
          <w:tcPr>
            <w:tcW w:w="8160" w:type="dxa"/>
            <w:vAlign w:val="bottom"/>
          </w:tcPr>
          <w:p>
            <w:pPr>
              <w:ind w:left="680"/>
              <w:spacing w:after="0"/>
              <w:rPr>
                <w:sz w:val="20"/>
                <w:szCs w:val="20"/>
                <w:color w:val="auto"/>
              </w:rPr>
            </w:pPr>
            <w:r>
              <w:rPr>
                <w:rFonts w:ascii="Arial" w:cs="Arial" w:eastAsia="Arial" w:hAnsi="Arial"/>
                <w:sz w:val="16"/>
                <w:szCs w:val="16"/>
                <w:color w:val="auto"/>
              </w:rPr>
              <w:t>Net cash flows provided by financing activities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86,715</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(13,745)</w:t>
            </w:r>
          </w:p>
        </w:tc>
      </w:tr>
      <w:tr>
        <w:trPr>
          <w:trHeight w:val="213"/>
        </w:trPr>
        <w:tc>
          <w:tcPr>
            <w:tcW w:w="81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Increase (decrease) in cash and cash equivalents</w:t>
            </w:r>
          </w:p>
        </w:tc>
        <w:tc>
          <w:tcPr>
            <w:tcW w:w="9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66,644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(17,743)</w:t>
            </w: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Beginning of period</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50,295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79,910</w:t>
            </w:r>
          </w:p>
        </w:tc>
      </w:tr>
      <w:tr>
        <w:trPr>
          <w:trHeight w:val="206"/>
        </w:trPr>
        <w:tc>
          <w:tcPr>
            <w:tcW w:w="8160" w:type="dxa"/>
            <w:vAlign w:val="bottom"/>
          </w:tcPr>
          <w:p>
            <w:pPr>
              <w:ind w:left="460"/>
              <w:spacing w:after="0"/>
              <w:rPr>
                <w:sz w:val="20"/>
                <w:szCs w:val="20"/>
                <w:color w:val="auto"/>
              </w:rPr>
            </w:pPr>
            <w:r>
              <w:rPr>
                <w:rFonts w:ascii="Arial" w:cs="Arial" w:eastAsia="Arial" w:hAnsi="Arial"/>
                <w:sz w:val="16"/>
                <w:szCs w:val="16"/>
                <w:color w:val="auto"/>
              </w:rPr>
              <w:t>End of period</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116,939</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62,167</w:t>
            </w:r>
          </w:p>
        </w:tc>
      </w:tr>
      <w:tr>
        <w:trPr>
          <w:trHeight w:val="199"/>
        </w:trPr>
        <w:tc>
          <w:tcPr>
            <w:tcW w:w="8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 for:</w:t>
            </w:r>
          </w:p>
        </w:tc>
        <w:tc>
          <w:tcPr>
            <w:tcW w:w="27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6000" w:type="dxa"/>
            <w:vAlign w:val="bottom"/>
          </w:tcPr>
          <w:p>
            <w:pPr>
              <w:ind w:left="460"/>
              <w:spacing w:after="0"/>
              <w:rPr>
                <w:sz w:val="20"/>
                <w:szCs w:val="20"/>
                <w:color w:val="auto"/>
              </w:rPr>
            </w:pPr>
            <w:r>
              <w:rPr>
                <w:rFonts w:ascii="Arial" w:cs="Arial" w:eastAsia="Arial" w:hAnsi="Arial"/>
                <w:sz w:val="16"/>
                <w:szCs w:val="16"/>
                <w:color w:val="auto"/>
              </w:rPr>
              <w:t>Interest paid to depositors</w:t>
            </w:r>
          </w:p>
        </w:tc>
        <w:tc>
          <w:tcPr>
            <w:tcW w:w="27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4,276</w:t>
            </w:r>
          </w:p>
        </w:tc>
        <w:tc>
          <w:tcPr>
            <w:tcW w:w="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219"/>
        </w:trPr>
        <w:tc>
          <w:tcPr>
            <w:tcW w:w="6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Interest paid on other borrowed funds</w:t>
            </w:r>
          </w:p>
        </w:tc>
        <w:tc>
          <w:tcPr>
            <w:tcW w:w="27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3,952</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13"/>
        </w:trPr>
        <w:tc>
          <w:tcPr>
            <w:tcW w:w="6000" w:type="dxa"/>
            <w:vAlign w:val="bottom"/>
          </w:tcPr>
          <w:p>
            <w:pPr>
              <w:ind w:left="460"/>
              <w:spacing w:after="0"/>
              <w:rPr>
                <w:sz w:val="20"/>
                <w:szCs w:val="20"/>
                <w:color w:val="auto"/>
              </w:rPr>
            </w:pPr>
            <w:r>
              <w:rPr>
                <w:rFonts w:ascii="Arial" w:cs="Arial" w:eastAsia="Arial" w:hAnsi="Arial"/>
                <w:sz w:val="16"/>
                <w:szCs w:val="16"/>
                <w:color w:val="auto"/>
              </w:rPr>
              <w:t>Interest paid on finance lease</w:t>
            </w:r>
          </w:p>
        </w:tc>
        <w:tc>
          <w:tcPr>
            <w:tcW w:w="270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6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 taxes</w:t>
            </w:r>
          </w:p>
        </w:tc>
        <w:tc>
          <w:tcPr>
            <w:tcW w:w="27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000" w:type="dxa"/>
            <w:vAlign w:val="bottom"/>
          </w:tcPr>
          <w:p>
            <w:pPr>
              <w:ind w:left="20"/>
              <w:spacing w:after="0"/>
              <w:rPr>
                <w:sz w:val="20"/>
                <w:szCs w:val="20"/>
                <w:color w:val="auto"/>
              </w:rPr>
            </w:pPr>
            <w:r>
              <w:rPr>
                <w:rFonts w:ascii="Arial" w:cs="Arial" w:eastAsia="Arial" w:hAnsi="Arial"/>
                <w:sz w:val="16"/>
                <w:szCs w:val="16"/>
                <w:color w:val="auto"/>
              </w:rPr>
              <w:t>Change in unrealized gains on available-for-sale securities</w:t>
            </w:r>
          </w:p>
        </w:tc>
        <w:tc>
          <w:tcPr>
            <w:tcW w:w="270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21,795</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(80,770)</w:t>
            </w:r>
          </w:p>
        </w:tc>
      </w:tr>
      <w:tr>
        <w:trPr>
          <w:trHeight w:val="219"/>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arising from obtaining right-of-use assets</w:t>
            </w:r>
          </w:p>
        </w:tc>
        <w:tc>
          <w:tcPr>
            <w:tcW w:w="27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5580"/>
        <w:spacing w:after="0" w:line="440" w:lineRule="auto"/>
        <w:rPr>
          <w:sz w:val="20"/>
          <w:szCs w:val="20"/>
          <w:color w:val="auto"/>
        </w:rPr>
      </w:pPr>
      <w:r>
        <w:rPr>
          <w:rFonts w:ascii="Arial" w:cs="Arial" w:eastAsia="Arial" w:hAnsi="Arial"/>
          <w:sz w:val="18"/>
          <w:szCs w:val="18"/>
          <w:b w:val="1"/>
          <w:bCs w:val="1"/>
          <w:color w:val="auto"/>
        </w:rPr>
        <w:t>Note 1— Nature of Business Activities and Significant Accounting Policies Nature of operations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Burke &amp; Herbert Financial Services Corp. was organized as a Virginia corporation on September 14, 2022, to serve as the holding company for Burke &amp; Herbert Bank &amp; Trust Company (“the Bank”), together referred to as the “Company”.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As a bank holding company, the Company is subject to regulation and supervision by the Federal Reserve. The Company has no material operations and owns 100% of the Bank. The Bank is a Virginia chartered commercial bank that commenced operations in 1852. The Bank is supervised and regulated by the Federal Deposit Insurance Corporation (the “FDIC”) and the Bureau of Financial Institutions of the Virginia State Corporation Commission (the “Virginia BFI”).</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Bank’s primary market area includes northern Virginia, and it has over 20 branches throughout the Northern Virginia region and commercial loan offices in Fredericksburg, Loudoun County, and Richmond, Virginia, and in Bethesda, Maryland.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consolidated financial statements include Burke &amp; Herbert Financial Services Corp. and its wholly owned subsidiary Burke &amp; Herbert Bank &amp; Trust Company and have been prepared in accordance with generally accepted accounting principles in the United States of America (“GAAP”) for interim financial reporting and with applicable quarterly reporting regulations of the U.S. Securities and Exchange Commission (“SEC”). The accounting and reporting policies of the Company conform to GAAP and reflect practices of the banking industry. They do not include all of the information and notes required by GAAP for complete financial statements. As such, these unaudited financial statements should be read in conjunction with the consolidated financial statements and notes thereto as of and for the year ending December 31, 2022, included in the Company’s Registration Statement on Form 10 filed with the SEC on February 28, 2023, as amended on April 4, 2023, April 20, 2023, and April 21, 2023, and as declared as effective by the SEC on April 21, 2023.</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financial statements include the accounts of the Company and its wholly-owned subsidiary. All significant intercompany accounts and transactions between the Company and the Bank have been eliminated. In preparing financial statements in conformity with GAAP, management is required to make estimates and assumptions that affect the reported amounts of assets and liabilities as of the date of the balance sheet and reported amounts of revenues and expenses during the reporting period. Actual results could differ from those estimates.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opinion of management, all adjustments, consisting only of normal recurring adjustments, which are necessary for a fair presentation of the results of operations in these financial statements, have been made. The results of operations for the three months ended March 31, 2023, are not necessarily indicative of the results to be expected for any other interim period or for the full year. All amounts and disclosures included in this quarterly report as of December 31, 2022, were derived from the Company’s audited consolidated financial statements. Certain items in the prior period have been reclassified to conform to the current presentation. These reclassifications had no effect on prior year net income or on shareholders’ equity.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March 28, 2022, the Financial Accounting Standards Board issued Accounting Standards Update (“ASU”) 2022-01, Derivatives and Hedging (Topic 815): </w:t>
      </w:r>
      <w:r>
        <w:rPr>
          <w:rFonts w:ascii="Arial" w:cs="Arial" w:eastAsia="Arial" w:hAnsi="Arial"/>
          <w:sz w:val="17"/>
          <w:szCs w:val="17"/>
          <w:i w:val="1"/>
          <w:iCs w:val="1"/>
          <w:color w:val="auto"/>
        </w:rPr>
        <w:t>Fair Value Hedging - Portfolio Layer Method</w:t>
      </w:r>
      <w:r>
        <w:rPr>
          <w:rFonts w:ascii="Arial" w:cs="Arial" w:eastAsia="Arial" w:hAnsi="Arial"/>
          <w:sz w:val="17"/>
          <w:szCs w:val="17"/>
          <w:color w:val="auto"/>
        </w:rPr>
        <w:t>. The purpose of this updated guidance is to further align risk management objectives with hedge accounting results on the application of the last-of-layer method, which was first introduced in ASU 2017-02, Derivatives and Hedging (Topic 815): Targeted Improvements to Accounting for Hedging Activities. ASU 2022-01 is effective for public business entities for fiscal years beginning after December 15, 2022. ASU 2022-01 requires a modified retrospective transition method for basis adjustments in which the entity will recognize the cumulative effect of the change on the opening balance of each affected component of equity in the statement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financial position as of the date of adoption. The Company adopted this ASU on January 1, 2023, on a prospective basis; therefore, there was no impact to the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Credit Losses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1, 2023, the Company adopted ASU 2016-13, Financial Instruments - Credit Losses (Topic 326)</w:t>
      </w:r>
      <w:r>
        <w:rPr>
          <w:rFonts w:ascii="Arial" w:cs="Arial" w:eastAsia="Arial" w:hAnsi="Arial"/>
          <w:sz w:val="16"/>
          <w:szCs w:val="16"/>
          <w:i w:val="1"/>
          <w:iCs w:val="1"/>
          <w:color w:val="auto"/>
        </w:rPr>
        <w:t>: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w:t>
      </w:r>
      <w:r>
        <w:rPr>
          <w:rFonts w:ascii="Arial" w:cs="Arial" w:eastAsia="Arial" w:hAnsi="Arial"/>
          <w:sz w:val="16"/>
          <w:szCs w:val="16"/>
          <w:color w:val="auto"/>
        </w:rPr>
        <w:t>“ASC 326”</w:t>
      </w:r>
      <w:r>
        <w:rPr>
          <w:rFonts w:ascii="Arial" w:cs="Arial" w:eastAsia="Arial" w:hAnsi="Arial"/>
          <w:sz w:val="16"/>
          <w:szCs w:val="16"/>
          <w:i w:val="1"/>
          <w:iCs w:val="1"/>
          <w:color w:val="auto"/>
        </w:rPr>
        <w:t>)</w:t>
      </w:r>
      <w:r>
        <w:rPr>
          <w:rFonts w:ascii="Arial" w:cs="Arial" w:eastAsia="Arial" w:hAnsi="Arial"/>
          <w:sz w:val="16"/>
          <w:szCs w:val="16"/>
          <w:color w:val="auto"/>
        </w:rPr>
        <w:t>, as amended, which replaces the incurred loss methodology with an expected loss methodology that is referred to as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credit loss (“CECL”) methodology. The CECL methodology requires an estimate of credit losses for the remaining estimated life of the financial asset using historical experience, current conditions, as well as future forecasts including reasonable and supportable forecasts and other forecast periods. CECL generally applies to financial assets measured at amortized cost and some off-balance sheet credit exposures, such as unfunded commitments to extend credit. Financial assets measured at amortized cost are presented as the net amount expected to be collected.</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CECL made changes to the accounting for available-for-sale debt securities. One such change is to require credit losses to be presented as an allowance rather than as a write-down on available-for-sale debt securities if management does not intend to sell and does not believe that it is more likely than not, they will be required to sell.</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adopted ASC 326 and all related subsequent amendments thereto effective January 1, 2023, using the modified retrospective approach for all financial assets measured at amortized cost and off-balance sheet credit exposures. The adoption of the new CECL standard resulted in a cumulative-effect adjustment that increased the allowance for credit losses for loans by $4.1 million and increased the allowance for unfunded commitments by $274.8 thousand. Retained earnings, net of deferred taxes, decreased by $3.4 million. Results for reporting periods beginning after January 1, 2023, are presented under ASU 2016-13, while prior period amounts continue to be reported in accordance with the incurred loss model under the previously applicable GAAP.</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illustrates the impact of the adoption of CECL, and the transition away from the incurred loss method, on January 1, 2023. The impact to the allowance for credit losses (“ACL”) is presented at the loan segment level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right"/>
              <w:ind w:right="368"/>
              <w:spacing w:after="0"/>
              <w:rPr>
                <w:sz w:val="20"/>
                <w:szCs w:val="20"/>
                <w:color w:val="auto"/>
              </w:rPr>
            </w:pPr>
            <w:r>
              <w:rPr>
                <w:rFonts w:ascii="Arial" w:cs="Arial" w:eastAsia="Arial" w:hAnsi="Arial"/>
                <w:sz w:val="14"/>
                <w:szCs w:val="14"/>
                <w:color w:val="auto"/>
              </w:rPr>
              <w:t>January 1, 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56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00" w:type="dxa"/>
            <w:vAlign w:val="bottom"/>
          </w:tcPr>
          <w:p>
            <w:pPr>
              <w:spacing w:after="0"/>
              <w:rPr>
                <w:sz w:val="11"/>
                <w:szCs w:val="11"/>
                <w:color w:val="auto"/>
              </w:rPr>
            </w:pPr>
          </w:p>
        </w:tc>
        <w:tc>
          <w:tcPr>
            <w:tcW w:w="1820" w:type="dxa"/>
            <w:vAlign w:val="bottom"/>
            <w:gridSpan w:val="2"/>
          </w:tcPr>
          <w:p>
            <w:pPr>
              <w:jc w:val="right"/>
              <w:spacing w:after="0" w:line="129" w:lineRule="exact"/>
              <w:rPr>
                <w:sz w:val="20"/>
                <w:szCs w:val="20"/>
                <w:color w:val="auto"/>
              </w:rPr>
            </w:pPr>
            <w:r>
              <w:rPr>
                <w:rFonts w:ascii="Arial" w:cs="Arial" w:eastAsia="Arial" w:hAnsi="Arial"/>
                <w:sz w:val="14"/>
                <w:szCs w:val="14"/>
                <w:color w:val="auto"/>
                <w:w w:val="92"/>
              </w:rPr>
              <w:t>Reserves under Incurred Loss</w:t>
            </w:r>
          </w:p>
        </w:tc>
        <w:tc>
          <w:tcPr>
            <w:tcW w:w="100" w:type="dxa"/>
            <w:vAlign w:val="bottom"/>
          </w:tcPr>
          <w:p>
            <w:pPr>
              <w:spacing w:after="0"/>
              <w:rPr>
                <w:sz w:val="11"/>
                <w:szCs w:val="11"/>
                <w:color w:val="auto"/>
              </w:rPr>
            </w:pPr>
          </w:p>
        </w:tc>
        <w:tc>
          <w:tcPr>
            <w:tcW w:w="1800" w:type="dxa"/>
            <w:vAlign w:val="bottom"/>
            <w:gridSpan w:val="2"/>
            <w:vMerge w:val="restart"/>
          </w:tcPr>
          <w:p>
            <w:pPr>
              <w:jc w:val="right"/>
              <w:spacing w:after="0"/>
              <w:rPr>
                <w:sz w:val="20"/>
                <w:szCs w:val="20"/>
                <w:color w:val="auto"/>
              </w:rPr>
            </w:pPr>
            <w:r>
              <w:rPr>
                <w:rFonts w:ascii="Arial" w:cs="Arial" w:eastAsia="Arial" w:hAnsi="Arial"/>
                <w:sz w:val="14"/>
                <w:szCs w:val="14"/>
                <w:color w:val="auto"/>
                <w:w w:val="94"/>
              </w:rPr>
              <w:t>Reserves under CECL Model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vMerge w:val="restart"/>
          </w:tcPr>
          <w:p>
            <w:pPr>
              <w:jc w:val="right"/>
              <w:ind w:right="68"/>
              <w:spacing w:after="0"/>
              <w:rPr>
                <w:sz w:val="20"/>
                <w:szCs w:val="20"/>
                <w:color w:val="auto"/>
              </w:rPr>
            </w:pPr>
            <w:r>
              <w:rPr>
                <w:rFonts w:ascii="Arial" w:cs="Arial" w:eastAsia="Arial" w:hAnsi="Arial"/>
                <w:sz w:val="14"/>
                <w:szCs w:val="14"/>
                <w:color w:val="auto"/>
                <w:w w:val="97"/>
              </w:rPr>
              <w:t>Impact of CECL Adoption</w:t>
            </w: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648"/>
              <w:spacing w:after="0"/>
              <w:rPr>
                <w:sz w:val="20"/>
                <w:szCs w:val="20"/>
                <w:color w:val="auto"/>
              </w:rPr>
            </w:pPr>
            <w:r>
              <w:rPr>
                <w:rFonts w:ascii="Arial" w:cs="Arial" w:eastAsia="Arial" w:hAnsi="Arial"/>
                <w:sz w:val="14"/>
                <w:szCs w:val="14"/>
                <w:color w:val="auto"/>
              </w:rPr>
              <w:t>Model</w:t>
            </w:r>
          </w:p>
        </w:tc>
        <w:tc>
          <w:tcPr>
            <w:tcW w:w="1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4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60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15,477</w:t>
            </w: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18,163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Owner-occupied commercial real estate</w:t>
            </w:r>
          </w:p>
        </w:tc>
        <w:tc>
          <w:tcPr>
            <w:tcW w:w="4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2"/>
        </w:trPr>
        <w:tc>
          <w:tcPr>
            <w:tcW w:w="5600" w:type="dxa"/>
            <w:vAlign w:val="bottom"/>
          </w:tcPr>
          <w:p>
            <w:pPr>
              <w:ind w:left="240"/>
              <w:spacing w:after="0"/>
              <w:rPr>
                <w:sz w:val="20"/>
                <w:szCs w:val="20"/>
                <w:color w:val="auto"/>
              </w:rPr>
            </w:pPr>
            <w:r>
              <w:rPr>
                <w:rFonts w:ascii="Arial" w:cs="Arial" w:eastAsia="Arial" w:hAnsi="Arial"/>
                <w:sz w:val="14"/>
                <w:szCs w:val="14"/>
                <w:color w:val="auto"/>
              </w:rPr>
              <w:t>Acquisition, construction &amp; development</w:t>
            </w:r>
          </w:p>
        </w:tc>
        <w:tc>
          <w:tcPr>
            <w:tcW w:w="4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4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6"/>
        </w:trPr>
        <w:tc>
          <w:tcPr>
            <w:tcW w:w="5600" w:type="dxa"/>
            <w:vAlign w:val="bottom"/>
          </w:tcPr>
          <w:p>
            <w:pPr>
              <w:ind w:left="240"/>
              <w:spacing w:after="0"/>
              <w:rPr>
                <w:sz w:val="20"/>
                <w:szCs w:val="20"/>
                <w:color w:val="auto"/>
              </w:rPr>
            </w:pPr>
            <w:r>
              <w:rPr>
                <w:rFonts w:ascii="Arial" w:cs="Arial" w:eastAsia="Arial" w:hAnsi="Arial"/>
                <w:sz w:val="14"/>
                <w:szCs w:val="14"/>
                <w:color w:val="auto"/>
              </w:rPr>
              <w:t>Single family residential (1-4 units)</w:t>
            </w:r>
          </w:p>
        </w:tc>
        <w:tc>
          <w:tcPr>
            <w:tcW w:w="4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1,661</w:t>
            </w:r>
          </w:p>
        </w:tc>
        <w:tc>
          <w:tcPr>
            <w:tcW w:w="0" w:type="dxa"/>
            <w:vAlign w:val="bottom"/>
          </w:tcPr>
          <w:p>
            <w:pPr>
              <w:spacing w:after="0"/>
              <w:rPr>
                <w:sz w:val="1"/>
                <w:szCs w:val="1"/>
                <w:color w:val="auto"/>
              </w:rPr>
            </w:pPr>
          </w:p>
        </w:tc>
      </w:tr>
      <w:tr>
        <w:trPr>
          <w:trHeight w:val="186"/>
        </w:trPr>
        <w:tc>
          <w:tcPr>
            <w:tcW w:w="5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Consumer non-real estate and other</w:t>
            </w:r>
          </w:p>
        </w:tc>
        <w:tc>
          <w:tcPr>
            <w:tcW w:w="4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97"/>
        </w:trPr>
        <w:tc>
          <w:tcPr>
            <w:tcW w:w="560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Unallocated reserve</w:t>
            </w: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Allowance for credit losses on loans</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21,039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4,125</w:t>
            </w:r>
          </w:p>
        </w:tc>
        <w:tc>
          <w:tcPr>
            <w:tcW w:w="0" w:type="dxa"/>
            <w:vAlign w:val="bottom"/>
          </w:tcPr>
          <w:p>
            <w:pPr>
              <w:spacing w:after="0"/>
              <w:rPr>
                <w:sz w:val="1"/>
                <w:szCs w:val="1"/>
                <w:color w:val="auto"/>
              </w:rPr>
            </w:pPr>
          </w:p>
        </w:tc>
      </w:tr>
      <w:tr>
        <w:trPr>
          <w:trHeight w:val="183"/>
        </w:trPr>
        <w:tc>
          <w:tcPr>
            <w:tcW w:w="5600" w:type="dxa"/>
            <w:vAlign w:val="bottom"/>
          </w:tcPr>
          <w:p>
            <w:pPr>
              <w:ind w:left="20"/>
              <w:spacing w:after="0"/>
              <w:rPr>
                <w:sz w:val="20"/>
                <w:szCs w:val="20"/>
                <w:color w:val="auto"/>
              </w:rPr>
            </w:pPr>
            <w:r>
              <w:rPr>
                <w:rFonts w:ascii="Arial" w:cs="Arial" w:eastAsia="Arial" w:hAnsi="Arial"/>
                <w:sz w:val="14"/>
                <w:szCs w:val="14"/>
                <w:color w:val="auto"/>
              </w:rPr>
              <w:t>Financial Liabilities:</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Allowance for credit losses on off-balance sheet credit exposure</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adopted ASC 326 using the prospective transition approach for debt securities for which other-than-temporary impairment had been recognized prior to January 1, 2023. As of December 31, 2022, the Company did not have any other-than-temporarily impaired investment securities. The Company did not record an ACL for securities upon adoption.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not to measure an ACL for accrued interest receivable and instead elected to reverse interest income on loans or securities that are placed on non-accrual status, which is generally when the instrument is 90 days past due, or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earlier if the Company believes the collection of interest is doubtful. The Company has concluded that this policy results in the timely reversal of uncollectible interest.</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January 1, 2023, the Company adopted ASU 2022-02, Financial Instruments - Credit Losses (Topic 326), </w:t>
      </w:r>
      <w:r>
        <w:rPr>
          <w:rFonts w:ascii="Arial" w:cs="Arial" w:eastAsia="Arial" w:hAnsi="Arial"/>
          <w:sz w:val="18"/>
          <w:szCs w:val="18"/>
          <w:i w:val="1"/>
          <w:iCs w:val="1"/>
          <w:color w:val="auto"/>
        </w:rPr>
        <w:t>Troubled Debt Restructurings and Vintage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ASU 2022-02 addresses areas identified by the FASB as part of its implementation review of the credit losses standard (ASU 2016-13) that</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introduced the CECL model. The amendments eliminate the accounting guidance for troubled debt restructurings (“TDRs”) by creditors that have adopted the CECL model and enhance the disclosure requirements for certain loan refinancings and restructurings by creditors when a borrower is experiencing financial difficulty. In addition, the amendments require that the Company disclose current-period gross write-offs for financing receivables and net investment in leases by year of origination in the vintage disclosures. The Company adopted the standard prospectively, and it did not have a material impact on the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available-for-sale debt securities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all available-for-sale (“AFS”) debt securities in an unrealized loss position on a quarterly basis, and more frequently when economic or market conditions warrant such evaluation. The Company first assesses whether it intends to sell or if it is more likely than not that it will be required to sell the security before recovery of its amortized cost basis. If either of the criteria regarding intent or requirement to sell is met, the security’s amortized cost basis is written down to fair value through income.</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AFS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ACL is recognized in other comprehensive income.</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Changes in the ACL are recorded as credit loss expense (or recapture). Losses are charged against the allowance when management believes the uncollectibility of an AFS security is confirmed or when either of the criteria regarding intent or requirement to sell is met. At March 31, 2023, there was no ACL related to the AFS security portfolio. Refer to </w:t>
      </w:r>
      <w:r>
        <w:rPr>
          <w:rFonts w:ascii="Arial" w:cs="Arial" w:eastAsia="Arial" w:hAnsi="Arial"/>
          <w:sz w:val="17"/>
          <w:szCs w:val="17"/>
          <w:u w:val="single" w:color="auto"/>
          <w:color w:val="0000FF"/>
        </w:rPr>
        <w:t>Note 2 - Securities</w:t>
      </w:r>
      <w:r>
        <w:rPr>
          <w:rFonts w:ascii="Arial" w:cs="Arial" w:eastAsia="Arial" w:hAnsi="Arial"/>
          <w:sz w:val="17"/>
          <w:szCs w:val="17"/>
          <w:color w:val="auto"/>
        </w:rPr>
        <w:t xml:space="preserve"> in Notes to the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loans</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ACL represents an amount, which, in management’s judgment, reflects expected credit losses in the loan portfolio at the balance sheet date. The estimate for expected credit losses is based on the evaluation of the size and current risk characteristics of the loan portfolio, past events, current conditions, reasonable and supportable forecasts of future economic conditions, and prepayment experience as related to credit contractual term information. The ACL is measured and recorded upon the initial recognition of a financial asset. The ACL is reduced by charge-offs, net of recoveries of previous losses, and is increased or decreased by a provision for (or recapture of) credit losses, which is recorded in the Consolidated Statements of Income.</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ACL for expected credit losses is determined based on a quantitative assessment of two categories of loans: collectively evaluated loans and individually evaluated loans. In addition, the ACL also includes a qualitative component which adjusts the CECL model for risk factors that are not considered within the CECL model, but are relevant in assessing the expected credit losses within the loan portfolio.</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using a remaining useful life or weighted average remaining maturity (“WARM”) methodology to estimate its current expected credit losses. For purposes of calculating reserves in collectively evaluated loans, ACL calculation segments the Company’s loan portfolio using federal call codes to group loans which share similar risk characteristics. In order to generate reasonable and supportable forecasts of loss rates over a two-year period, the ACL calculation utilizes macroeconomic variable loss drivers, which may include aggregate macroeconomic indicators pertaining to such items as equity market conditions or interest rates, as well as other variables that are portfolio-specific,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Activities and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as those that pertain to the commercial real estate or residential loan portfolios. A straight-line reversion technique is used for the following four quarters, and in following quarters, the ACL calculation reverts to historical average loss rates.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management’s analysis, adjustments may be applied for additional factors impacting the risk of loss in the loan portfolio beyond information used to calculate reasonable and supportable, reversion and post-reversion period forecasts on collectively evaluated loans. As the reasonable and supportable and reversion period forecasts reflect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Many of these qualitative risk factors considered by management are comparable to legacy factors prior to the adoption of CECL and include the following:</w:t>
      </w:r>
    </w:p>
    <w:p>
      <w:pPr>
        <w:spacing w:after="0" w:line="21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Nature and volume of loans;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Concentrations of credit;</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Delinquency trends;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Experience, ability, and depth of management and lending staff;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of loan review system.</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Loans that do not share similar risk characteristics are evaluated on an individual basis and are excluded from the collective evaluation for the ACL. Loans identified to be individually evaluated under CECL include loans on non-accrual status and may include accruing loans that do not share similar risk characteristics to other accruing loans collectively evaluated. A specific reserve analysis is applied to the individually evaluated loans, which considers collateral value, an observable market price, or the present value of the expected future cash flows. A specific reserve may be assigned if the measured value of the loan using one of the before mentioned methods is less than the current carrying value of the loan.</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CECL, for collateral-dependent loans, the Company has adopted the practical expedient to measure the ACL based on the fair value of the collateral. A loan is considered collateral-dependent when the Company determines foreclosure is probable or the borrower is experiencing financial difficulty and the Company expects repayment to be provided substantially through the operation or sale of the collateral. Collateral could be in the form of real estate, equipment, or business assets. An ACL may result for a collateral-dependent loan if the fair value of the underlying collateral, as of the reporting date, adjusted for expected costs to repair or sell, was less than the amortized cost basis of the loan. If repayment of the loan is instead dependent only on the operation, rather than the sale of the collateral, the measure of the ACL does not incorporate estimated costs to sell. For loans analyzed on the basis of projected future principal and interest cash flows, the Company will discount the expected cash flows at the effective interest rate of the loan, and an ACL would result if the present value of the expected cash flows was less than the amortized cost basis of the loan. When the discounted cash flow method is used to determine the ACL, management does not adjust the effective interest rate used to discount cash flows to incorporate expected prepayments.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on off-balance sheet credit exposures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 quarterly basis, the Company estimates expected credit losses over the contractual period in which the Company is exposed to credit risk via a contractual obligation to extend credit, unless that obligation is unconditionally cancellable by the Company. The ACL on off-balance sheet credit exposures is adjusted through the provision for credit losses on the Consolidated Statements of Income. The estimate includes consideration of the likelihood that funding will occur and an estimate of expected credit losses on commitments expected to be funded over its estimated life by loan segment at each balance sheet date under the CECL model using the same methodology as the loan portfolio. The ACL for unfunded commitments is included in accrued interest and other liabilities on the Company’s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Interest Receivable</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elected to exclude accrued interest from the amortized cost basis in its determination of the ACL and elected the policy to write-off accrued interest receivable directly through the reversal of interest income. Accrued interest receivable totaled $7.5 million on loans and totaled $7.9 million on AFS securities at March 31, 2023, and is included in accrued interest receivable on the Company’s Consolidated Balance Sheets.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AFS securities and their approximate fair values at March 31, 2023, and December 31, 2022, are summarized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4"/>
          </w:tcPr>
          <w:p>
            <w:pPr>
              <w:jc w:val="right"/>
              <w:ind w:right="973"/>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8"/>
              </w:rPr>
              <w:t>Amortized Cost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75"/>
              <w:spacing w:after="0" w:line="129" w:lineRule="exact"/>
              <w:rPr>
                <w:sz w:val="20"/>
                <w:szCs w:val="20"/>
                <w:color w:val="auto"/>
              </w:rPr>
            </w:pPr>
            <w:r>
              <w:rPr>
                <w:rFonts w:ascii="Arial" w:cs="Arial" w:eastAsia="Arial" w:hAnsi="Arial"/>
                <w:sz w:val="14"/>
                <w:szCs w:val="14"/>
                <w:b w:val="1"/>
                <w:bCs w:val="1"/>
                <w:color w:val="auto"/>
                <w:w w:val="93"/>
              </w:rPr>
              <w:t>Gross 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53"/>
              <w:spacing w:after="0" w:line="129" w:lineRule="exact"/>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197,875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19,456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178,419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468,362</w:t>
            </w: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56,991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52,670</w:t>
            </w: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321,150</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59,409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57,832</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183,225</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95,317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92,599</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1,506,653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144,200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1,362,785</w:t>
            </w:r>
          </w:p>
        </w:tc>
        <w:tc>
          <w:tcPr>
            <w:tcW w:w="0" w:type="dxa"/>
            <w:vAlign w:val="bottom"/>
          </w:tcPr>
          <w:p>
            <w:pPr>
              <w:spacing w:after="0"/>
              <w:rPr>
                <w:sz w:val="1"/>
                <w:szCs w:val="1"/>
                <w:color w:val="auto"/>
              </w:rPr>
            </w:pPr>
          </w:p>
        </w:tc>
      </w:tr>
      <w:tr>
        <w:trPr>
          <w:trHeight w:val="447"/>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8"/>
              </w:rPr>
              <w:t>Amortized Cost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198,154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23,161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174,993</w:t>
            </w: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453,907</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57,883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53,061</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339,295</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61,810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59,933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183,299</w:t>
            </w: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101,791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98,626</w:t>
            </w: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8,643</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1,537,420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1,371,757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2023, and December 31, 2022, AFS securities with amortized costs of $799.3 million and $637.1 million, respectively, and with estimated fair values of $714.5 million and $552.5 million, respectively, were pledged to serve as collateral for secured borrowings, derivative exposures, or to secure public deposits as required or permitted by law.</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March 31, 2023, the Company entered into a fair value hedge using the portfolio layer method that is described in further detail within </w:t>
      </w:r>
      <w:r>
        <w:rPr>
          <w:rFonts w:ascii="Arial" w:cs="Arial" w:eastAsia="Arial" w:hAnsi="Arial"/>
          <w:sz w:val="18"/>
          <w:szCs w:val="18"/>
          <w:u w:val="single" w:color="auto"/>
          <w:color w:val="0000FF"/>
        </w:rPr>
        <w:t>Note 9 -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Derivatives</w:t>
      </w:r>
      <w:r>
        <w:rPr>
          <w:rFonts w:ascii="Arial" w:cs="Arial" w:eastAsia="Arial" w:hAnsi="Arial"/>
          <w:sz w:val="18"/>
          <w:szCs w:val="18"/>
          <w:color w:val="000000"/>
        </w:rPr>
        <w: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realized gains, realized losses, and proceeds from the sales of securities for the three months ended March 31, 2023, and March 31, 2022,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31, 2022</w:t>
            </w: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1220" w:type="dxa"/>
            <w:vAlign w:val="bottom"/>
          </w:tcPr>
          <w:p>
            <w:pPr>
              <w:spacing w:after="0"/>
              <w:rPr>
                <w:sz w:val="19"/>
                <w:szCs w:val="19"/>
                <w:color w:val="auto"/>
              </w:rPr>
            </w:pPr>
          </w:p>
        </w:tc>
        <w:tc>
          <w:tcPr>
            <w:tcW w:w="5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securities</w:t>
            </w:r>
          </w:p>
        </w:tc>
        <w:tc>
          <w:tcPr>
            <w:tcW w:w="1220" w:type="dxa"/>
            <w:vAlign w:val="bottom"/>
            <w:shd w:val="clear" w:color="auto" w:fill="CCEEFF"/>
          </w:tcPr>
          <w:p>
            <w:pPr>
              <w:spacing w:after="0"/>
              <w:rPr>
                <w:sz w:val="19"/>
                <w:szCs w:val="19"/>
                <w:color w:val="auto"/>
              </w:rPr>
            </w:pPr>
          </w:p>
        </w:tc>
        <w:tc>
          <w:tcPr>
            <w:tcW w:w="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87,033</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benefit (provision) related to these net realized gains and losses for March 31, 2023, and March 31, 2022, was zero, and $21.8 thousand, respectively.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maturities of AFS securities at March 31, 2023, were as follows (in thousands): (Expected maturities of securities not due at a single maturity date are based on average life at estimated prepayment speed. Expected maturities may differ from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because borrowers have the right to call or prepay some obligations with or without call or prepayment penalties).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March 31, 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
        </w:trPr>
        <w:tc>
          <w:tcPr>
            <w:tcW w:w="4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4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Amortized Cost</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91"/>
        </w:trPr>
        <w:tc>
          <w:tcPr>
            <w:tcW w:w="4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One Year or Less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One to Five 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Five to Ten Years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After Ten Years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59,546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138,329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197,875</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547,896</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56,991</w:t>
            </w: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209,368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349,123</w:t>
            </w: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52,796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59,409</w:t>
            </w: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190,542</w:t>
            </w: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51,621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95,317</w:t>
            </w: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r>
      <w:tr>
        <w:trPr>
          <w:trHeight w:val="230"/>
        </w:trPr>
        <w:tc>
          <w:tcPr>
            <w:tcW w:w="40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68,159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570,231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649,590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218,673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1,506,653</w:t>
            </w:r>
          </w:p>
        </w:tc>
      </w:tr>
      <w:tr>
        <w:trPr>
          <w:trHeight w:val="447"/>
        </w:trPr>
        <w:tc>
          <w:tcPr>
            <w:tcW w:w="40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March 31, 2023</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6"/>
        </w:trPr>
        <w:tc>
          <w:tcPr>
            <w:tcW w:w="4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4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8"/>
        </w:trPr>
        <w:tc>
          <w:tcPr>
            <w:tcW w:w="4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One Year or Less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One to Five Years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Five to Ten Years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After Ten Years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122,919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178,419</w:t>
            </w: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160,823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468,362</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52,670</w:t>
            </w: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321,150</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51,524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57,832</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183,225</w:t>
            </w: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40,395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92,599</w:t>
            </w: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w:t>
            </w:r>
          </w:p>
        </w:tc>
      </w:tr>
      <w:tr>
        <w:trPr>
          <w:trHeight w:val="223"/>
        </w:trPr>
        <w:tc>
          <w:tcPr>
            <w:tcW w:w="40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544,784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577,651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174,158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1,362,785</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2023, and December 31, 2022, there were no holdings of securities of any one issuer, other than the U.S. Government and its agencies, in any amount greater than 10% of shareholders’ equity.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shows the gross unrealized losses and fair value of the Company’s securities with unrealized losses aggregated by investment category and length of time that individual securities have been in a continuous unrealized loss position at March 31, 2023, and December 31, 2022.</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AFS securities in a continuous unrealized loss position for less than twelve months and more than twelve months are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March 31, 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Less Than Twelve Months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More Than Twelve Months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53"/>
              <w:spacing w:after="0" w:line="136" w:lineRule="exact"/>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6" w:lineRule="exact"/>
              <w:rPr>
                <w:sz w:val="20"/>
                <w:szCs w:val="20"/>
                <w:color w:val="auto"/>
              </w:rPr>
            </w:pPr>
            <w:r>
              <w:rPr>
                <w:rFonts w:ascii="Arial" w:cs="Arial" w:eastAsia="Arial" w:hAnsi="Arial"/>
                <w:sz w:val="14"/>
                <w:szCs w:val="14"/>
                <w:b w:val="1"/>
                <w:bCs w:val="1"/>
                <w:color w:val="auto"/>
                <w:w w:val="92"/>
              </w:rPr>
              <w:t>Gross Unrealized</w:t>
            </w:r>
          </w:p>
        </w:tc>
        <w:tc>
          <w:tcPr>
            <w:tcW w:w="140" w:type="dxa"/>
            <w:vAlign w:val="bottom"/>
          </w:tcPr>
          <w:p>
            <w:pPr>
              <w:spacing w:after="0"/>
              <w:rPr>
                <w:sz w:val="11"/>
                <w:szCs w:val="11"/>
                <w:color w:val="auto"/>
              </w:rPr>
            </w:pPr>
          </w:p>
        </w:tc>
        <w:tc>
          <w:tcPr>
            <w:tcW w:w="1220" w:type="dxa"/>
            <w:vAlign w:val="bottom"/>
          </w:tcPr>
          <w:p>
            <w:pPr>
              <w:jc w:val="center"/>
              <w:ind w:right="33"/>
              <w:spacing w:after="0" w:line="136" w:lineRule="exact"/>
              <w:rPr>
                <w:sz w:val="20"/>
                <w:szCs w:val="20"/>
                <w:color w:val="auto"/>
              </w:rPr>
            </w:pPr>
            <w:r>
              <w:rPr>
                <w:rFonts w:ascii="Arial" w:cs="Arial" w:eastAsia="Arial" w:hAnsi="Arial"/>
                <w:sz w:val="14"/>
                <w:szCs w:val="14"/>
                <w:b w:val="1"/>
                <w:bCs w:val="1"/>
                <w:color w:val="auto"/>
                <w:w w:val="94"/>
              </w:rPr>
              <w:t>Total Unrealized</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1220" w:type="dxa"/>
            <w:vAlign w:val="bottom"/>
          </w:tcPr>
          <w:p>
            <w:pPr>
              <w:jc w:val="center"/>
              <w:ind w:right="5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178,419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19,456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19,456</w:t>
            </w: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79,578</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27,985</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168,863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1,154,631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135,370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144,200</w:t>
            </w:r>
          </w:p>
        </w:tc>
        <w:tc>
          <w:tcPr>
            <w:tcW w:w="0" w:type="dxa"/>
            <w:vAlign w:val="bottom"/>
          </w:tcPr>
          <w:p>
            <w:pPr>
              <w:spacing w:after="0"/>
              <w:rPr>
                <w:sz w:val="1"/>
                <w:szCs w:val="1"/>
                <w:color w:val="auto"/>
              </w:rPr>
            </w:pPr>
          </w:p>
        </w:tc>
      </w:tr>
      <w:tr>
        <w:trPr>
          <w:trHeight w:val="454"/>
        </w:trPr>
        <w:tc>
          <w:tcPr>
            <w:tcW w:w="40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Less Than Twelve Months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More Than Twelve Months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13"/>
              <w:spacing w:after="0" w:line="136" w:lineRule="exact"/>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6" w:lineRule="exact"/>
              <w:rPr>
                <w:sz w:val="20"/>
                <w:szCs w:val="20"/>
                <w:color w:val="auto"/>
              </w:rPr>
            </w:pPr>
            <w:r>
              <w:rPr>
                <w:rFonts w:ascii="Arial" w:cs="Arial" w:eastAsia="Arial" w:hAnsi="Arial"/>
                <w:sz w:val="14"/>
                <w:szCs w:val="14"/>
                <w:b w:val="1"/>
                <w:bCs w:val="1"/>
                <w:color w:val="auto"/>
                <w:w w:val="92"/>
              </w:rPr>
              <w:t>Gross Unrealized</w:t>
            </w:r>
          </w:p>
        </w:tc>
        <w:tc>
          <w:tcPr>
            <w:tcW w:w="140" w:type="dxa"/>
            <w:vAlign w:val="bottom"/>
          </w:tcPr>
          <w:p>
            <w:pPr>
              <w:spacing w:after="0"/>
              <w:rPr>
                <w:sz w:val="11"/>
                <w:szCs w:val="11"/>
                <w:color w:val="auto"/>
              </w:rPr>
            </w:pPr>
          </w:p>
        </w:tc>
        <w:tc>
          <w:tcPr>
            <w:tcW w:w="1220" w:type="dxa"/>
            <w:vAlign w:val="bottom"/>
          </w:tcPr>
          <w:p>
            <w:pPr>
              <w:jc w:val="center"/>
              <w:ind w:right="33"/>
              <w:spacing w:after="0" w:line="136" w:lineRule="exact"/>
              <w:rPr>
                <w:sz w:val="20"/>
                <w:szCs w:val="20"/>
                <w:color w:val="auto"/>
              </w:rPr>
            </w:pPr>
            <w:r>
              <w:rPr>
                <w:rFonts w:ascii="Arial" w:cs="Arial" w:eastAsia="Arial" w:hAnsi="Arial"/>
                <w:sz w:val="14"/>
                <w:szCs w:val="14"/>
                <w:b w:val="1"/>
                <w:bCs w:val="1"/>
                <w:color w:val="auto"/>
                <w:w w:val="94"/>
              </w:rPr>
              <w:t>Total Unrealized</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3"/>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1220" w:type="dxa"/>
            <w:vAlign w:val="bottom"/>
          </w:tcPr>
          <w:p>
            <w:pPr>
              <w:jc w:val="center"/>
              <w:ind w:right="5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Securities Available-for-Sale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U.S. Treasuries and government agencies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28,399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146,594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22,030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23,161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 of states and municipalities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96,695</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Residential mortgage backed - agency</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41,975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 backed - non-agency</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26,690</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Commercial mortgage backed - agency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 backed - non-agency</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Asset-backed</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586,464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752,987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165,825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required to conduct an impairment evaluation on AFS securities to determine whether the Company has the intent to sell the security or it is more likely than not that it will be required to sell the security before recovery. If these situations apply, the guidance requires the Company to reduce the security's amortized cost basis down to its fair value through earnings. The Company also evaluates the unrealized losses on AFS securities to determine if a security's decline in fair value below its amortized cost basis is due to credit factors. The evaluation is based upon factors such as the creditworthiness of the underlying borrowers, performance of the underlying collateral, if applicable, and the level of credit support in the security structure. Management also evaluates other factors and circumstances that may be indicative of a decline in the fair value of the security due to a credit factor.</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includes, but is not limited to, an evaluation of the type of security, length of time and extent to which the fair value has been less than cost and near-term prospects of the issuer. If this assessment indicates that a credit loss exists, the present value of the expected cash flows of the security is compared to the amortized cost basis of the security. If the present value of the cash flows expected to be collected is less than the amortized cost, an ACL is recorded for the credit loss, limited by the amount that the fair value is less than the amortized cost basis under the CECL standard, and declines due to non-credit factors are recorded in accumulated other comprehensive income (“AOCI”), net of taxes. If a credit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 recognized in earnings, subsequent improvements to the expectation of collectability will be recognized through the ACL. If the fair value of the security increases above its amortized cost, the unrealized gain will be recorded in accumulated other comprehensive income, net of taxes, on the consolidated statements of financial condition. Prior to implementation of the CECL standard, unrealized losses caused by a credit event would require the direct write-down of the AFS security through the other-than-temporary impairment approach.</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did not record an ACL on the AFS securities at March 31, 2023, or upon implementation of CECL on January 1, 2023. As of both periods, the Company considers the unrealized losses on the AFS securities to be related to fluctuations in market conditions, primarily interest rates, and not reflective of deterioration in credit. The Company had 451 securities in an unrealized loss position as of March 31, 2023. The Company has evaluated available-for-sale securities in an unrealized loss position for credit related impairment at March 31, 2023, and concluded no impairment existed based on a combination of factors, which included: (1) the securities are of high credit quality, (2) unrealized losses are primarily the result of market volatility and increases in market interest rates, (3) the contractual terms of the investments do not permit the issuer(s) to settle the securities at a price less than the par value of each investment, (4) issuers continue to make timely principal and interest payments, and (5) the Company does not intend to sell any of the investments and the accounting standard of “more likely than not” has not been met for the Company to be required to sell any of the investments before recovery of its amortized cost basis. As such, there was no ACL on available-for-sale securities at March 31, 2023.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of U.S. Treasury and Federal Agencies and Federal Agency Mortgage (Residential and Commercial) Backed Securities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2023, the unrealized losses associated with 12 U.S. Treasuries and Government Agency securities, 19 Residential Mortgage Backed – Agency securities, and 31 Commercial Mortgage Backed – Agency securities were generally driven by changes in interest rates and not due to credit losses given the explicit or implicit guarantees provided by the U.S. government. Therefore, the Company has concluded that the unrealized losses for these securities do not require an ACL at March 31,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of U.S. States and Municipalities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2023, the unrealized losses associated with 214 State and Municipal securities were primarily caused by changes in interest rates and not the credit quality of the securities. These securities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 Therefore, the Company has concluded that the unrealized losses for these securities do not require an ACL at March 31,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&amp; Commercial Mortgage Backed – Non-Agency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At March 31, 2023, the unrealized losses associated with 108 Residential Mortgage Backed – Non-Agency securities and 36 Commercial Mortgage Backed</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March 31,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Asset-Backed Securities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March 31, 2023, the unrealized losses associated with 28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March 31,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Securities</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March 31, 2023, the unrealized losses associated with 3 securities were primarily driven by interest rates and not the credit quality of the securities. These investments are underwritten in accordance with our own investment standards prior to the decision to purchase, without relying on a bond insurer’s guarantee in making the investment decision. Based on our assessment of the expected credit losses, we expect to recover the entire amortized cost basis of the securities. Therefore, the Company has concluded that the unrealized losses for these securities do not require an ACL at March 31,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at cost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investment in Federal Home Loan Bank (“FHLB”) stock totaled $9.1 million and $16.4 million at March 31, 2023, and December 31, 2022, respectively. FHLB stock is generally viewed as a long-term investment and as a restricted investment security, which is carried at cost, because there is no market for the stock other than the FHLB or member institutions. Therefore, when evaluating FHLB stock for impairment, its value is based on the ultimate recoverability of the par value rather than by recognizing temporary declines in value. The Company does not consider this investment to be impaired at March 31, 2023, and no impairment has been recognized. FHLB stock is included in a separate line item Restricted stock, at cost on the Consolidated Balance Sheets and is not part of the Company’s AFS securities portfolio. The Company’s Restricted stock line item on the Consolidated Balance Sheets also includes an investment in Community Bankers’ Bank, totaling $50 thousand at both March 31, 2023, and December 31, 2022, which is carried at cost and is not impaired at March 31,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Loans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loan portfolio segments, as reported in the tables below, include (i) commercial real estate (ii) owner-occupied commercial real estate (iii) acquisition, construction &amp; development (iv) commercial &amp; industrial (v) single family residential (1-4 units) and (vi) consumer non-real estate and other. The risks associated with lending activities differ among the various loan segments and are subject to the impact of changes in interest rates, market conditions of collateral securing the loans, and general economic conditions.</w:t>
      </w:r>
    </w:p>
    <w:p>
      <w:pPr>
        <w:spacing w:after="0" w:line="133" w:lineRule="exact"/>
        <w:rPr>
          <w:sz w:val="20"/>
          <w:szCs w:val="20"/>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Owner-occupied commercial real estate loans carry risk associated with the operations of the business that occupies the property and the value of the collateral.</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 construction and development loans carry risk associated with the credit-worthiness of the borrower, project completion within budget, sale after completion, and the value of the collateral.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&amp; industrial loans carry the risk associated with the operations of the business and the value of the collateral, if any.</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Single family residential (1-4 units) loans for consumer purposes carry risk associated with the continued credit-worthiness of the borrower and the value of the collateral. Single family residential (1-4 units) loans for investment purpose carry risk associated with the continued credit-worthiness of the borrower, the value of the collateral, and either the net operating income generated from the lease of the real estate collateral or income generated from the sale of the collateral.</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Consumer non-real estate and other loans carry risk associated with the credit-worthiness of the borrower and the value of the collateral, if 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Loans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Loan balances at March 31, 2023, and December 31, 2022, by portfolio segment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ind w:right="332"/>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7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1,154,210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1,109,315</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Owner-occupied commercial real estate</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125,657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127,114</w:t>
            </w:r>
          </w:p>
        </w:tc>
      </w:tr>
      <w:tr>
        <w:trPr>
          <w:trHeight w:val="24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construction &amp; development</w:t>
            </w:r>
          </w:p>
        </w:tc>
        <w:tc>
          <w:tcPr>
            <w:tcW w:w="2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94,450</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Commercial &amp; industrial</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50,101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53,514</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Single family residential (1-4 units)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499,362</w:t>
            </w:r>
          </w:p>
        </w:tc>
      </w:tr>
      <w:tr>
        <w:trPr>
          <w:trHeight w:val="24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 non-real estate and other</w:t>
            </w: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r>
      <w:tr>
        <w:trPr>
          <w:trHeight w:val="223"/>
        </w:trPr>
        <w:tc>
          <w:tcPr>
            <w:tcW w:w="7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1,951,738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1,887,221</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(21,039)</w:t>
            </w:r>
          </w:p>
        </w:tc>
      </w:tr>
      <w:tr>
        <w:trPr>
          <w:trHeight w:val="237"/>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1,926,034</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1,866,182</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deferred loan fees included in the above loan categories totaled $3.3 million and $3.3 million at March 31, 2023, and December 31, 2022, respectively. The Company holds $6.4 million and $7.9 million in Paycheck Protection Program (“PPP”) loans, net of deferred fees and costs as of March 31, 2023, and December 31, 2022,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On January 1, 2023, the Company adopted the CECL methodology as required under ASC 326. The measurement of expected credit losses under the CECL methodology is applicable to financial assets measured at amortized cost, including loan receivables. For further discussion on the Company’s accounting policies and policy elections related to the accounting standards update refer to </w:t>
      </w:r>
      <w:r>
        <w:rPr>
          <w:rFonts w:ascii="Arial" w:cs="Arial" w:eastAsia="Arial" w:hAnsi="Arial"/>
          <w:sz w:val="17"/>
          <w:szCs w:val="17"/>
          <w:u w:val="single" w:color="auto"/>
          <w:color w:val="0000FF"/>
        </w:rPr>
        <w:t>Note 1 - Nature of Business Activities and Significant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Accounting Policies</w:t>
      </w:r>
      <w:r>
        <w:rPr>
          <w:rFonts w:ascii="Arial" w:cs="Arial" w:eastAsia="Arial" w:hAnsi="Arial"/>
          <w:sz w:val="17"/>
          <w:szCs w:val="17"/>
          <w:color w:val="0000FF"/>
        </w:rPr>
        <w:t xml:space="preserve"> </w:t>
      </w:r>
      <w:r>
        <w:rPr>
          <w:rFonts w:ascii="Arial" w:cs="Arial" w:eastAsia="Arial" w:hAnsi="Arial"/>
          <w:sz w:val="17"/>
          <w:szCs w:val="17"/>
          <w:color w:val="000000"/>
        </w:rPr>
        <w:t>in these Notes to Consolidated Financial Statements. All information presented as of March 31, 2023, is in accordance with ASC 326.</w:t>
      </w:r>
      <w:r>
        <w:rPr>
          <w:rFonts w:ascii="Arial" w:cs="Arial" w:eastAsia="Arial" w:hAnsi="Arial"/>
          <w:sz w:val="17"/>
          <w:szCs w:val="17"/>
          <w:color w:val="0000FF"/>
        </w:rPr>
        <w:t xml:space="preserve"> </w:t>
      </w:r>
      <w:r>
        <w:rPr>
          <w:rFonts w:ascii="Arial" w:cs="Arial" w:eastAsia="Arial" w:hAnsi="Arial"/>
          <w:sz w:val="17"/>
          <w:szCs w:val="17"/>
          <w:color w:val="000000"/>
        </w:rPr>
        <w:t>All other information presented prior to January 1, 2023, is in accordance with previous applicable GAAP.</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ACL is calculated quarterly, with any adjustment recorded to the provision for credit losses in the Consolidated Statement of Income. Management calculates the quantitative portion of collectively evaluated loans for all loan categories using the WARM method. For purposes of estimating the Company’s ACL, management generally evaluates collectively evaluated loans by federal call code in order to group loans with similar risk characteristics.</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Loans that do not share similar risk characteristics are evaluated on an individual loan basis and are excluded from the collective evaluation for the ACL. Loans identified to be individually evaluated under CECL include loans on non-accrual status and may include accruing loans that do not share similar risk characteristics to other accruing loans that are collectively evaluated on a loan pool basis. A specific reserve analysis may be applied to the individually evaluated loans, which considers collateral value, an observable market price, or the present value of the expected future cash flows. A specific reserve is assigned if the measured value of the loan using one of the before mentioned methods is less than the carrying value of the loan.</w:t>
      </w:r>
    </w:p>
    <w:p>
      <w:pPr>
        <w:spacing w:after="0" w:line="1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Based on management’s analysis, adjustments may be applied for additional factors impacting the risk of loss in the loan portfolio beyond the information that is used to calculate a reasonable and supportable forecast and a reversion period forecast on collectively evaluated loans. Management may consider an additional or reduced reserve as warranted through qualitative risk factors based on the current and expected conditions, as measured in supplemental information relative to the macroeconomic variable loss drivers used to calculate a reasonable and supportable forecast and a reversion period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forecast. These qualitative risk factors considered by management are largely comparable to legacy factors prior to the adoption of CECL.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activity in the ACL, including the impact of the adoption of CECL, for the three months ended March 31, 2023, and the activity for the allowance for loan losses for the three months ended March 31, 2022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106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w w:val="94"/>
              </w:rPr>
              <w:t>Commercial real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17"/>
              <w:spacing w:after="0"/>
              <w:rPr>
                <w:sz w:val="20"/>
                <w:szCs w:val="20"/>
                <w:color w:val="auto"/>
              </w:rPr>
            </w:pPr>
            <w:r>
              <w:rPr>
                <w:rFonts w:ascii="Arial" w:cs="Arial" w:eastAsia="Arial" w:hAnsi="Arial"/>
                <w:sz w:val="13"/>
                <w:szCs w:val="13"/>
                <w:b w:val="1"/>
                <w:bCs w:val="1"/>
                <w:color w:val="auto"/>
                <w:w w:val="86"/>
              </w:rPr>
              <w:t>Owner-occupied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85"/>
              </w:rPr>
              <w:t>Acquisition,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1"/>
              </w:rPr>
              <w:t>Commercial &amp;</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Single family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Consumer non-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7"/>
              <w:spacing w:after="0" w:line="131" w:lineRule="exact"/>
              <w:rPr>
                <w:sz w:val="20"/>
                <w:szCs w:val="20"/>
                <w:color w:val="auto"/>
              </w:rPr>
            </w:pPr>
            <w:r>
              <w:rPr>
                <w:rFonts w:ascii="Arial" w:cs="Arial" w:eastAsia="Arial" w:hAnsi="Arial"/>
                <w:sz w:val="13"/>
                <w:szCs w:val="13"/>
                <w:b w:val="1"/>
                <w:bCs w:val="1"/>
                <w:color w:val="auto"/>
                <w:w w:val="88"/>
              </w:rPr>
              <w:t>commercial real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31" w:lineRule="exact"/>
              <w:rPr>
                <w:sz w:val="20"/>
                <w:szCs w:val="20"/>
                <w:color w:val="auto"/>
              </w:rPr>
            </w:pPr>
            <w:r>
              <w:rPr>
                <w:rFonts w:ascii="Arial" w:cs="Arial" w:eastAsia="Arial" w:hAnsi="Arial"/>
                <w:sz w:val="13"/>
                <w:szCs w:val="13"/>
                <w:b w:val="1"/>
                <w:bCs w:val="1"/>
                <w:color w:val="auto"/>
                <w:w w:val="87"/>
              </w:rPr>
              <w:t>construction &amp;</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37"/>
              <w:spacing w:after="0" w:line="131" w:lineRule="exact"/>
              <w:rPr>
                <w:sz w:val="20"/>
                <w:szCs w:val="20"/>
                <w:color w:val="auto"/>
              </w:rPr>
            </w:pPr>
            <w:r>
              <w:rPr>
                <w:rFonts w:ascii="Arial" w:cs="Arial" w:eastAsia="Arial" w:hAnsi="Arial"/>
                <w:sz w:val="13"/>
                <w:szCs w:val="13"/>
                <w:b w:val="1"/>
                <w:bCs w:val="1"/>
                <w:color w:val="auto"/>
                <w:w w:val="87"/>
              </w:rPr>
              <w:t>residential (1-4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7"/>
              <w:spacing w:after="0" w:line="131" w:lineRule="exact"/>
              <w:rPr>
                <w:sz w:val="20"/>
                <w:szCs w:val="20"/>
                <w:color w:val="auto"/>
              </w:rPr>
            </w:pPr>
            <w:r>
              <w:rPr>
                <w:rFonts w:ascii="Arial" w:cs="Arial" w:eastAsia="Arial" w:hAnsi="Arial"/>
                <w:sz w:val="13"/>
                <w:szCs w:val="13"/>
                <w:b w:val="1"/>
                <w:bCs w:val="1"/>
                <w:color w:val="auto"/>
                <w:w w:val="85"/>
              </w:rPr>
              <w:t>real estate and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estate</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5"/>
              </w:rPr>
              <w:t>estate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development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Industrial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units)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other</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4"/>
              </w:rPr>
              <w:t>Unallocated</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120" w:type="dxa"/>
            <w:vAlign w:val="bottom"/>
          </w:tcPr>
          <w:p>
            <w:pPr>
              <w:ind w:left="20"/>
              <w:spacing w:after="0"/>
              <w:rPr>
                <w:sz w:val="20"/>
                <w:szCs w:val="20"/>
                <w:color w:val="auto"/>
              </w:rPr>
            </w:pPr>
            <w:r>
              <w:rPr>
                <w:rFonts w:ascii="Arial" w:cs="Arial" w:eastAsia="Arial" w:hAnsi="Arial"/>
                <w:sz w:val="13"/>
                <w:szCs w:val="13"/>
                <w:b w:val="1"/>
                <w:bCs w:val="1"/>
                <w:color w:val="auto"/>
              </w:rPr>
              <w:t>March 31, 2023</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12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w w:val="99"/>
              </w:rPr>
              <w:t>Beginning balance, prior to adoption</w:t>
            </w:r>
          </w:p>
        </w:tc>
        <w:tc>
          <w:tcPr>
            <w:tcW w:w="2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15,477</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2,082</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2,379</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21,039</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of CECL</w:t>
            </w: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gridSpan w:val="2"/>
            <w:vMerge w:val="continue"/>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220" w:type="dxa"/>
            <w:vAlign w:val="bottom"/>
            <w:tcBorders>
              <w:bottom w:val="single" w:sz="8" w:color="CCEEFF"/>
            </w:tcBorders>
            <w:gridSpan w:val="2"/>
            <w:vMerge w:val="continue"/>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220" w:type="dxa"/>
            <w:vAlign w:val="bottom"/>
            <w:tcBorders>
              <w:bottom w:val="single" w:sz="8" w:color="CCEEFF"/>
            </w:tcBorders>
            <w:gridSpan w:val="2"/>
            <w:vMerge w:val="continue"/>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240" w:type="dxa"/>
            <w:vAlign w:val="bottom"/>
            <w:tcBorders>
              <w:bottom w:val="single" w:sz="8" w:color="CCEEFF"/>
            </w:tcBorders>
            <w:gridSpan w:val="2"/>
            <w:vMerge w:val="continue"/>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340" w:type="dxa"/>
            <w:vAlign w:val="bottom"/>
            <w:tcBorders>
              <w:bottom w:val="single" w:sz="8" w:color="CCEEFF"/>
            </w:tcBorders>
            <w:gridSpan w:val="2"/>
            <w:vMerge w:val="continue"/>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Impact of the adoption of CECL</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2,686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4,125</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Provision for (recapture of) credit</w:t>
            </w: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523</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losses</w:t>
            </w: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20" w:type="dxa"/>
            <w:vAlign w:val="bottom"/>
          </w:tcPr>
          <w:p>
            <w:pPr>
              <w:ind w:left="140"/>
              <w:spacing w:after="0"/>
              <w:rPr>
                <w:sz w:val="20"/>
                <w:szCs w:val="20"/>
                <w:color w:val="auto"/>
              </w:rPr>
            </w:pPr>
            <w:r>
              <w:rPr>
                <w:rFonts w:ascii="Arial" w:cs="Arial" w:eastAsia="Arial" w:hAnsi="Arial"/>
                <w:sz w:val="13"/>
                <w:szCs w:val="13"/>
                <w:color w:val="auto"/>
              </w:rPr>
              <w:t>Charge-offs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2"/>
        </w:trPr>
        <w:tc>
          <w:tcPr>
            <w:tcW w:w="2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Recoveries</w:t>
            </w: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77"/>
        </w:trPr>
        <w:tc>
          <w:tcPr>
            <w:tcW w:w="2120" w:type="dxa"/>
            <w:vAlign w:val="bottom"/>
          </w:tcPr>
          <w:p>
            <w:pPr>
              <w:ind w:left="20"/>
              <w:spacing w:after="0"/>
              <w:rPr>
                <w:sz w:val="20"/>
                <w:szCs w:val="20"/>
                <w:color w:val="auto"/>
              </w:rPr>
            </w:pPr>
            <w:r>
              <w:rPr>
                <w:rFonts w:ascii="Arial" w:cs="Arial" w:eastAsia="Arial" w:hAnsi="Arial"/>
                <w:sz w:val="13"/>
                <w:szCs w:val="13"/>
                <w:color w:val="auto"/>
              </w:rPr>
              <w:t>Balance, end of period</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18,409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556</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1,852</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700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4,030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157</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25,704</w:t>
            </w:r>
          </w:p>
        </w:tc>
        <w:tc>
          <w:tcPr>
            <w:tcW w:w="0" w:type="dxa"/>
            <w:vAlign w:val="bottom"/>
          </w:tcPr>
          <w:p>
            <w:pPr>
              <w:spacing w:after="0"/>
              <w:rPr>
                <w:sz w:val="1"/>
                <w:szCs w:val="1"/>
                <w:color w:val="auto"/>
              </w:rPr>
            </w:pPr>
          </w:p>
        </w:tc>
      </w:tr>
      <w:tr>
        <w:trPr>
          <w:trHeight w:val="189"/>
        </w:trPr>
        <w:tc>
          <w:tcPr>
            <w:tcW w:w="2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120" w:type="dxa"/>
            <w:vAlign w:val="bottom"/>
          </w:tcPr>
          <w:p>
            <w:pPr>
              <w:ind w:left="20"/>
              <w:spacing w:after="0"/>
              <w:rPr>
                <w:sz w:val="20"/>
                <w:szCs w:val="20"/>
                <w:color w:val="auto"/>
              </w:rPr>
            </w:pPr>
            <w:r>
              <w:rPr>
                <w:rFonts w:ascii="Arial" w:cs="Arial" w:eastAsia="Arial" w:hAnsi="Arial"/>
                <w:sz w:val="13"/>
                <w:szCs w:val="13"/>
                <w:b w:val="1"/>
                <w:bCs w:val="1"/>
                <w:color w:val="auto"/>
              </w:rPr>
              <w:t>March 31, 2022</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beginning of period</w:t>
            </w: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25,112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611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2,434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340" w:type="dxa"/>
            <w:vAlign w:val="bottom"/>
            <w:tcBorders>
              <w:bottom w:val="single" w:sz="8" w:color="CCEEFF"/>
            </w:tcBorders>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31,709</w:t>
            </w:r>
          </w:p>
        </w:tc>
        <w:tc>
          <w:tcPr>
            <w:tcW w:w="0" w:type="dxa"/>
            <w:vAlign w:val="bottom"/>
          </w:tcPr>
          <w:p>
            <w:pPr>
              <w:spacing w:after="0"/>
              <w:rPr>
                <w:sz w:val="1"/>
                <w:szCs w:val="1"/>
                <w:color w:val="auto"/>
              </w:rPr>
            </w:pPr>
          </w:p>
        </w:tc>
      </w:tr>
      <w:tr>
        <w:trPr>
          <w:trHeight w:val="122"/>
        </w:trPr>
        <w:tc>
          <w:tcPr>
            <w:tcW w:w="2120" w:type="dxa"/>
            <w:vAlign w:val="bottom"/>
          </w:tcPr>
          <w:p>
            <w:pPr>
              <w:ind w:left="140"/>
              <w:spacing w:after="0" w:line="122" w:lineRule="exact"/>
              <w:rPr>
                <w:sz w:val="20"/>
                <w:szCs w:val="20"/>
                <w:color w:val="auto"/>
              </w:rPr>
            </w:pPr>
            <w:r>
              <w:rPr>
                <w:rFonts w:ascii="Arial" w:cs="Arial" w:eastAsia="Arial" w:hAnsi="Arial"/>
                <w:sz w:val="13"/>
                <w:szCs w:val="13"/>
                <w:color w:val="auto"/>
              </w:rPr>
              <w:t>Provision for (recapture of) loan</w:t>
            </w:r>
          </w:p>
        </w:tc>
        <w:tc>
          <w:tcPr>
            <w:tcW w:w="2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(2,321)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(1,030)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551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(2,638)</w:t>
            </w:r>
          </w:p>
        </w:tc>
        <w:tc>
          <w:tcPr>
            <w:tcW w:w="0" w:type="dxa"/>
            <w:vAlign w:val="bottom"/>
          </w:tcPr>
          <w:p>
            <w:pPr>
              <w:spacing w:after="0"/>
              <w:rPr>
                <w:sz w:val="1"/>
                <w:szCs w:val="1"/>
                <w:color w:val="auto"/>
              </w:rPr>
            </w:pPr>
          </w:p>
        </w:tc>
      </w:tr>
      <w:tr>
        <w:trPr>
          <w:trHeight w:val="168"/>
        </w:trPr>
        <w:tc>
          <w:tcPr>
            <w:tcW w:w="2120" w:type="dxa"/>
            <w:vAlign w:val="bottom"/>
          </w:tcPr>
          <w:p>
            <w:pPr>
              <w:ind w:left="140"/>
              <w:spacing w:after="0"/>
              <w:rPr>
                <w:sz w:val="20"/>
                <w:szCs w:val="20"/>
                <w:color w:val="auto"/>
              </w:rPr>
            </w:pPr>
            <w:r>
              <w:rPr>
                <w:rFonts w:ascii="Arial" w:cs="Arial" w:eastAsia="Arial" w:hAnsi="Arial"/>
                <w:sz w:val="13"/>
                <w:szCs w:val="13"/>
                <w:color w:val="auto"/>
              </w:rPr>
              <w:t>losses</w:t>
            </w: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Charge-offs</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Recoveries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end of period</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22,773</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663</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1,451</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29,061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presented in the table below is not required for periods after the adoption of CECL. The following table summarizes the allowance for loan losses and the recorded investment in loans by portfolio segment and based on the impairment method (individually or collectively evaluated for impairment) as of December 31, 2022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2"/>
                <w:szCs w:val="12"/>
                <w:color w:val="auto"/>
              </w:rPr>
            </w:pPr>
          </w:p>
        </w:tc>
        <w:tc>
          <w:tcPr>
            <w:tcW w:w="106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w w:val="94"/>
              </w:rPr>
              <w:t>Commercial real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7"/>
              <w:spacing w:after="0"/>
              <w:rPr>
                <w:sz w:val="20"/>
                <w:szCs w:val="20"/>
                <w:color w:val="auto"/>
              </w:rPr>
            </w:pPr>
            <w:r>
              <w:rPr>
                <w:rFonts w:ascii="Arial" w:cs="Arial" w:eastAsia="Arial" w:hAnsi="Arial"/>
                <w:sz w:val="13"/>
                <w:szCs w:val="13"/>
                <w:b w:val="1"/>
                <w:bCs w:val="1"/>
                <w:color w:val="auto"/>
                <w:w w:val="86"/>
              </w:rPr>
              <w:t>Owner-occupied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85"/>
              </w:rPr>
              <w:t>Acquisition,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3"/>
              </w:rPr>
              <w:t>Commercial &amp;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Single family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Consumer non-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6"/>
              </w:rPr>
              <w:t>commercial real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37"/>
              <w:spacing w:after="0" w:line="131" w:lineRule="exact"/>
              <w:rPr>
                <w:sz w:val="20"/>
                <w:szCs w:val="20"/>
                <w:color w:val="auto"/>
              </w:rPr>
            </w:pPr>
            <w:r>
              <w:rPr>
                <w:rFonts w:ascii="Arial" w:cs="Arial" w:eastAsia="Arial" w:hAnsi="Arial"/>
                <w:sz w:val="13"/>
                <w:szCs w:val="13"/>
                <w:b w:val="1"/>
                <w:bCs w:val="1"/>
                <w:color w:val="auto"/>
                <w:w w:val="87"/>
              </w:rPr>
              <w:t>construction &amp;</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31" w:lineRule="exact"/>
              <w:rPr>
                <w:sz w:val="20"/>
                <w:szCs w:val="20"/>
                <w:color w:val="auto"/>
              </w:rPr>
            </w:pPr>
            <w:r>
              <w:rPr>
                <w:rFonts w:ascii="Arial" w:cs="Arial" w:eastAsia="Arial" w:hAnsi="Arial"/>
                <w:sz w:val="13"/>
                <w:szCs w:val="13"/>
                <w:b w:val="1"/>
                <w:bCs w:val="1"/>
                <w:color w:val="auto"/>
                <w:w w:val="87"/>
              </w:rPr>
              <w:t>residential (1-4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37"/>
              <w:spacing w:after="0" w:line="131" w:lineRule="exact"/>
              <w:rPr>
                <w:sz w:val="20"/>
                <w:szCs w:val="20"/>
                <w:color w:val="auto"/>
              </w:rPr>
            </w:pPr>
            <w:r>
              <w:rPr>
                <w:rFonts w:ascii="Arial" w:cs="Arial" w:eastAsia="Arial" w:hAnsi="Arial"/>
                <w:sz w:val="13"/>
                <w:szCs w:val="13"/>
                <w:b w:val="1"/>
                <w:bCs w:val="1"/>
                <w:color w:val="auto"/>
                <w:w w:val="85"/>
              </w:rPr>
              <w:t>real estate and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estate</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estate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development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Industrial</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units)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6"/>
              </w:rPr>
              <w:t>other</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Unallocated</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2022</w:t>
            </w:r>
          </w:p>
        </w:tc>
        <w:tc>
          <w:tcPr>
            <w:tcW w:w="2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Allowance for loan losses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Individually evaluated for</w:t>
            </w:r>
          </w:p>
        </w:tc>
        <w:tc>
          <w:tcPr>
            <w:tcW w:w="2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impairment</w:t>
            </w: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180" w:type="dxa"/>
            <w:vAlign w:val="bottom"/>
            <w:tcBorders>
              <w:bottom w:val="single" w:sz="8" w:color="CCEEFF"/>
            </w:tcBorders>
            <w:gridSpan w:val="2"/>
            <w:vMerge w:val="continue"/>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220" w:type="dxa"/>
            <w:vAlign w:val="bottom"/>
            <w:tcBorders>
              <w:bottom w:val="single" w:sz="8" w:color="CCEEFF"/>
            </w:tcBorders>
            <w:gridSpan w:val="2"/>
            <w:vMerge w:val="continue"/>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94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gridSpan w:val="2"/>
            <w:vMerge w:val="continue"/>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240" w:type="dxa"/>
            <w:vAlign w:val="bottom"/>
            <w:tcBorders>
              <w:bottom w:val="single" w:sz="8" w:color="CCEEFF"/>
            </w:tcBorders>
            <w:gridSpan w:val="2"/>
            <w:vMerge w:val="continue"/>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320" w:type="dxa"/>
            <w:vAlign w:val="bottom"/>
            <w:tcBorders>
              <w:bottom w:val="single" w:sz="8" w:color="CCEEFF"/>
            </w:tcBorders>
            <w:gridSpan w:val="2"/>
            <w:vMerge w:val="continue"/>
            <w:shd w:val="clear" w:color="auto" w:fill="CCEEFF"/>
          </w:tcPr>
          <w:p>
            <w:pPr>
              <w:spacing w:after="0"/>
              <w:rPr>
                <w:sz w:val="14"/>
                <w:szCs w:val="14"/>
                <w:color w:val="auto"/>
              </w:rPr>
            </w:pP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20" w:type="dxa"/>
            <w:vAlign w:val="bottom"/>
          </w:tcPr>
          <w:p>
            <w:pPr>
              <w:ind w:left="140"/>
              <w:spacing w:after="0" w:line="122" w:lineRule="exact"/>
              <w:rPr>
                <w:sz w:val="20"/>
                <w:szCs w:val="20"/>
                <w:color w:val="auto"/>
              </w:rPr>
            </w:pPr>
            <w:r>
              <w:rPr>
                <w:rFonts w:ascii="Arial" w:cs="Arial" w:eastAsia="Arial" w:hAnsi="Arial"/>
                <w:sz w:val="13"/>
                <w:szCs w:val="13"/>
                <w:color w:val="auto"/>
              </w:rPr>
              <w:t>Collectively evaluated for</w:t>
            </w:r>
          </w:p>
        </w:tc>
        <w:tc>
          <w:tcPr>
            <w:tcW w:w="2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15,436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533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2,082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2,283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ind w:left="7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20,800</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tcPr>
          <w:p>
            <w:pPr>
              <w:ind w:left="300"/>
              <w:spacing w:after="0"/>
              <w:rPr>
                <w:sz w:val="20"/>
                <w:szCs w:val="20"/>
                <w:color w:val="auto"/>
              </w:rPr>
            </w:pPr>
            <w:r>
              <w:rPr>
                <w:rFonts w:ascii="Arial" w:cs="Arial" w:eastAsia="Arial" w:hAnsi="Arial"/>
                <w:sz w:val="13"/>
                <w:szCs w:val="13"/>
                <w:color w:val="auto"/>
              </w:rPr>
              <w:t>impairment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Total ending allowance balance</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15,477</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2,379</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28</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21,039</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Loan balance:</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120" w:type="dxa"/>
            <w:vAlign w:val="bottom"/>
          </w:tcPr>
          <w:p>
            <w:pPr>
              <w:ind w:left="140"/>
              <w:spacing w:after="0" w:line="122" w:lineRule="exact"/>
              <w:rPr>
                <w:sz w:val="20"/>
                <w:szCs w:val="20"/>
                <w:color w:val="auto"/>
              </w:rPr>
            </w:pPr>
            <w:r>
              <w:rPr>
                <w:rFonts w:ascii="Arial" w:cs="Arial" w:eastAsia="Arial" w:hAnsi="Arial"/>
                <w:sz w:val="13"/>
                <w:szCs w:val="13"/>
                <w:color w:val="auto"/>
              </w:rPr>
              <w:t>Individually evaluated for</w:t>
            </w:r>
          </w:p>
        </w:tc>
        <w:tc>
          <w:tcPr>
            <w:tcW w:w="240" w:type="dxa"/>
            <w:vAlign w:val="bottom"/>
            <w:vMerge w:val="restart"/>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331</w:t>
            </w: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2,580</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6,158</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24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720"/>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9,069</w:t>
            </w:r>
          </w:p>
        </w:tc>
        <w:tc>
          <w:tcPr>
            <w:tcW w:w="0" w:type="dxa"/>
            <w:vAlign w:val="bottom"/>
          </w:tcPr>
          <w:p>
            <w:pPr>
              <w:spacing w:after="0"/>
              <w:rPr>
                <w:sz w:val="1"/>
                <w:szCs w:val="1"/>
                <w:color w:val="auto"/>
              </w:rPr>
            </w:pPr>
          </w:p>
        </w:tc>
      </w:tr>
      <w:tr>
        <w:trPr>
          <w:trHeight w:val="160"/>
        </w:trPr>
        <w:tc>
          <w:tcPr>
            <w:tcW w:w="2120" w:type="dxa"/>
            <w:vAlign w:val="bottom"/>
          </w:tcPr>
          <w:p>
            <w:pPr>
              <w:ind w:left="300"/>
              <w:spacing w:after="0"/>
              <w:rPr>
                <w:sz w:val="20"/>
                <w:szCs w:val="20"/>
                <w:color w:val="auto"/>
              </w:rPr>
            </w:pPr>
            <w:r>
              <w:rPr>
                <w:rFonts w:ascii="Arial" w:cs="Arial" w:eastAsia="Arial" w:hAnsi="Arial"/>
                <w:sz w:val="13"/>
                <w:szCs w:val="13"/>
                <w:color w:val="auto"/>
              </w:rPr>
              <w:t>impairment</w:t>
            </w:r>
          </w:p>
        </w:tc>
        <w:tc>
          <w:tcPr>
            <w:tcW w:w="2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120" w:type="dxa"/>
            <w:vAlign w:val="bottom"/>
            <w:shd w:val="clear" w:color="auto" w:fill="CCEEFF"/>
          </w:tcPr>
          <w:p>
            <w:pPr>
              <w:ind w:left="140"/>
              <w:spacing w:after="0" w:line="122" w:lineRule="exact"/>
              <w:rPr>
                <w:sz w:val="20"/>
                <w:szCs w:val="20"/>
                <w:color w:val="auto"/>
              </w:rPr>
            </w:pPr>
            <w:r>
              <w:rPr>
                <w:rFonts w:ascii="Arial" w:cs="Arial" w:eastAsia="Arial" w:hAnsi="Arial"/>
                <w:sz w:val="13"/>
                <w:szCs w:val="13"/>
                <w:color w:val="auto"/>
              </w:rPr>
              <w:t>Collectively evaluated for</w:t>
            </w:r>
          </w:p>
        </w:tc>
        <w:tc>
          <w:tcPr>
            <w:tcW w:w="2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1,108,984</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124,534</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94,450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53,514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493,204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3,466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1,878,152</w:t>
            </w: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impairment</w:t>
            </w: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160"/>
              <w:spacing w:after="0"/>
              <w:rPr>
                <w:sz w:val="20"/>
                <w:szCs w:val="20"/>
                <w:color w:val="auto"/>
              </w:rPr>
            </w:pPr>
            <w:r>
              <w:rPr>
                <w:rFonts w:ascii="Arial" w:cs="Arial" w:eastAsia="Arial" w:hAnsi="Arial"/>
                <w:sz w:val="13"/>
                <w:szCs w:val="13"/>
                <w:color w:val="auto"/>
              </w:rPr>
              <w:t>Total ending loan balance</w:t>
            </w: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1,109,315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127,114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94,450</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53,514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499,362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3,466</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1,887,221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Prior to the adoption of CECL, loans were considered impaired when, based on current information and events as of the measurement date, it was probable the Company would be unable to collect all amounts due in accordance with the original contractual terms of the loan agreements. Impaired loans included loans on non-accrual status and accruing TDRs. When determining if the Company would be unable to collect all principal and interest payments due in accordance with the contractual terms of the loan agreement, the Company considered the borrower’s capacity to pay, which included such</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factors as the borrower’s current financial statements, an analysis of the global cash flow sufficient to pay all debt obligations, and an evaluation of secondary sources of repayment, such as guarantor support and collateral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impaired loans (in thousands) by portfolio segment as of December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9"/>
              </w:rPr>
              <w:t>Recorded Investment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97"/>
              <w:spacing w:after="0"/>
              <w:rPr>
                <w:sz w:val="20"/>
                <w:szCs w:val="20"/>
                <w:color w:val="auto"/>
              </w:rPr>
            </w:pPr>
            <w:r>
              <w:rPr>
                <w:rFonts w:ascii="Arial" w:cs="Arial" w:eastAsia="Arial" w:hAnsi="Arial"/>
                <w:sz w:val="13"/>
                <w:szCs w:val="13"/>
                <w:b w:val="1"/>
                <w:bCs w:val="1"/>
                <w:color w:val="auto"/>
                <w:w w:val="91"/>
              </w:rPr>
              <w:t>Unpaid Principal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7"/>
              </w:rPr>
              <w:t>Related Allowance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b w:val="1"/>
                <w:bCs w:val="1"/>
                <w:color w:val="auto"/>
                <w:w w:val="85"/>
              </w:rPr>
              <w:t>Average Recorded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97"/>
              <w:spacing w:after="0"/>
              <w:rPr>
                <w:sz w:val="20"/>
                <w:szCs w:val="20"/>
                <w:color w:val="auto"/>
              </w:rPr>
            </w:pPr>
            <w:r>
              <w:rPr>
                <w:rFonts w:ascii="Arial" w:cs="Arial" w:eastAsia="Arial" w:hAnsi="Arial"/>
                <w:sz w:val="13"/>
                <w:szCs w:val="13"/>
                <w:b w:val="1"/>
                <w:bCs w:val="1"/>
                <w:color w:val="auto"/>
                <w:w w:val="93"/>
              </w:rPr>
              <w:t>Interest Income</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Investment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w w:val="95"/>
              </w:rPr>
              <w:t xml:space="preserve">Recognized </w:t>
            </w:r>
            <w:r>
              <w:rPr>
                <w:rFonts w:ascii="Arial" w:cs="Arial" w:eastAsia="Arial" w:hAnsi="Arial"/>
                <w:sz w:val="16"/>
                <w:szCs w:val="16"/>
                <w:b w:val="1"/>
                <w:bCs w:val="1"/>
                <w:color w:val="auto"/>
                <w:w w:val="95"/>
                <w:vertAlign w:val="superscript"/>
              </w:rPr>
              <w:t>(1)</w:t>
            </w:r>
          </w:p>
        </w:tc>
        <w:tc>
          <w:tcPr>
            <w:tcW w:w="0" w:type="dxa"/>
            <w:vAlign w:val="bottom"/>
          </w:tcPr>
          <w:p>
            <w:pPr>
              <w:spacing w:after="0"/>
              <w:rPr>
                <w:sz w:val="1"/>
                <w:szCs w:val="1"/>
                <w:color w:val="auto"/>
              </w:rPr>
            </w:pPr>
          </w:p>
        </w:tc>
      </w:tr>
      <w:tr>
        <w:trPr>
          <w:trHeight w:val="156"/>
        </w:trPr>
        <w:tc>
          <w:tcPr>
            <w:tcW w:w="454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December 31, 2022</w:t>
            </w: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40" w:type="dxa"/>
            <w:vAlign w:val="bottom"/>
          </w:tcPr>
          <w:p>
            <w:pPr>
              <w:ind w:left="20"/>
              <w:spacing w:after="0"/>
              <w:rPr>
                <w:sz w:val="20"/>
                <w:szCs w:val="20"/>
                <w:color w:val="auto"/>
              </w:rPr>
            </w:pPr>
            <w:r>
              <w:rPr>
                <w:rFonts w:ascii="Arial" w:cs="Arial" w:eastAsia="Arial" w:hAnsi="Arial"/>
                <w:sz w:val="13"/>
                <w:szCs w:val="13"/>
                <w:color w:val="auto"/>
              </w:rPr>
              <w:t>With no related allowance recorded:</w:t>
            </w: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Commercial real estate</w:t>
            </w:r>
          </w:p>
        </w:tc>
        <w:tc>
          <w:tcPr>
            <w:tcW w:w="5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540" w:type="dxa"/>
            <w:vAlign w:val="bottom"/>
          </w:tcPr>
          <w:p>
            <w:pPr>
              <w:ind w:left="240"/>
              <w:spacing w:after="0"/>
              <w:rPr>
                <w:sz w:val="20"/>
                <w:szCs w:val="20"/>
                <w:color w:val="auto"/>
              </w:rPr>
            </w:pPr>
            <w:r>
              <w:rPr>
                <w:rFonts w:ascii="Arial" w:cs="Arial" w:eastAsia="Arial" w:hAnsi="Arial"/>
                <w:sz w:val="13"/>
                <w:szCs w:val="13"/>
                <w:color w:val="auto"/>
              </w:rPr>
              <w:t>Owner-occupied commercial real estate</w:t>
            </w: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77"/>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Acquisition, construction &amp; development</w:t>
            </w:r>
          </w:p>
        </w:tc>
        <w:tc>
          <w:tcPr>
            <w:tcW w:w="5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540" w:type="dxa"/>
            <w:vAlign w:val="bottom"/>
          </w:tcPr>
          <w:p>
            <w:pPr>
              <w:ind w:left="240"/>
              <w:spacing w:after="0"/>
              <w:rPr>
                <w:sz w:val="20"/>
                <w:szCs w:val="20"/>
                <w:color w:val="auto"/>
              </w:rPr>
            </w:pPr>
            <w:r>
              <w:rPr>
                <w:rFonts w:ascii="Arial" w:cs="Arial" w:eastAsia="Arial" w:hAnsi="Arial"/>
                <w:sz w:val="13"/>
                <w:szCs w:val="13"/>
                <w:color w:val="auto"/>
              </w:rPr>
              <w:t>Commercial &amp; industrial</w:t>
            </w: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Single family residential (1-4 units)</w:t>
            </w: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83"/>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Consumer non-real estate and other</w:t>
            </w: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4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3"/>
                <w:szCs w:val="13"/>
                <w:color w:val="auto"/>
              </w:rPr>
              <w:t>Subtotal</w:t>
            </w:r>
          </w:p>
        </w:tc>
        <w:tc>
          <w:tcPr>
            <w:tcW w:w="50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6,970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6,422</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With an allowance recorded:</w:t>
            </w: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540" w:type="dxa"/>
            <w:vAlign w:val="bottom"/>
          </w:tcPr>
          <w:p>
            <w:pPr>
              <w:ind w:left="240"/>
              <w:spacing w:after="0"/>
              <w:rPr>
                <w:sz w:val="20"/>
                <w:szCs w:val="20"/>
                <w:color w:val="auto"/>
              </w:rPr>
            </w:pPr>
            <w:r>
              <w:rPr>
                <w:rFonts w:ascii="Arial" w:cs="Arial" w:eastAsia="Arial" w:hAnsi="Arial"/>
                <w:sz w:val="13"/>
                <w:szCs w:val="13"/>
                <w:color w:val="auto"/>
              </w:rPr>
              <w:t>Commercial real estate</w:t>
            </w:r>
          </w:p>
        </w:tc>
        <w:tc>
          <w:tcPr>
            <w:tcW w:w="50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331</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331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41</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350</w:t>
            </w:r>
          </w:p>
        </w:tc>
        <w:tc>
          <w:tcPr>
            <w:tcW w:w="2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7"/>
        </w:trPr>
        <w:tc>
          <w:tcPr>
            <w:tcW w:w="4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Owner-occupied commercial real estate</w:t>
            </w:r>
          </w:p>
        </w:tc>
        <w:tc>
          <w:tcPr>
            <w:tcW w:w="5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1,397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68"/>
        </w:trPr>
        <w:tc>
          <w:tcPr>
            <w:tcW w:w="4540" w:type="dxa"/>
            <w:vAlign w:val="bottom"/>
          </w:tcPr>
          <w:p>
            <w:pPr>
              <w:ind w:left="240"/>
              <w:spacing w:after="0"/>
              <w:rPr>
                <w:sz w:val="20"/>
                <w:szCs w:val="20"/>
                <w:color w:val="auto"/>
              </w:rPr>
            </w:pPr>
            <w:r>
              <w:rPr>
                <w:rFonts w:ascii="Arial" w:cs="Arial" w:eastAsia="Arial" w:hAnsi="Arial"/>
                <w:sz w:val="13"/>
                <w:szCs w:val="13"/>
                <w:color w:val="auto"/>
              </w:rPr>
              <w:t>Acquisition, construction &amp; development</w:t>
            </w: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Commercial &amp; industrial</w:t>
            </w:r>
          </w:p>
        </w:tc>
        <w:tc>
          <w:tcPr>
            <w:tcW w:w="5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4540" w:type="dxa"/>
            <w:vAlign w:val="bottom"/>
          </w:tcPr>
          <w:p>
            <w:pPr>
              <w:ind w:left="240"/>
              <w:spacing w:after="0"/>
              <w:rPr>
                <w:sz w:val="20"/>
                <w:szCs w:val="20"/>
                <w:color w:val="auto"/>
              </w:rPr>
            </w:pPr>
            <w:r>
              <w:rPr>
                <w:rFonts w:ascii="Arial" w:cs="Arial" w:eastAsia="Arial" w:hAnsi="Arial"/>
                <w:sz w:val="13"/>
                <w:szCs w:val="13"/>
                <w:color w:val="auto"/>
              </w:rPr>
              <w:t>Single family residential (1-4 units)</w:t>
            </w:r>
          </w:p>
        </w:tc>
        <w:tc>
          <w:tcPr>
            <w:tcW w:w="5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1,141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1,033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5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Consumer non-real estate and other</w:t>
            </w:r>
          </w:p>
        </w:tc>
        <w:tc>
          <w:tcPr>
            <w:tcW w:w="5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540" w:type="dxa"/>
            <w:vAlign w:val="bottom"/>
          </w:tcPr>
          <w:p>
            <w:pPr>
              <w:ind w:left="460"/>
              <w:spacing w:after="0"/>
              <w:rPr>
                <w:sz w:val="20"/>
                <w:szCs w:val="20"/>
                <w:color w:val="auto"/>
              </w:rPr>
            </w:pPr>
            <w:r>
              <w:rPr>
                <w:rFonts w:ascii="Arial" w:cs="Arial" w:eastAsia="Arial" w:hAnsi="Arial"/>
                <w:sz w:val="13"/>
                <w:szCs w:val="13"/>
                <w:color w:val="auto"/>
              </w:rPr>
              <w:t>Subtotal</w:t>
            </w:r>
          </w:p>
        </w:tc>
        <w:tc>
          <w:tcPr>
            <w:tcW w:w="50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2,735</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2,869</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Cash basis interest income recognized approximates interest income recognized shown as of the twelve months ended December 31, 2022.</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recorded investment in loans excludes accrued interest receivable and loan origination fees, net due to immateriality. The following table presents the aging of the recorded investment in past due loans as of March 31, 2023, and December 31, 2022, by portfolio segment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3"/>
                <w:szCs w:val="13"/>
                <w:b w:val="1"/>
                <w:bCs w:val="1"/>
                <w:color w:val="auto"/>
              </w:rPr>
              <w:t>March 31, 2023</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00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88"/>
              </w:rPr>
              <w:t>30 - 59 Days Past</w:t>
            </w:r>
          </w:p>
        </w:tc>
        <w:tc>
          <w:tcPr>
            <w:tcW w:w="100" w:type="dxa"/>
            <w:vAlign w:val="bottom"/>
          </w:tcPr>
          <w:p>
            <w:pPr>
              <w:spacing w:after="0"/>
              <w:rPr>
                <w:sz w:val="10"/>
                <w:szCs w:val="10"/>
                <w:color w:val="auto"/>
              </w:rPr>
            </w:pPr>
          </w:p>
        </w:tc>
        <w:tc>
          <w:tcPr>
            <w:tcW w:w="98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86"/>
              </w:rPr>
              <w:t>60 - 89 Days Past</w:t>
            </w:r>
          </w:p>
        </w:tc>
        <w:tc>
          <w:tcPr>
            <w:tcW w:w="100" w:type="dxa"/>
            <w:vAlign w:val="bottom"/>
          </w:tcPr>
          <w:p>
            <w:pPr>
              <w:spacing w:after="0"/>
              <w:rPr>
                <w:sz w:val="10"/>
                <w:szCs w:val="10"/>
                <w:color w:val="auto"/>
              </w:rPr>
            </w:pPr>
          </w:p>
        </w:tc>
        <w:tc>
          <w:tcPr>
            <w:tcW w:w="98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1"/>
              </w:rPr>
              <w:t>90 Days or More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6"/>
              </w:rPr>
              <w:t>Total Past Due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9"/>
              </w:rPr>
              <w:t>Current Loans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0"/>
              </w:rPr>
              <w:t>Total Loans</w:t>
            </w:r>
          </w:p>
        </w:tc>
        <w:tc>
          <w:tcPr>
            <w:tcW w:w="80" w:type="dxa"/>
            <w:vAlign w:val="bottom"/>
          </w:tcPr>
          <w:p>
            <w:pPr>
              <w:spacing w:after="0"/>
              <w:rPr>
                <w:sz w:val="10"/>
                <w:szCs w:val="10"/>
                <w:color w:val="auto"/>
              </w:rPr>
            </w:pPr>
          </w:p>
        </w:tc>
        <w:tc>
          <w:tcPr>
            <w:tcW w:w="1000" w:type="dxa"/>
            <w:vAlign w:val="bottom"/>
            <w:gridSpan w:val="2"/>
          </w:tcPr>
          <w:p>
            <w:pPr>
              <w:ind w:left="40"/>
              <w:spacing w:after="0" w:line="122" w:lineRule="exact"/>
              <w:rPr>
                <w:sz w:val="20"/>
                <w:szCs w:val="20"/>
                <w:color w:val="auto"/>
              </w:rPr>
            </w:pPr>
            <w:r>
              <w:rPr>
                <w:rFonts w:ascii="Arial" w:cs="Arial" w:eastAsia="Arial" w:hAnsi="Arial"/>
                <w:sz w:val="13"/>
                <w:szCs w:val="13"/>
                <w:b w:val="1"/>
                <w:bCs w:val="1"/>
                <w:color w:val="auto"/>
                <w:w w:val="86"/>
              </w:rPr>
              <w:t>90 Days Past Due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97"/>
              <w:spacing w:after="0" w:line="122" w:lineRule="exact"/>
              <w:rPr>
                <w:sz w:val="20"/>
                <w:szCs w:val="20"/>
                <w:color w:val="auto"/>
              </w:rPr>
            </w:pPr>
            <w:r>
              <w:rPr>
                <w:rFonts w:ascii="Arial" w:cs="Arial" w:eastAsia="Arial" w:hAnsi="Arial"/>
                <w:sz w:val="13"/>
                <w:szCs w:val="13"/>
                <w:b w:val="1"/>
                <w:bCs w:val="1"/>
                <w:color w:val="auto"/>
                <w:w w:val="93"/>
              </w:rPr>
              <w:t>Non-accrual</w:t>
            </w:r>
          </w:p>
        </w:tc>
        <w:tc>
          <w:tcPr>
            <w:tcW w:w="0" w:type="dxa"/>
            <w:vAlign w:val="bottom"/>
          </w:tcPr>
          <w:p>
            <w:pPr>
              <w:spacing w:after="0"/>
              <w:rPr>
                <w:sz w:val="1"/>
                <w:szCs w:val="1"/>
                <w:color w:val="auto"/>
              </w:rPr>
            </w:pPr>
          </w:p>
        </w:tc>
      </w:tr>
      <w:tr>
        <w:trPr>
          <w:trHeight w:val="164"/>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317"/>
              <w:spacing w:after="0"/>
              <w:rPr>
                <w:sz w:val="20"/>
                <w:szCs w:val="20"/>
                <w:color w:val="auto"/>
              </w:rPr>
            </w:pPr>
            <w:r>
              <w:rPr>
                <w:rFonts w:ascii="Arial" w:cs="Arial" w:eastAsia="Arial" w:hAnsi="Arial"/>
                <w:sz w:val="13"/>
                <w:szCs w:val="13"/>
                <w:b w:val="1"/>
                <w:bCs w:val="1"/>
                <w:color w:val="auto"/>
              </w:rPr>
              <w:t>Due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17"/>
              <w:spacing w:after="0"/>
              <w:rPr>
                <w:sz w:val="20"/>
                <w:szCs w:val="20"/>
                <w:color w:val="auto"/>
              </w:rPr>
            </w:pPr>
            <w:r>
              <w:rPr>
                <w:rFonts w:ascii="Arial" w:cs="Arial" w:eastAsia="Arial" w:hAnsi="Arial"/>
                <w:sz w:val="13"/>
                <w:szCs w:val="13"/>
                <w:b w:val="1"/>
                <w:bCs w:val="1"/>
                <w:color w:val="auto"/>
              </w:rPr>
              <w:t>Due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77"/>
              <w:spacing w:after="0"/>
              <w:rPr>
                <w:sz w:val="20"/>
                <w:szCs w:val="20"/>
                <w:color w:val="auto"/>
              </w:rPr>
            </w:pPr>
            <w:r>
              <w:rPr>
                <w:rFonts w:ascii="Arial" w:cs="Arial" w:eastAsia="Arial" w:hAnsi="Arial"/>
                <w:sz w:val="13"/>
                <w:szCs w:val="13"/>
                <w:b w:val="1"/>
                <w:bCs w:val="1"/>
                <w:color w:val="auto"/>
                <w:w w:val="96"/>
              </w:rPr>
              <w:t>Past Due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&amp; Still Accruing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97"/>
              <w:spacing w:after="0"/>
              <w:rPr>
                <w:sz w:val="20"/>
                <w:szCs w:val="20"/>
                <w:color w:val="auto"/>
              </w:rPr>
            </w:pPr>
            <w:r>
              <w:rPr>
                <w:rFonts w:ascii="Arial" w:cs="Arial" w:eastAsia="Arial" w:hAnsi="Arial"/>
                <w:sz w:val="13"/>
                <w:szCs w:val="13"/>
                <w:b w:val="1"/>
                <w:bCs w:val="1"/>
                <w:color w:val="auto"/>
              </w:rPr>
              <w:t>loans</w:t>
            </w:r>
          </w:p>
        </w:tc>
        <w:tc>
          <w:tcPr>
            <w:tcW w:w="0" w:type="dxa"/>
            <w:vAlign w:val="bottom"/>
          </w:tcPr>
          <w:p>
            <w:pPr>
              <w:spacing w:after="0"/>
              <w:rPr>
                <w:sz w:val="1"/>
                <w:szCs w:val="1"/>
                <w:color w:val="auto"/>
              </w:rPr>
            </w:pPr>
          </w:p>
        </w:tc>
      </w:tr>
      <w:tr>
        <w:trPr>
          <w:trHeight w:val="25"/>
        </w:trPr>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real estate</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1,152,135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1,154,210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rPr>
                <w:sz w:val="20"/>
                <w:szCs w:val="20"/>
                <w:color w:val="auto"/>
              </w:rPr>
            </w:pPr>
            <w:r>
              <w:rPr>
                <w:rFonts w:ascii="Arial" w:cs="Arial" w:eastAsia="Arial" w:hAnsi="Arial"/>
                <w:sz w:val="13"/>
                <w:szCs w:val="13"/>
                <w:color w:val="auto"/>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125,657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125,657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1,121</w:t>
            </w:r>
          </w:p>
        </w:tc>
        <w:tc>
          <w:tcPr>
            <w:tcW w:w="0" w:type="dxa"/>
            <w:vAlign w:val="bottom"/>
          </w:tcPr>
          <w:p>
            <w:pPr>
              <w:spacing w:after="0"/>
              <w:rPr>
                <w:sz w:val="1"/>
                <w:szCs w:val="1"/>
                <w:color w:val="auto"/>
              </w:rPr>
            </w:pPr>
          </w:p>
        </w:tc>
      </w:tr>
      <w:tr>
        <w:trPr>
          <w:trHeight w:val="177"/>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Acquisition, construction &amp; development</w:t>
            </w:r>
          </w:p>
        </w:tc>
        <w:tc>
          <w:tcPr>
            <w:tcW w:w="2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99,886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99,886</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rPr>
                <w:sz w:val="20"/>
                <w:szCs w:val="20"/>
                <w:color w:val="auto"/>
              </w:rPr>
            </w:pPr>
            <w:r>
              <w:rPr>
                <w:rFonts w:ascii="Arial" w:cs="Arial" w:eastAsia="Arial" w:hAnsi="Arial"/>
                <w:sz w:val="13"/>
                <w:szCs w:val="13"/>
                <w:color w:val="auto"/>
              </w:rPr>
              <w:t>Commercial &amp; industrial</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50,070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50,101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516,932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518,775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2,125</w:t>
            </w:r>
          </w:p>
        </w:tc>
        <w:tc>
          <w:tcPr>
            <w:tcW w:w="0" w:type="dxa"/>
            <w:vAlign w:val="bottom"/>
          </w:tcPr>
          <w:p>
            <w:pPr>
              <w:spacing w:after="0"/>
              <w:rPr>
                <w:sz w:val="1"/>
                <w:szCs w:val="1"/>
                <w:color w:val="auto"/>
              </w:rPr>
            </w:pPr>
          </w:p>
        </w:tc>
      </w:tr>
      <w:tr>
        <w:trPr>
          <w:trHeight w:val="183"/>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Consumer non-real estate and other</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3,109</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3,949</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1,947,789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1,951,738</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3,246</w:t>
            </w: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4"/>
          </w:tcPr>
          <w:p>
            <w:pPr>
              <w:jc w:val="right"/>
              <w:ind w:right="497"/>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50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500" w:type="dxa"/>
            <w:vAlign w:val="bottom"/>
          </w:tcPr>
          <w:p>
            <w:pPr>
              <w:spacing w:after="0"/>
              <w:rPr>
                <w:sz w:val="10"/>
                <w:szCs w:val="10"/>
                <w:color w:val="auto"/>
              </w:rPr>
            </w:pPr>
          </w:p>
        </w:tc>
        <w:tc>
          <w:tcPr>
            <w:tcW w:w="100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w w:val="88"/>
              </w:rPr>
              <w:t>30 - 59 Days Past</w:t>
            </w:r>
          </w:p>
        </w:tc>
        <w:tc>
          <w:tcPr>
            <w:tcW w:w="100" w:type="dxa"/>
            <w:vAlign w:val="bottom"/>
          </w:tcPr>
          <w:p>
            <w:pPr>
              <w:spacing w:after="0"/>
              <w:rPr>
                <w:sz w:val="10"/>
                <w:szCs w:val="10"/>
                <w:color w:val="auto"/>
              </w:rPr>
            </w:pPr>
          </w:p>
        </w:tc>
        <w:tc>
          <w:tcPr>
            <w:tcW w:w="98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w w:val="86"/>
              </w:rPr>
              <w:t>60 - 89 Days Past</w:t>
            </w:r>
          </w:p>
        </w:tc>
        <w:tc>
          <w:tcPr>
            <w:tcW w:w="100" w:type="dxa"/>
            <w:vAlign w:val="bottom"/>
          </w:tcPr>
          <w:p>
            <w:pPr>
              <w:spacing w:after="0"/>
              <w:rPr>
                <w:sz w:val="10"/>
                <w:szCs w:val="10"/>
                <w:color w:val="auto"/>
              </w:rPr>
            </w:pPr>
          </w:p>
        </w:tc>
        <w:tc>
          <w:tcPr>
            <w:tcW w:w="98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w w:val="91"/>
              </w:rPr>
              <w:t>90 Days or More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6"/>
              </w:rPr>
              <w:t>Total Past Due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9"/>
              </w:rPr>
              <w:t>Current Loans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w w:val="90"/>
              </w:rPr>
              <w:t>Total Loans</w:t>
            </w:r>
          </w:p>
        </w:tc>
        <w:tc>
          <w:tcPr>
            <w:tcW w:w="80" w:type="dxa"/>
            <w:vAlign w:val="bottom"/>
          </w:tcPr>
          <w:p>
            <w:pPr>
              <w:spacing w:after="0"/>
              <w:rPr>
                <w:sz w:val="10"/>
                <w:szCs w:val="10"/>
                <w:color w:val="auto"/>
              </w:rPr>
            </w:pPr>
          </w:p>
        </w:tc>
        <w:tc>
          <w:tcPr>
            <w:tcW w:w="1000" w:type="dxa"/>
            <w:vAlign w:val="bottom"/>
            <w:gridSpan w:val="2"/>
          </w:tcPr>
          <w:p>
            <w:pPr>
              <w:ind w:left="40"/>
              <w:spacing w:after="0" w:line="115" w:lineRule="exact"/>
              <w:rPr>
                <w:sz w:val="20"/>
                <w:szCs w:val="20"/>
                <w:color w:val="auto"/>
              </w:rPr>
            </w:pPr>
            <w:r>
              <w:rPr>
                <w:rFonts w:ascii="Arial" w:cs="Arial" w:eastAsia="Arial" w:hAnsi="Arial"/>
                <w:sz w:val="13"/>
                <w:szCs w:val="13"/>
                <w:b w:val="1"/>
                <w:bCs w:val="1"/>
                <w:color w:val="auto"/>
                <w:w w:val="86"/>
              </w:rPr>
              <w:t>90 Days Past Due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97"/>
              <w:spacing w:after="0" w:line="115" w:lineRule="exact"/>
              <w:rPr>
                <w:sz w:val="20"/>
                <w:szCs w:val="20"/>
                <w:color w:val="auto"/>
              </w:rPr>
            </w:pPr>
            <w:r>
              <w:rPr>
                <w:rFonts w:ascii="Arial" w:cs="Arial" w:eastAsia="Arial" w:hAnsi="Arial"/>
                <w:sz w:val="13"/>
                <w:szCs w:val="13"/>
                <w:b w:val="1"/>
                <w:bCs w:val="1"/>
                <w:color w:val="auto"/>
                <w:w w:val="93"/>
              </w:rPr>
              <w:t>Non-accrual</w:t>
            </w: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Due</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Due</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6"/>
              </w:rPr>
              <w:t>Past Due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&amp; Still Accruing</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loans</w:t>
            </w:r>
          </w:p>
        </w:tc>
        <w:tc>
          <w:tcPr>
            <w:tcW w:w="0" w:type="dxa"/>
            <w:vAlign w:val="bottom"/>
          </w:tcPr>
          <w:p>
            <w:pPr>
              <w:spacing w:after="0"/>
              <w:rPr>
                <w:sz w:val="1"/>
                <w:szCs w:val="1"/>
                <w:color w:val="auto"/>
              </w:rPr>
            </w:pPr>
          </w:p>
        </w:tc>
      </w:tr>
      <w:tr>
        <w:trPr>
          <w:trHeight w:val="168"/>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Commercial real estate</w:t>
            </w: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1,109,315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1,109,315</w:t>
            </w:r>
          </w:p>
        </w:tc>
        <w:tc>
          <w:tcPr>
            <w:tcW w:w="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rPr>
                <w:sz w:val="20"/>
                <w:szCs w:val="20"/>
                <w:color w:val="auto"/>
              </w:rPr>
            </w:pPr>
            <w:r>
              <w:rPr>
                <w:rFonts w:ascii="Arial" w:cs="Arial" w:eastAsia="Arial" w:hAnsi="Arial"/>
                <w:sz w:val="13"/>
                <w:szCs w:val="13"/>
                <w:color w:val="auto"/>
              </w:rPr>
              <w:t>Owner-occupied commercial real estate</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127,114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127,114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1,184</w:t>
            </w: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construction &amp; development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94,450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500" w:type="dxa"/>
            <w:vAlign w:val="bottom"/>
          </w:tcPr>
          <w:p>
            <w:pPr>
              <w:ind w:left="20"/>
              <w:spacing w:after="0"/>
              <w:rPr>
                <w:sz w:val="20"/>
                <w:szCs w:val="20"/>
                <w:color w:val="auto"/>
              </w:rPr>
            </w:pPr>
            <w:r>
              <w:rPr>
                <w:rFonts w:ascii="Arial" w:cs="Arial" w:eastAsia="Arial" w:hAnsi="Arial"/>
                <w:sz w:val="13"/>
                <w:szCs w:val="13"/>
                <w:color w:val="auto"/>
              </w:rPr>
              <w:t>Commercial &amp; industrial</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53,514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53,514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Single family residential (1-4 units)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497,259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499,362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4,313</w:t>
            </w:r>
          </w:p>
        </w:tc>
        <w:tc>
          <w:tcPr>
            <w:tcW w:w="0" w:type="dxa"/>
            <w:vAlign w:val="bottom"/>
          </w:tcPr>
          <w:p>
            <w:pPr>
              <w:spacing w:after="0"/>
              <w:rPr>
                <w:sz w:val="1"/>
                <w:szCs w:val="1"/>
                <w:color w:val="auto"/>
              </w:rPr>
            </w:pPr>
          </w:p>
        </w:tc>
      </w:tr>
      <w:tr>
        <w:trPr>
          <w:trHeight w:val="174"/>
        </w:trPr>
        <w:tc>
          <w:tcPr>
            <w:tcW w:w="2500" w:type="dxa"/>
            <w:vAlign w:val="bottom"/>
          </w:tcPr>
          <w:p>
            <w:pPr>
              <w:ind w:left="20"/>
              <w:spacing w:after="0"/>
              <w:rPr>
                <w:sz w:val="20"/>
                <w:szCs w:val="20"/>
                <w:color w:val="auto"/>
              </w:rPr>
            </w:pPr>
            <w:r>
              <w:rPr>
                <w:rFonts w:ascii="Arial" w:cs="Arial" w:eastAsia="Arial" w:hAnsi="Arial"/>
                <w:sz w:val="13"/>
                <w:szCs w:val="13"/>
                <w:color w:val="auto"/>
              </w:rPr>
              <w:t>Consumer non-real estate and other</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3,466</w:t>
            </w:r>
          </w:p>
        </w:tc>
        <w:tc>
          <w:tcPr>
            <w:tcW w:w="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25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1,885,114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1,887,221</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 Indicators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categorizes loans into risk categories based on relevant information about the ability of borrowers to service their debt such as: current financial information, historical payment experience, credit documentation, public information, current economic information, and other factors. The Company analyzes loans individually by classifying the loans by credit risk. The Company internally grades all commercial loans at the time of origination. In addition, the Company performs an annual review on the top twenty-five non-homogenous commercial loan relationships as measured by total Company exposure to each borrower. The Company uses the following definitions for credit risk classifications: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w:t>
      </w:r>
      <w:r>
        <w:rPr>
          <w:rFonts w:ascii="Arial" w:cs="Arial" w:eastAsia="Arial" w:hAnsi="Arial"/>
          <w:sz w:val="18"/>
          <w:szCs w:val="18"/>
          <w:color w:val="auto"/>
        </w:rPr>
        <w:t>: These include satisfactory loans that have acceptable levels of risk.</w:t>
      </w:r>
    </w:p>
    <w:p>
      <w:pPr>
        <w:spacing w:after="0" w:line="17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Special Mention</w:t>
      </w:r>
      <w:r>
        <w:rPr>
          <w:rFonts w:ascii="Arial" w:cs="Arial" w:eastAsia="Arial" w:hAnsi="Arial"/>
          <w:sz w:val="16"/>
          <w:szCs w:val="16"/>
          <w:color w:val="auto"/>
        </w:rPr>
        <w:t>: Loans classified as special mention have a potential credit weakness that deserves management’s close attention. If left uncorrected,</w:t>
      </w:r>
      <w:r>
        <w:rPr>
          <w:rFonts w:ascii="Arial" w:cs="Arial" w:eastAsia="Arial" w:hAnsi="Arial"/>
          <w:sz w:val="16"/>
          <w:szCs w:val="16"/>
          <w:b w:val="1"/>
          <w:bCs w:val="1"/>
          <w:color w:val="auto"/>
        </w:rPr>
        <w:t xml:space="preserve"> </w:t>
      </w:r>
      <w:r>
        <w:rPr>
          <w:rFonts w:ascii="Arial" w:cs="Arial" w:eastAsia="Arial" w:hAnsi="Arial"/>
          <w:sz w:val="16"/>
          <w:szCs w:val="16"/>
          <w:color w:val="auto"/>
        </w:rPr>
        <w:t>these potential weaknesses may result in deterioration of the repayment prospects for the loan or of the institution’s credit position at some future date.</w:t>
      </w:r>
    </w:p>
    <w:p>
      <w:pPr>
        <w:spacing w:after="0" w:line="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Substandard</w:t>
      </w:r>
      <w:r>
        <w:rPr>
          <w:rFonts w:ascii="Arial" w:cs="Arial" w:eastAsia="Arial" w:hAnsi="Arial"/>
          <w:sz w:val="18"/>
          <w:szCs w:val="18"/>
          <w:color w:val="auto"/>
        </w:rPr>
        <w:t>: Loans classified as substandard have a well-defined weakness or weaknesses that jeopardize the orderly liquidation of debt. Loans classified</w:t>
      </w:r>
      <w:r>
        <w:rPr>
          <w:rFonts w:ascii="Arial" w:cs="Arial" w:eastAsia="Arial" w:hAnsi="Arial"/>
          <w:sz w:val="18"/>
          <w:szCs w:val="18"/>
          <w:b w:val="1"/>
          <w:bCs w:val="1"/>
          <w:color w:val="auto"/>
        </w:rPr>
        <w:t xml:space="preserve"> </w:t>
      </w:r>
      <w:r>
        <w:rPr>
          <w:rFonts w:ascii="Arial" w:cs="Arial" w:eastAsia="Arial" w:hAnsi="Arial"/>
          <w:sz w:val="18"/>
          <w:szCs w:val="18"/>
          <w:color w:val="auto"/>
        </w:rPr>
        <w:t>as substandard are inadequately protected by sound net worth, payment capacity of the borrower, or of the collateral pledged. If weaknesses go uncorrected, there is potential for partial loss of principal and/or interest.</w:t>
      </w:r>
    </w:p>
    <w:p>
      <w:pPr>
        <w:spacing w:after="0" w:line="12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Doubtful</w:t>
      </w:r>
      <w:r>
        <w:rPr>
          <w:rFonts w:ascii="Arial" w:cs="Arial" w:eastAsia="Arial" w:hAnsi="Arial"/>
          <w:sz w:val="17"/>
          <w:szCs w:val="17"/>
          <w:color w:val="auto"/>
        </w:rPr>
        <w:t>: Loans classified as doubtful have all the weaknesses inherent in those classified as substandard, with the added characteristic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weaknesses make collection or liquidation in full, on the basis of currently existing facts, conditions, and values, highly questionable and unlikely.</w:t>
      </w:r>
    </w:p>
    <w:p>
      <w:pPr>
        <w:spacing w:after="0" w:line="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Loss</w:t>
      </w:r>
      <w:r>
        <w:rPr>
          <w:rFonts w:ascii="Arial" w:cs="Arial" w:eastAsia="Arial" w:hAnsi="Arial"/>
          <w:sz w:val="18"/>
          <w:szCs w:val="18"/>
          <w:color w:val="auto"/>
        </w:rPr>
        <w:t>: Loans classified as a loss are considered to be uncollectible and cannot be justified to continue as viable assets. While there may be the possibility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some recovery in the future, it is not practical or desirable to defer writing off these loans at the present time.</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portfolio of smaller homogenous loans that are not individually risk rated that are included within the single family residential and consumer non-real estate and other loan classes. Generally, these loan classes are rated in a “Pass” unless these loans are on non-accrual and are then classified as substandard.</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amortized cost basis of the loan portfolio, by year of origination, loan class, and credit quality, as of March 31, 2023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Term Loans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5"/>
        </w:trPr>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317"/>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1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Revolving Loans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7"/>
              <w:spacing w:after="0"/>
              <w:rPr>
                <w:sz w:val="20"/>
                <w:szCs w:val="20"/>
                <w:color w:val="auto"/>
              </w:rPr>
            </w:pPr>
            <w:r>
              <w:rPr>
                <w:rFonts w:ascii="Arial" w:cs="Arial" w:eastAsia="Arial" w:hAnsi="Arial"/>
                <w:sz w:val="13"/>
                <w:szCs w:val="13"/>
                <w:b w:val="1"/>
                <w:bCs w:val="1"/>
                <w:color w:val="auto"/>
              </w:rPr>
              <w:t>Total</w:t>
            </w:r>
          </w:p>
        </w:tc>
      </w:tr>
      <w:tr>
        <w:trPr>
          <w:trHeight w:val="30"/>
        </w:trPr>
        <w:tc>
          <w:tcPr>
            <w:tcW w:w="2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55"/>
        </w:trPr>
        <w:tc>
          <w:tcPr>
            <w:tcW w:w="23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Commercial real estate</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0"/>
        </w:trPr>
        <w:tc>
          <w:tcPr>
            <w:tcW w:w="2340" w:type="dxa"/>
            <w:vAlign w:val="bottom"/>
          </w:tcPr>
          <w:p>
            <w:pPr>
              <w:ind w:left="140"/>
              <w:spacing w:after="0"/>
              <w:rPr>
                <w:sz w:val="20"/>
                <w:szCs w:val="20"/>
                <w:color w:val="auto"/>
              </w:rPr>
            </w:pPr>
            <w:r>
              <w:rPr>
                <w:rFonts w:ascii="Arial" w:cs="Arial" w:eastAsia="Arial" w:hAnsi="Arial"/>
                <w:sz w:val="13"/>
                <w:szCs w:val="13"/>
                <w:color w:val="auto"/>
              </w:rPr>
              <w:t>Pass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51,800</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282,900</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214,098</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15,998</w:t>
            </w:r>
          </w:p>
        </w:tc>
        <w:tc>
          <w:tcPr>
            <w:tcW w:w="34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76,014</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403,273</w:t>
            </w:r>
          </w:p>
        </w:tc>
        <w:tc>
          <w:tcPr>
            <w:tcW w:w="48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4,309</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1,048,392</w:t>
            </w:r>
          </w:p>
        </w:tc>
      </w:tr>
      <w:tr>
        <w:trPr>
          <w:trHeight w:val="29"/>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5"/>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40,929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54,664</w:t>
            </w:r>
          </w:p>
        </w:tc>
      </w:tr>
      <w:tr>
        <w:trPr>
          <w:trHeight w:val="168"/>
        </w:trPr>
        <w:tc>
          <w:tcPr>
            <w:tcW w:w="234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2,351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7,569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40,634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51,154</w:t>
            </w:r>
          </w:p>
        </w:tc>
      </w:tr>
      <w:tr>
        <w:trPr>
          <w:trHeight w:val="177"/>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40" w:type="dxa"/>
            <w:vAlign w:val="bottom"/>
          </w:tcPr>
          <w:p>
            <w:pPr>
              <w:ind w:left="140"/>
              <w:spacing w:after="0"/>
              <w:rPr>
                <w:sz w:val="20"/>
                <w:szCs w:val="20"/>
                <w:color w:val="auto"/>
              </w:rPr>
            </w:pPr>
            <w:r>
              <w:rPr>
                <w:rFonts w:ascii="Arial" w:cs="Arial" w:eastAsia="Arial" w:hAnsi="Arial"/>
                <w:sz w:val="13"/>
                <w:szCs w:val="13"/>
                <w:color w:val="auto"/>
              </w:rPr>
              <w:t>Loss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4"/>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51,800</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283,500</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216,449</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24,431</w:t>
            </w:r>
          </w:p>
        </w:tc>
        <w:tc>
          <w:tcPr>
            <w:tcW w:w="34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88,885</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484,836</w:t>
            </w:r>
          </w:p>
        </w:tc>
        <w:tc>
          <w:tcPr>
            <w:tcW w:w="480" w:type="dxa"/>
            <w:vAlign w:val="bottom"/>
            <w:gridSpan w:val="2"/>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4,309</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1,154,210</w:t>
            </w:r>
          </w:p>
        </w:tc>
      </w:tr>
      <w:tr>
        <w:trPr>
          <w:trHeight w:val="265"/>
        </w:trPr>
        <w:tc>
          <w:tcPr>
            <w:tcW w:w="234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169"/>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period gross charge-offs</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70"/>
        </w:trPr>
        <w:tc>
          <w:tcPr>
            <w:tcW w:w="234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r>
      <w:tr>
        <w:trPr>
          <w:trHeight w:val="175"/>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Owner-occupied commercial real estate</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8"/>
        </w:trPr>
        <w:tc>
          <w:tcPr>
            <w:tcW w:w="2340" w:type="dxa"/>
            <w:vAlign w:val="bottom"/>
          </w:tcPr>
          <w:p>
            <w:pPr>
              <w:ind w:left="140"/>
              <w:spacing w:after="0"/>
              <w:rPr>
                <w:sz w:val="20"/>
                <w:szCs w:val="20"/>
                <w:color w:val="auto"/>
              </w:rPr>
            </w:pPr>
            <w:r>
              <w:rPr>
                <w:rFonts w:ascii="Arial" w:cs="Arial" w:eastAsia="Arial" w:hAnsi="Arial"/>
                <w:sz w:val="13"/>
                <w:szCs w:val="13"/>
                <w:color w:val="auto"/>
              </w:rPr>
              <w:t>Pass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823</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30,039</w:t>
            </w:r>
          </w:p>
        </w:tc>
        <w:tc>
          <w:tcPr>
            <w:tcW w:w="34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9,857</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15,463</w:t>
            </w:r>
          </w:p>
        </w:tc>
        <w:tc>
          <w:tcPr>
            <w:tcW w:w="34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13,686</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49,753</w:t>
            </w:r>
          </w:p>
        </w:tc>
        <w:tc>
          <w:tcPr>
            <w:tcW w:w="48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2,385</w:t>
            </w:r>
          </w:p>
        </w:tc>
        <w:tc>
          <w:tcPr>
            <w:tcW w:w="32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122,006</w:t>
            </w:r>
          </w:p>
        </w:tc>
      </w:tr>
      <w:tr>
        <w:trPr>
          <w:trHeight w:val="177"/>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1,947</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1,947</w:t>
            </w:r>
          </w:p>
        </w:tc>
      </w:tr>
      <w:tr>
        <w:trPr>
          <w:trHeight w:val="168"/>
        </w:trPr>
        <w:tc>
          <w:tcPr>
            <w:tcW w:w="234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1,411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1,704</w:t>
            </w:r>
          </w:p>
        </w:tc>
      </w:tr>
      <w:tr>
        <w:trPr>
          <w:trHeight w:val="183"/>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3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Loss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30,332</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9,857</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15,463</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13,686</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53,111</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2,385</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125,657</w:t>
            </w:r>
          </w:p>
        </w:tc>
      </w:tr>
      <w:tr>
        <w:trPr>
          <w:trHeight w:val="162"/>
        </w:trPr>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9"/>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period gross charge-offs</w:t>
            </w: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Acquisition, construction &amp; development</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60"/>
        </w:trPr>
        <w:tc>
          <w:tcPr>
            <w:tcW w:w="2360" w:type="dxa"/>
            <w:vAlign w:val="bottom"/>
          </w:tcPr>
          <w:p>
            <w:pPr>
              <w:ind w:left="140"/>
              <w:spacing w:after="0"/>
              <w:rPr>
                <w:sz w:val="20"/>
                <w:szCs w:val="20"/>
                <w:color w:val="auto"/>
              </w:rPr>
            </w:pPr>
            <w:r>
              <w:rPr>
                <w:rFonts w:ascii="Arial" w:cs="Arial" w:eastAsia="Arial" w:hAnsi="Arial"/>
                <w:sz w:val="13"/>
                <w:szCs w:val="13"/>
                <w:color w:val="auto"/>
              </w:rPr>
              <w:t>Pass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1,275</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28,498</w:t>
            </w:r>
          </w:p>
        </w:tc>
        <w:tc>
          <w:tcPr>
            <w:tcW w:w="46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10,995</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9,260</w:t>
            </w:r>
          </w:p>
        </w:tc>
        <w:tc>
          <w:tcPr>
            <w:tcW w:w="40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1,398</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1,360</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52,786</w:t>
            </w:r>
          </w:p>
        </w:tc>
      </w:tr>
      <w:tr>
        <w:trPr>
          <w:trHeight w:val="29"/>
        </w:trPr>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6"/>
        </w:trPr>
        <w:tc>
          <w:tcPr>
            <w:tcW w:w="2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22,900</w:t>
            </w:r>
          </w:p>
        </w:tc>
      </w:tr>
      <w:tr>
        <w:trPr>
          <w:trHeight w:val="168"/>
        </w:trPr>
        <w:tc>
          <w:tcPr>
            <w:tcW w:w="236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24,200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24,200</w:t>
            </w:r>
          </w:p>
        </w:tc>
      </w:tr>
      <w:tr>
        <w:trPr>
          <w:trHeight w:val="177"/>
        </w:trPr>
        <w:tc>
          <w:tcPr>
            <w:tcW w:w="2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Loss</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1,275</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28,498</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10,995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10,067</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47,691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1,360</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99,886</w:t>
            </w:r>
          </w:p>
        </w:tc>
      </w:tr>
      <w:tr>
        <w:trPr>
          <w:trHeight w:val="270"/>
        </w:trPr>
        <w:tc>
          <w:tcPr>
            <w:tcW w:w="2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69"/>
        </w:trPr>
        <w:tc>
          <w:tcPr>
            <w:tcW w:w="2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period gross charge-offs</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70"/>
        </w:trPr>
        <w:tc>
          <w:tcPr>
            <w:tcW w:w="2360" w:type="dxa"/>
            <w:vAlign w:val="bottom"/>
            <w:tcBorders>
              <w:top w:val="single" w:sz="8" w:color="CCEEFF"/>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r>
      <w:tr>
        <w:trPr>
          <w:trHeight w:val="175"/>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68"/>
        </w:trPr>
        <w:tc>
          <w:tcPr>
            <w:tcW w:w="2360" w:type="dxa"/>
            <w:vAlign w:val="bottom"/>
          </w:tcPr>
          <w:p>
            <w:pPr>
              <w:ind w:left="140"/>
              <w:spacing w:after="0"/>
              <w:rPr>
                <w:sz w:val="20"/>
                <w:szCs w:val="20"/>
                <w:color w:val="auto"/>
              </w:rPr>
            </w:pPr>
            <w:r>
              <w:rPr>
                <w:rFonts w:ascii="Arial" w:cs="Arial" w:eastAsia="Arial" w:hAnsi="Arial"/>
                <w:sz w:val="13"/>
                <w:szCs w:val="13"/>
                <w:color w:val="auto"/>
              </w:rPr>
              <w:t>Pass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7,877</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18,402</w:t>
            </w:r>
          </w:p>
        </w:tc>
        <w:tc>
          <w:tcPr>
            <w:tcW w:w="46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8,943</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603</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55</w:t>
            </w:r>
          </w:p>
        </w:tc>
        <w:tc>
          <w:tcPr>
            <w:tcW w:w="40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1,769</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12,452</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50,101</w:t>
            </w:r>
          </w:p>
        </w:tc>
      </w:tr>
      <w:tr>
        <w:trPr>
          <w:trHeight w:val="177"/>
        </w:trPr>
        <w:tc>
          <w:tcPr>
            <w:tcW w:w="2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36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3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Loss</w:t>
            </w: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7,877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18,402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8,943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12,452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50,101</w:t>
            </w:r>
          </w:p>
        </w:tc>
      </w:tr>
      <w:tr>
        <w:trPr>
          <w:trHeight w:val="257"/>
        </w:trPr>
        <w:tc>
          <w:tcPr>
            <w:tcW w:w="2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83"/>
        </w:trPr>
        <w:tc>
          <w:tcPr>
            <w:tcW w:w="2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period gross charge-offs</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56"/>
        </w:trPr>
        <w:tc>
          <w:tcPr>
            <w:tcW w:w="23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r>
      <w:tr>
        <w:trPr>
          <w:trHeight w:val="169"/>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Single family residential (1-4 units)</w:t>
            </w:r>
          </w:p>
        </w:tc>
        <w:tc>
          <w:tcPr>
            <w:tcW w:w="3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r>
      <w:tr>
        <w:trPr>
          <w:trHeight w:val="168"/>
        </w:trPr>
        <w:tc>
          <w:tcPr>
            <w:tcW w:w="2360" w:type="dxa"/>
            <w:vAlign w:val="bottom"/>
          </w:tcPr>
          <w:p>
            <w:pPr>
              <w:ind w:left="140"/>
              <w:spacing w:after="0"/>
              <w:rPr>
                <w:sz w:val="20"/>
                <w:szCs w:val="20"/>
                <w:color w:val="auto"/>
              </w:rPr>
            </w:pPr>
            <w:r>
              <w:rPr>
                <w:rFonts w:ascii="Arial" w:cs="Arial" w:eastAsia="Arial" w:hAnsi="Arial"/>
                <w:sz w:val="13"/>
                <w:szCs w:val="13"/>
                <w:color w:val="auto"/>
              </w:rPr>
              <w:t>Pass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32,061</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129,294</w:t>
            </w:r>
          </w:p>
        </w:tc>
        <w:tc>
          <w:tcPr>
            <w:tcW w:w="46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62,952</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33,281</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42,540</w:t>
            </w:r>
          </w:p>
        </w:tc>
        <w:tc>
          <w:tcPr>
            <w:tcW w:w="40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154,070</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62,451</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516,649</w:t>
            </w:r>
          </w:p>
        </w:tc>
      </w:tr>
      <w:tr>
        <w:trPr>
          <w:trHeight w:val="183"/>
        </w:trPr>
        <w:tc>
          <w:tcPr>
            <w:tcW w:w="2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236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1,863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2,126</w:t>
            </w:r>
          </w:p>
        </w:tc>
      </w:tr>
      <w:tr>
        <w:trPr>
          <w:trHeight w:val="29"/>
        </w:trPr>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6"/>
        </w:trPr>
        <w:tc>
          <w:tcPr>
            <w:tcW w:w="2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60" w:type="dxa"/>
            <w:vAlign w:val="bottom"/>
          </w:tcPr>
          <w:p>
            <w:pPr>
              <w:ind w:left="140"/>
              <w:spacing w:after="0"/>
              <w:rPr>
                <w:sz w:val="20"/>
                <w:szCs w:val="20"/>
                <w:color w:val="auto"/>
              </w:rPr>
            </w:pPr>
            <w:r>
              <w:rPr>
                <w:rFonts w:ascii="Arial" w:cs="Arial" w:eastAsia="Arial" w:hAnsi="Arial"/>
                <w:sz w:val="13"/>
                <w:szCs w:val="13"/>
                <w:color w:val="auto"/>
              </w:rPr>
              <w:t>Loss</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32,061</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129,294</w:t>
            </w:r>
          </w:p>
        </w:tc>
        <w:tc>
          <w:tcPr>
            <w:tcW w:w="460" w:type="dxa"/>
            <w:vAlign w:val="bottom"/>
            <w:gridSpan w:val="2"/>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62,952</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33,544</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42,540</w:t>
            </w:r>
          </w:p>
        </w:tc>
        <w:tc>
          <w:tcPr>
            <w:tcW w:w="40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155,933</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62,451</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518,775</w:t>
            </w:r>
          </w:p>
        </w:tc>
      </w:tr>
      <w:tr>
        <w:trPr>
          <w:trHeight w:val="257"/>
        </w:trPr>
        <w:tc>
          <w:tcPr>
            <w:tcW w:w="23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r>
      <w:tr>
        <w:trPr>
          <w:trHeight w:val="174"/>
        </w:trPr>
        <w:tc>
          <w:tcPr>
            <w:tcW w:w="2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period gross charge-offs</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65"/>
        </w:trPr>
        <w:tc>
          <w:tcPr>
            <w:tcW w:w="2360" w:type="dxa"/>
            <w:vAlign w:val="bottom"/>
            <w:tcBorders>
              <w:top w:val="single" w:sz="8" w:color="CCEEFF"/>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r>
      <w:tr>
        <w:trPr>
          <w:trHeight w:val="175"/>
        </w:trPr>
        <w:tc>
          <w:tcPr>
            <w:tcW w:w="2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Consumer non-real estate and other</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60"/>
        </w:trPr>
        <w:tc>
          <w:tcPr>
            <w:tcW w:w="2360" w:type="dxa"/>
            <w:vAlign w:val="bottom"/>
          </w:tcPr>
          <w:p>
            <w:pPr>
              <w:ind w:left="140"/>
              <w:spacing w:after="0"/>
              <w:rPr>
                <w:sz w:val="20"/>
                <w:szCs w:val="20"/>
                <w:color w:val="auto"/>
              </w:rPr>
            </w:pPr>
            <w:r>
              <w:rPr>
                <w:rFonts w:ascii="Arial" w:cs="Arial" w:eastAsia="Arial" w:hAnsi="Arial"/>
                <w:sz w:val="13"/>
                <w:szCs w:val="13"/>
                <w:color w:val="auto"/>
              </w:rPr>
              <w:t>Pass</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376</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310</w:t>
            </w:r>
          </w:p>
        </w:tc>
        <w:tc>
          <w:tcPr>
            <w:tcW w:w="46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183</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322</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460</w:t>
            </w:r>
          </w:p>
        </w:tc>
        <w:tc>
          <w:tcPr>
            <w:tcW w:w="40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423</w:t>
            </w: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1,035</w:t>
            </w:r>
          </w:p>
        </w:tc>
        <w:tc>
          <w:tcPr>
            <w:tcW w:w="4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3,109</w:t>
            </w:r>
          </w:p>
        </w:tc>
      </w:tr>
      <w:tr>
        <w:trPr>
          <w:trHeight w:val="29"/>
        </w:trPr>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75"/>
        </w:trPr>
        <w:tc>
          <w:tcPr>
            <w:tcW w:w="2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Special Mention</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2360" w:type="dxa"/>
            <w:vAlign w:val="bottom"/>
          </w:tcPr>
          <w:p>
            <w:pPr>
              <w:ind w:left="140"/>
              <w:spacing w:after="0"/>
              <w:rPr>
                <w:sz w:val="20"/>
                <w:szCs w:val="20"/>
                <w:color w:val="auto"/>
              </w:rPr>
            </w:pPr>
            <w:r>
              <w:rPr>
                <w:rFonts w:ascii="Arial" w:cs="Arial" w:eastAsia="Arial" w:hAnsi="Arial"/>
                <w:sz w:val="13"/>
                <w:szCs w:val="13"/>
                <w:color w:val="auto"/>
              </w:rPr>
              <w:t>Substandard</w:t>
            </w: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7"/>
        </w:trPr>
        <w:tc>
          <w:tcPr>
            <w:tcW w:w="2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Doubtful</w:t>
            </w: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Loss</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1,035</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3,109</w:t>
            </w:r>
          </w:p>
        </w:tc>
      </w:tr>
      <w:tr>
        <w:trPr>
          <w:trHeight w:val="270"/>
        </w:trPr>
        <w:tc>
          <w:tcPr>
            <w:tcW w:w="2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69"/>
        </w:trPr>
        <w:tc>
          <w:tcPr>
            <w:tcW w:w="2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Current period gross charge-offs</w:t>
            </w: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value of outstanding loans by credit quality indicators as of December 31, 2022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Pass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3"/>
              </w:rPr>
              <w:t>Special Mention</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8"/>
              </w:rPr>
              <w:t>Substandard</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Doubtful</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18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2"/>
        </w:trPr>
        <w:tc>
          <w:tcPr>
            <w:tcW w:w="336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1,011,025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62,907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35,383</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ind w:left="80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1,109,315</w:t>
            </w:r>
          </w:p>
        </w:tc>
      </w:tr>
      <w:tr>
        <w:trPr>
          <w:trHeight w:val="20"/>
        </w:trPr>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3"/>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Owner-occupied commercial real estate</w:t>
            </w: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121,621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1,963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3,530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127,114</w:t>
            </w:r>
          </w:p>
        </w:tc>
      </w:tr>
      <w:tr>
        <w:trPr>
          <w:trHeight w:val="186"/>
        </w:trPr>
        <w:tc>
          <w:tcPr>
            <w:tcW w:w="3360" w:type="dxa"/>
            <w:vAlign w:val="bottom"/>
          </w:tcPr>
          <w:p>
            <w:pPr>
              <w:ind w:left="240"/>
              <w:spacing w:after="0"/>
              <w:rPr>
                <w:sz w:val="20"/>
                <w:szCs w:val="20"/>
                <w:color w:val="auto"/>
              </w:rPr>
            </w:pPr>
            <w:r>
              <w:rPr>
                <w:rFonts w:ascii="Arial" w:cs="Arial" w:eastAsia="Arial" w:hAnsi="Arial"/>
                <w:sz w:val="14"/>
                <w:szCs w:val="14"/>
                <w:color w:val="auto"/>
              </w:rPr>
              <w:t>Acquisition, construction &amp; development</w:t>
            </w:r>
          </w:p>
        </w:tc>
        <w:tc>
          <w:tcPr>
            <w:tcW w:w="3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68,220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25,394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94,450</w:t>
            </w:r>
          </w:p>
        </w:tc>
      </w:tr>
      <w:tr>
        <w:trPr>
          <w:trHeight w:val="186"/>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53,273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53,514</w:t>
            </w:r>
          </w:p>
        </w:tc>
      </w:tr>
      <w:tr>
        <w:trPr>
          <w:trHeight w:val="182"/>
        </w:trPr>
        <w:tc>
          <w:tcPr>
            <w:tcW w:w="3360" w:type="dxa"/>
            <w:vAlign w:val="bottom"/>
          </w:tcPr>
          <w:p>
            <w:pPr>
              <w:ind w:left="240"/>
              <w:spacing w:after="0"/>
              <w:rPr>
                <w:sz w:val="20"/>
                <w:szCs w:val="20"/>
                <w:color w:val="auto"/>
              </w:rPr>
            </w:pPr>
            <w:r>
              <w:rPr>
                <w:rFonts w:ascii="Arial" w:cs="Arial" w:eastAsia="Arial" w:hAnsi="Arial"/>
                <w:sz w:val="14"/>
                <w:szCs w:val="14"/>
                <w:color w:val="auto"/>
              </w:rPr>
              <w:t>Single family residential (1-4 units)</w:t>
            </w:r>
          </w:p>
        </w:tc>
        <w:tc>
          <w:tcPr>
            <w:tcW w:w="30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494,994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4,313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499,362</w:t>
            </w:r>
          </w:p>
        </w:tc>
      </w:tr>
      <w:tr>
        <w:trPr>
          <w:trHeight w:val="20"/>
        </w:trPr>
        <w:tc>
          <w:tcPr>
            <w:tcW w:w="3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6"/>
        </w:trPr>
        <w:tc>
          <w:tcPr>
            <w:tcW w:w="3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Consumer non-real estate and other</w:t>
            </w: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3,466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3,466</w:t>
            </w:r>
          </w:p>
        </w:tc>
      </w:tr>
      <w:tr>
        <w:trPr>
          <w:trHeight w:val="193"/>
        </w:trPr>
        <w:tc>
          <w:tcPr>
            <w:tcW w:w="3360" w:type="dxa"/>
            <w:vAlign w:val="bottom"/>
          </w:tcPr>
          <w:p>
            <w:pPr>
              <w:ind w:left="46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1,752,599</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65,761</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68,861</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1,887,221</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information about collateral dependent loans that were individually evaluated for purposes of determining the ACL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2023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gridSpan w:val="7"/>
          </w:tcPr>
          <w:p>
            <w:pPr>
              <w:jc w:val="center"/>
              <w:ind w:right="648"/>
              <w:spacing w:after="0"/>
              <w:rPr>
                <w:sz w:val="20"/>
                <w:szCs w:val="20"/>
                <w:color w:val="auto"/>
              </w:rPr>
            </w:pPr>
            <w:r>
              <w:rPr>
                <w:rFonts w:ascii="Arial" w:cs="Arial" w:eastAsia="Arial" w:hAnsi="Arial"/>
                <w:sz w:val="14"/>
                <w:szCs w:val="14"/>
                <w:b w:val="1"/>
                <w:bCs w:val="1"/>
                <w:color w:val="auto"/>
                <w:w w:val="92"/>
              </w:rPr>
              <w:t>Collateral Dependent Loans</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With Allowance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With No Related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3"/>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Allowance</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5"/>
              </w:rPr>
              <w:t>Related Allowance</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Amortized Cost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2"/>
              </w:rPr>
              <w:t>Amortized Cost</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Related Allowance</w:t>
            </w:r>
          </w:p>
        </w:tc>
        <w:tc>
          <w:tcPr>
            <w:tcW w:w="0" w:type="dxa"/>
            <w:vAlign w:val="bottom"/>
          </w:tcPr>
          <w:p>
            <w:pPr>
              <w:spacing w:after="0"/>
              <w:rPr>
                <w:sz w:val="1"/>
                <w:szCs w:val="1"/>
                <w:color w:val="auto"/>
              </w:rPr>
            </w:pPr>
          </w:p>
        </w:tc>
      </w:tr>
      <w:tr>
        <w:trPr>
          <w:trHeight w:val="189"/>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ind w:left="9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8"/>
              <w:spacing w:after="0"/>
              <w:rPr>
                <w:sz w:val="20"/>
                <w:szCs w:val="20"/>
                <w:color w:val="auto"/>
              </w:rPr>
            </w:pPr>
            <w:r>
              <w:rPr>
                <w:rFonts w:ascii="Arial" w:cs="Arial" w:eastAsia="Arial" w:hAnsi="Arial"/>
                <w:sz w:val="14"/>
                <w:szCs w:val="14"/>
                <w:color w:val="auto"/>
              </w:rPr>
              <w:t>$</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Owner-occupied commercial real estate</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1,121</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40" w:type="dxa"/>
            <w:vAlign w:val="bottom"/>
          </w:tcPr>
          <w:p>
            <w:pPr>
              <w:ind w:left="260"/>
              <w:spacing w:after="0"/>
              <w:rPr>
                <w:sz w:val="20"/>
                <w:szCs w:val="20"/>
                <w:color w:val="auto"/>
              </w:rPr>
            </w:pPr>
            <w:r>
              <w:rPr>
                <w:rFonts w:ascii="Arial" w:cs="Arial" w:eastAsia="Arial" w:hAnsi="Arial"/>
                <w:sz w:val="14"/>
                <w:szCs w:val="14"/>
                <w:color w:val="auto"/>
              </w:rPr>
              <w:t>Acquisition, construction &amp; development</w:t>
            </w:r>
          </w:p>
        </w:tc>
        <w:tc>
          <w:tcPr>
            <w:tcW w:w="120" w:type="dxa"/>
            <w:vAlign w:val="bottom"/>
          </w:tcPr>
          <w:p>
            <w:pPr>
              <w:spacing w:after="0"/>
              <w:rPr>
                <w:sz w:val="15"/>
                <w:szCs w:val="15"/>
                <w:color w:val="auto"/>
              </w:rPr>
            </w:pPr>
          </w:p>
        </w:tc>
        <w:tc>
          <w:tcPr>
            <w:tcW w:w="1140" w:type="dxa"/>
            <w:vAlign w:val="bottom"/>
          </w:tcPr>
          <w:p>
            <w:pPr>
              <w:ind w:left="9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640" w:type="dxa"/>
            <w:vAlign w:val="bottom"/>
          </w:tcPr>
          <w:p>
            <w:pPr>
              <w:ind w:left="260"/>
              <w:spacing w:after="0"/>
              <w:rPr>
                <w:sz w:val="20"/>
                <w:szCs w:val="20"/>
                <w:color w:val="auto"/>
              </w:rPr>
            </w:pPr>
            <w:r>
              <w:rPr>
                <w:rFonts w:ascii="Arial" w:cs="Arial" w:eastAsia="Arial" w:hAnsi="Arial"/>
                <w:sz w:val="14"/>
                <w:szCs w:val="14"/>
                <w:color w:val="auto"/>
              </w:rPr>
              <w:t>Single family residential (1-4 units)</w:t>
            </w:r>
          </w:p>
        </w:tc>
        <w:tc>
          <w:tcPr>
            <w:tcW w:w="120" w:type="dxa"/>
            <w:vAlign w:val="bottom"/>
          </w:tcPr>
          <w:p>
            <w:pPr>
              <w:spacing w:after="0"/>
              <w:rPr>
                <w:sz w:val="15"/>
                <w:szCs w:val="15"/>
                <w:color w:val="auto"/>
              </w:rPr>
            </w:pPr>
          </w:p>
        </w:tc>
        <w:tc>
          <w:tcPr>
            <w:tcW w:w="1140" w:type="dxa"/>
            <w:vAlign w:val="bottom"/>
          </w:tcPr>
          <w:p>
            <w:pPr>
              <w:ind w:left="9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3,329</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Consumer non-real estate and other</w:t>
            </w: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640" w:type="dxa"/>
            <w:vAlign w:val="bottom"/>
          </w:tcPr>
          <w:p>
            <w:pPr>
              <w:ind w:left="46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4,450</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 2023, the Company adopted ASU 2022-02 on a modified retrospective basis. ASU 2022-02 eliminates the TDR accounting model and requires that the Company evaluate, based on the accounting for loan modifications, whether the borrower is experiencing financial difficulty, and the modification results in a more-than-insignificant direct change in the contractual cash flows and represents a new loan or a continuation of an existing loan. This change required all loan modifications to be accounted for under the general loan modification guidance in ASC 310-20, Receivables — Nonrefundable Fees and Other Costs, and subjects entities to new disclosure requirements on loan modifications to borrowers experiencing financial difficulty. Upon adoption of CECL, the Company loans classified as TDRs were individually evaluated for the ACL, and the measurement was done either using the collateral-dependent or the discounted cash flow method.</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may modify loans to borrowers experiencing financial difficulty by providing principal forgiveness, term extension, interest rate reduction, or an other-than-insignificant payment delay. When principal forgiveness is provided, the amount of forgiveness is charged off against the ACL. The Company may also provide multiple types of modifications on an individual loan. For the three months ended March 31, 2023, the Company did not extend any modifications to borrowers experiencing financial difficulty that had a more-than-insignificant direct change in the contractual cash flows of the loan.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extend any modifications that were defined as TDRs during the year ended December 31,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Deposits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amount of time deposits, each with a minimum denomination of $250,000, was approximately $35.7 million and $32.6 million on March 31, 2023, and December 31, 2022, respectively. Brokered time deposits totaled $389.2 million at March 31, 2023. There were $100.3 million in brokered time deposits at December 31, 2022. Time deposits through the Certificate of Deposit Account Registry Service (“CDARS”) program totaled $13.1 million at March 31, 2023, compared to $11.7 million at December 31, 2022.</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2023, the scheduled maturities of time deposits for the remaining nine months ending December 31, 2023 and the following five years were as follows (in thousands):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 of March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Remaining nine months ending, December 31, 2023</w:t>
            </w:r>
          </w:p>
        </w:tc>
        <w:tc>
          <w:tcPr>
            <w:tcW w:w="5560" w:type="dxa"/>
            <w:vAlign w:val="bottom"/>
            <w:tcBorders>
              <w:top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130,833</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2024</w:t>
            </w:r>
          </w:p>
        </w:tc>
        <w:tc>
          <w:tcPr>
            <w:tcW w:w="5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114,613</w:t>
            </w:r>
          </w:p>
        </w:tc>
      </w:tr>
      <w:tr>
        <w:trPr>
          <w:trHeight w:val="24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133,679</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2026</w:t>
            </w:r>
          </w:p>
        </w:tc>
        <w:tc>
          <w:tcPr>
            <w:tcW w:w="5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82,141</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49,529</w:t>
            </w:r>
          </w:p>
        </w:tc>
      </w:tr>
      <w:tr>
        <w:trPr>
          <w:trHeight w:val="24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w:t>
            </w:r>
          </w:p>
        </w:tc>
        <w:tc>
          <w:tcPr>
            <w:tcW w:w="50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77,386</w:t>
            </w:r>
          </w:p>
        </w:tc>
      </w:tr>
      <w:tr>
        <w:trPr>
          <w:trHeight w:val="223"/>
        </w:trPr>
        <w:tc>
          <w:tcPr>
            <w:tcW w:w="4660" w:type="dxa"/>
            <w:vAlign w:val="bottom"/>
            <w:shd w:val="clear" w:color="auto" w:fill="CCEEFF"/>
          </w:tcPr>
          <w:p>
            <w:pPr>
              <w:spacing w:after="0"/>
              <w:rPr>
                <w:sz w:val="19"/>
                <w:szCs w:val="19"/>
                <w:color w:val="auto"/>
              </w:rPr>
            </w:pPr>
          </w:p>
        </w:tc>
        <w:tc>
          <w:tcPr>
            <w:tcW w:w="50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588,181</w:t>
            </w:r>
          </w:p>
        </w:tc>
      </w:tr>
      <w:tr>
        <w:trPr>
          <w:trHeight w:val="898"/>
        </w:trPr>
        <w:tc>
          <w:tcPr>
            <w:tcW w:w="4660" w:type="dxa"/>
            <w:vAlign w:val="bottom"/>
          </w:tcPr>
          <w:p>
            <w:pPr>
              <w:spacing w:after="0"/>
              <w:rPr>
                <w:sz w:val="24"/>
                <w:szCs w:val="24"/>
                <w:color w:val="auto"/>
              </w:rPr>
            </w:pPr>
          </w:p>
        </w:tc>
        <w:tc>
          <w:tcPr>
            <w:tcW w:w="5080" w:type="dxa"/>
            <w:vAlign w:val="bottom"/>
          </w:tcPr>
          <w:p>
            <w:pPr>
              <w:jc w:val="right"/>
              <w:ind w:right="3930"/>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7"/>
        </w:trPr>
        <w:tc>
          <w:tcPr>
            <w:tcW w:w="46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Deposits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2023, and December 31, 2022, amounts included in time deposits for individual retirement accounts totaled $35.2 million and $36.9 million, respectively.</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Overdrafts of $277 thousand and $503 thousand were reclassified to loans as of the three months ended March 31, 2023, and the year ended December 31, 2022,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Advances and Other Borrowings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borrowings of $321.7 million and $343.1 million at March 31, 2023, and December 31, 2022, respectively. At March 31, 2023, the interest rate on this debt ranged from 4.38% to 4.88%. At December 31, 2022, the interest rate on this debt ranged from 4.13% to 4.57%. The average balance outstanding during the three months ending March 31, 2023, and the year ending December 31, 2022, was $358.1 million and $269.5 million, respectively. The Company’s short-term borrowings from time-to-time may consist of advances from the FHLB of Atlanta, unsecured lines from Correspondent Banks, and secured lines from the Federal Discount Window.</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available lines of credit with the FHLB of Atlanta and unsecured federal funds lines of credit from correspondent banking relationships. Through these sources, the Company has unused capacity of $809.1 million in remaining borrowing capacity as of March 31, 2023. The Advances on credit lines are secured by both securities and loans. The amount of securities and loans pledged against available lines of credit as of March 31, 2023, and December 31, 2022, was $620.7 million and $698.1 million,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The contractual maturities of this debt as of March 31, 2023, are as follows (in thousands):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9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2023</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171,700</w:t>
            </w:r>
          </w:p>
        </w:tc>
      </w:tr>
      <w:tr>
        <w:trPr>
          <w:trHeight w:val="243"/>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in 2024</w:t>
            </w: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r>
      <w:tr>
        <w:trPr>
          <w:trHeight w:val="223"/>
        </w:trPr>
        <w:tc>
          <w:tcPr>
            <w:tcW w:w="97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321,700</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Leased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operating leases with customers to lease vacant space in certain owned premises that is not being used by the Company. These operating leases are typically payable in monthly installments with terms ranging from around two years to around twelve years and may contain renewal options.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lease income, which was included in non-interest expense on the Consolidated Statements of Income, were as follows for the three months ended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31, 2022</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8180" w:type="dxa"/>
            <w:vAlign w:val="bottom"/>
          </w:tcPr>
          <w:p>
            <w:pPr>
              <w:ind w:left="240"/>
              <w:spacing w:after="0"/>
              <w:rPr>
                <w:sz w:val="20"/>
                <w:szCs w:val="20"/>
                <w:color w:val="auto"/>
              </w:rPr>
            </w:pPr>
            <w:r>
              <w:rPr>
                <w:rFonts w:ascii="Arial" w:cs="Arial" w:eastAsia="Arial" w:hAnsi="Arial"/>
                <w:sz w:val="18"/>
                <w:szCs w:val="18"/>
                <w:color w:val="auto"/>
              </w:rPr>
              <w:t>Total lease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466"/>
        </w:trPr>
        <w:tc>
          <w:tcPr>
            <w:tcW w:w="8180" w:type="dxa"/>
            <w:vAlign w:val="bottom"/>
          </w:tcPr>
          <w:p>
            <w:pPr>
              <w:spacing w:after="0"/>
              <w:rPr>
                <w:sz w:val="20"/>
                <w:szCs w:val="20"/>
                <w:color w:val="auto"/>
              </w:rPr>
            </w:pPr>
            <w:r>
              <w:rPr>
                <w:rFonts w:ascii="Arial" w:cs="Arial" w:eastAsia="Arial" w:hAnsi="Arial"/>
                <w:sz w:val="18"/>
                <w:szCs w:val="18"/>
                <w:color w:val="auto"/>
                <w:w w:val="94"/>
              </w:rPr>
              <w:t>The remaining maturities of operating lease receivables as of March 31, 2023, are as follows (in thousands):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2"/>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w w:val="96"/>
              </w:rPr>
              <w:t>Operating Leases</w:t>
            </w:r>
          </w:p>
        </w:tc>
      </w:tr>
      <w:tr>
        <w:trPr>
          <w:trHeight w:val="24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nine months ending December 31, 2023</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2,302</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1,657</w:t>
            </w: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w:t>
            </w:r>
          </w:p>
        </w:tc>
      </w:tr>
      <w:tr>
        <w:trPr>
          <w:trHeight w:val="23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receivables</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13,089</w:t>
            </w:r>
          </w:p>
        </w:tc>
      </w:tr>
      <w:tr>
        <w:trPr>
          <w:trHeight w:val="884"/>
        </w:trPr>
        <w:tc>
          <w:tcPr>
            <w:tcW w:w="8180" w:type="dxa"/>
            <w:vAlign w:val="bottom"/>
          </w:tcPr>
          <w:p>
            <w:pPr>
              <w:ind w:left="55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7"/>
        </w:trPr>
        <w:tc>
          <w:tcPr>
            <w:tcW w:w="8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into leases for branches and office space. The leases are evaluated for whether the lease will be classified as either a finance or operating lease. Certain leases offer the option to extend the lease term, and the Company has included such extensions in its calculation of the lease liabilities to the extent the options are reasonably assured of being exercised. Including renewal options, the terms of the Company’s leases range from less than one year to around thirteen years. The lease agreements do not provide for residual value guarantees and have no restrictions or covenants that would impact dividends or require incurring additional financial obligations.</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 and liabilities by lease type, and the associated balance sheet classifications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80" w:type="dxa"/>
            <w:vAlign w:val="bottom"/>
          </w:tcPr>
          <w:p>
            <w:pPr>
              <w:ind w:left="280"/>
              <w:spacing w:after="0"/>
              <w:rPr>
                <w:sz w:val="20"/>
                <w:szCs w:val="20"/>
                <w:color w:val="auto"/>
              </w:rPr>
            </w:pPr>
            <w:r>
              <w:rPr>
                <w:rFonts w:ascii="Arial" w:cs="Arial" w:eastAsia="Arial" w:hAnsi="Arial"/>
                <w:sz w:val="14"/>
                <w:szCs w:val="14"/>
                <w:b w:val="1"/>
                <w:bCs w:val="1"/>
                <w:color w:val="auto"/>
              </w:rPr>
              <w:t>Balance Sheet Classification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March 31, 2023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40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6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40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64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7,255</w:t>
            </w:r>
          </w:p>
        </w:tc>
      </w:tr>
      <w:tr>
        <w:trPr>
          <w:trHeight w:val="236"/>
        </w:trPr>
        <w:tc>
          <w:tcPr>
            <w:tcW w:w="4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64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Total right-of-use assets</w:t>
            </w:r>
          </w:p>
        </w:tc>
        <w:tc>
          <w:tcPr>
            <w:tcW w:w="16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9,043</w:t>
            </w:r>
          </w:p>
        </w:tc>
        <w:tc>
          <w:tcPr>
            <w:tcW w:w="1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9,875</w:t>
            </w: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6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37"/>
        </w:trPr>
        <w:tc>
          <w:tcPr>
            <w:tcW w:w="40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64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6,782</w:t>
            </w:r>
          </w:p>
        </w:tc>
        <w:tc>
          <w:tcPr>
            <w:tcW w:w="10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7,592</w:t>
            </w:r>
          </w:p>
        </w:tc>
      </w:tr>
      <w:tr>
        <w:trPr>
          <w:trHeight w:val="236"/>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640" w:type="dxa"/>
            <w:vAlign w:val="bottom"/>
            <w:shd w:val="clear" w:color="auto" w:fill="CCEEFF"/>
          </w:tcPr>
          <w:p>
            <w:pPr>
              <w:spacing w:after="0"/>
              <w:rPr>
                <w:sz w:val="20"/>
                <w:szCs w:val="20"/>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r>
      <w:tr>
        <w:trPr>
          <w:trHeight w:val="223"/>
        </w:trPr>
        <w:tc>
          <w:tcPr>
            <w:tcW w:w="402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16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9,487</w:t>
            </w: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10,337</w:t>
            </w:r>
          </w:p>
        </w:tc>
      </w:tr>
      <w:tr>
        <w:trPr>
          <w:trHeight w:val="466"/>
        </w:trPr>
        <w:tc>
          <w:tcPr>
            <w:tcW w:w="7940" w:type="dxa"/>
            <w:vAlign w:val="bottom"/>
            <w:gridSpan w:val="3"/>
          </w:tcPr>
          <w:p>
            <w:pPr>
              <w:spacing w:after="0"/>
              <w:rPr>
                <w:sz w:val="20"/>
                <w:szCs w:val="20"/>
                <w:color w:val="auto"/>
              </w:rPr>
            </w:pPr>
            <w:r>
              <w:rPr>
                <w:rFonts w:ascii="Arial" w:cs="Arial" w:eastAsia="Arial" w:hAnsi="Arial"/>
                <w:sz w:val="18"/>
                <w:szCs w:val="18"/>
                <w:color w:val="auto"/>
              </w:rPr>
              <w:t>The components of total lease cost were as follows for the period ending (in thousands):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6"/>
        </w:trPr>
        <w:tc>
          <w:tcPr>
            <w:tcW w:w="4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March 31, 2023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31, 2022</w:t>
            </w:r>
          </w:p>
        </w:tc>
      </w:tr>
      <w:tr>
        <w:trPr>
          <w:trHeight w:val="25"/>
        </w:trPr>
        <w:tc>
          <w:tcPr>
            <w:tcW w:w="40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6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4020" w:type="dxa"/>
            <w:vAlign w:val="bottom"/>
          </w:tcPr>
          <w:p>
            <w:pPr>
              <w:ind w:left="240"/>
              <w:spacing w:after="0"/>
              <w:rPr>
                <w:sz w:val="20"/>
                <w:szCs w:val="20"/>
                <w:color w:val="auto"/>
              </w:rPr>
            </w:pPr>
            <w:r>
              <w:rPr>
                <w:rFonts w:ascii="Arial" w:cs="Arial" w:eastAsia="Arial" w:hAnsi="Arial"/>
                <w:sz w:val="18"/>
                <w:szCs w:val="18"/>
                <w:color w:val="auto"/>
              </w:rPr>
              <w:t>Right-of-use asset amortization</w:t>
            </w:r>
          </w:p>
        </w:tc>
        <w:tc>
          <w:tcPr>
            <w:tcW w:w="16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6"/>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6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839</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r>
      <w:tr>
        <w:trPr>
          <w:trHeight w:val="237"/>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cost</w:t>
            </w:r>
          </w:p>
        </w:tc>
        <w:tc>
          <w:tcPr>
            <w:tcW w:w="16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885"/>
        </w:trPr>
        <w:tc>
          <w:tcPr>
            <w:tcW w:w="4020" w:type="dxa"/>
            <w:vAlign w:val="bottom"/>
          </w:tcPr>
          <w:p>
            <w:pPr>
              <w:spacing w:after="0"/>
              <w:rPr>
                <w:sz w:val="24"/>
                <w:szCs w:val="24"/>
                <w:color w:val="auto"/>
              </w:rPr>
            </w:pPr>
          </w:p>
        </w:tc>
        <w:tc>
          <w:tcPr>
            <w:tcW w:w="3920" w:type="dxa"/>
            <w:vAlign w:val="bottom"/>
            <w:gridSpan w:val="2"/>
          </w:tcPr>
          <w:p>
            <w:pPr>
              <w:jc w:val="right"/>
              <w:ind w:right="21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77"/>
        </w:trPr>
        <w:tc>
          <w:tcPr>
            <w:tcW w:w="40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Leased Property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future undiscounted lease payments for finance and operating leases with initial terms of one year or more as of March 31, 2023, are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93"/>
              </w:rPr>
              <w:t>Operating Leases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1"/>
              <w:spacing w:after="0"/>
              <w:rPr>
                <w:sz w:val="20"/>
                <w:szCs w:val="20"/>
                <w:color w:val="auto"/>
              </w:rPr>
            </w:pPr>
            <w:r>
              <w:rPr>
                <w:rFonts w:ascii="Arial" w:cs="Arial" w:eastAsia="Arial" w:hAnsi="Arial"/>
                <w:sz w:val="14"/>
                <w:szCs w:val="14"/>
                <w:b w:val="1"/>
                <w:bCs w:val="1"/>
                <w:color w:val="auto"/>
                <w:w w:val="95"/>
              </w:rPr>
              <w:t>Finance Leases</w:t>
            </w:r>
          </w:p>
        </w:tc>
      </w:tr>
      <w:tr>
        <w:trPr>
          <w:trHeight w:val="26"/>
        </w:trPr>
        <w:tc>
          <w:tcPr>
            <w:tcW w:w="7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nine months ending December 31, 2023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2,606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3"/>
              </w:rPr>
              <w:t>2,294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43"/>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7,145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Discount</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r>
      <w:tr>
        <w:trPr>
          <w:trHeight w:val="223"/>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6,782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r>
      <w:tr>
        <w:trPr>
          <w:trHeight w:val="466"/>
        </w:trPr>
        <w:tc>
          <w:tcPr>
            <w:tcW w:w="9660" w:type="dxa"/>
            <w:vAlign w:val="bottom"/>
            <w:gridSpan w:val="8"/>
          </w:tcPr>
          <w:p>
            <w:pPr>
              <w:spacing w:after="0"/>
              <w:rPr>
                <w:sz w:val="20"/>
                <w:szCs w:val="20"/>
                <w:color w:val="auto"/>
              </w:rPr>
            </w:pPr>
            <w:r>
              <w:rPr>
                <w:rFonts w:ascii="Arial" w:cs="Arial" w:eastAsia="Arial" w:hAnsi="Arial"/>
                <w:sz w:val="18"/>
                <w:szCs w:val="18"/>
                <w:color w:val="auto"/>
                <w:w w:val="95"/>
              </w:rPr>
              <w:t>The following table presents additional information about the Company’s leases as of March 31, 2023, and December 31, 2022.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2"/>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Supplemental lease information (dollars in thousands)</w:t>
            </w:r>
          </w:p>
        </w:tc>
        <w:tc>
          <w:tcPr>
            <w:tcW w:w="80" w:type="dxa"/>
            <w:vAlign w:val="bottom"/>
          </w:tcPr>
          <w:p>
            <w:pPr>
              <w:spacing w:after="0"/>
              <w:rPr>
                <w:sz w:val="24"/>
                <w:szCs w:val="24"/>
                <w:color w:val="auto"/>
              </w:rPr>
            </w:pPr>
          </w:p>
        </w:tc>
        <w:tc>
          <w:tcPr>
            <w:tcW w:w="16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2022</w:t>
            </w: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weighted average remaining lease term (years)</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Finance lease weighted average discount rate</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2.22 %</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weighted average remaining lease term (years)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Operating lease weighted average discount rate</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3.19 %</w:t>
            </w:r>
          </w:p>
        </w:tc>
      </w:tr>
      <w:tr>
        <w:trPr>
          <w:trHeight w:val="276"/>
        </w:trPr>
        <w:tc>
          <w:tcPr>
            <w:tcW w:w="7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20" w:type="dxa"/>
            <w:vAlign w:val="bottom"/>
            <w:gridSpan w:val="3"/>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spacing w:after="0"/>
              <w:rPr>
                <w:sz w:val="24"/>
                <w:szCs w:val="24"/>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331"/>
              <w:spacing w:after="0"/>
              <w:rPr>
                <w:sz w:val="20"/>
                <w:szCs w:val="20"/>
                <w:color w:val="auto"/>
              </w:rPr>
            </w:pPr>
            <w:r>
              <w:rPr>
                <w:rFonts w:ascii="Arial" w:cs="Arial" w:eastAsia="Arial" w:hAnsi="Arial"/>
                <w:sz w:val="14"/>
                <w:szCs w:val="14"/>
                <w:b w:val="1"/>
                <w:bCs w:val="1"/>
                <w:color w:val="auto"/>
              </w:rPr>
              <w:t>March 31, 2022</w:t>
            </w:r>
          </w:p>
        </w:tc>
      </w:tr>
      <w:tr>
        <w:trPr>
          <w:trHeight w:val="223"/>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569</w:t>
            </w:r>
          </w:p>
        </w:tc>
      </w:tr>
      <w:tr>
        <w:trPr>
          <w:trHeight w:val="229"/>
        </w:trPr>
        <w:tc>
          <w:tcPr>
            <w:tcW w:w="7440" w:type="dxa"/>
            <w:vAlign w:val="bottom"/>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16</w:t>
            </w:r>
          </w:p>
        </w:tc>
      </w:tr>
      <w:tr>
        <w:trPr>
          <w:trHeight w:val="243"/>
        </w:trPr>
        <w:tc>
          <w:tcPr>
            <w:tcW w:w="7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Regulatory Capital Matters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Banks and bank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Under the Basel Committee on Banking Supervision’s capital guidelines for U.S. Banks (“Basel III rules”), an entity must hold a capital conservation buffer above the adequately capitalized risk-based capital ratios. The net unrealized gain or loss on AFS securities is not included in computing regulatory capital. Management believes as of March 31, 2023, the Company and the Bank meet all capital adequacy requirements to which they are subject.</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March 31, 2023, and December 31, 2022, the most recent notification from the FDIC categorized the Bank as “well capitalized” under the regulatory framework for “prompt corrective action”.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actual and required capital amounts and ratios for the Company and the Bank at March 31, 2023, and December 31, 2022 (in thousands except for ratios).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Regulatory Capital Matters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Minimum Required for 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w w:val="94"/>
              </w:rPr>
              <w:t>To Be Well Capitalized Under Prompt</w:t>
            </w:r>
          </w:p>
        </w:tc>
        <w:tc>
          <w:tcPr>
            <w:tcW w:w="0" w:type="dxa"/>
            <w:vAlign w:val="bottom"/>
          </w:tcPr>
          <w:p>
            <w:pPr>
              <w:spacing w:after="0"/>
              <w:rPr>
                <w:sz w:val="1"/>
                <w:szCs w:val="1"/>
                <w:color w:val="auto"/>
              </w:rPr>
            </w:pPr>
          </w:p>
        </w:tc>
      </w:tr>
      <w:tr>
        <w:trPr>
          <w:trHeight w:val="144"/>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Actual</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tcPr>
          <w:p>
            <w:pPr>
              <w:ind w:left="40"/>
              <w:spacing w:after="0" w:line="145" w:lineRule="exact"/>
              <w:rPr>
                <w:sz w:val="20"/>
                <w:szCs w:val="20"/>
                <w:color w:val="auto"/>
              </w:rPr>
            </w:pPr>
            <w:r>
              <w:rPr>
                <w:rFonts w:ascii="Arial" w:cs="Arial" w:eastAsia="Arial" w:hAnsi="Arial"/>
                <w:sz w:val="14"/>
                <w:szCs w:val="14"/>
                <w:b w:val="1"/>
                <w:bCs w:val="1"/>
                <w:color w:val="auto"/>
                <w:w w:val="90"/>
              </w:rPr>
              <w:t>Adequacy Purposes (includes applicable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capital conservation buffer)</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Corrective Action Regulations</w:t>
            </w: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200" w:type="dxa"/>
            <w:vAlign w:val="bottom"/>
          </w:tcPr>
          <w:p>
            <w:pPr>
              <w:jc w:val="right"/>
              <w:ind w:right="348"/>
              <w:spacing w:after="0"/>
              <w:rPr>
                <w:sz w:val="20"/>
                <w:szCs w:val="20"/>
                <w:color w:val="auto"/>
              </w:rPr>
            </w:pPr>
            <w:r>
              <w:rPr>
                <w:rFonts w:ascii="Arial" w:cs="Arial" w:eastAsia="Arial" w:hAnsi="Arial"/>
                <w:sz w:val="14"/>
                <w:szCs w:val="14"/>
                <w:b w:val="1"/>
                <w:bCs w:val="1"/>
                <w:color w:val="auto"/>
              </w:rPr>
              <w:t>Ratio</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189"/>
        </w:trPr>
        <w:tc>
          <w:tcPr>
            <w:tcW w:w="3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March 31, 2023</w:t>
            </w: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Capital to risk weighted assets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439,563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w w:val="89"/>
              </w:rPr>
              <w:t>18.65 %</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247,459</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10.5%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235,675</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10.0%</w:t>
            </w:r>
          </w:p>
        </w:tc>
        <w:tc>
          <w:tcPr>
            <w:tcW w:w="0" w:type="dxa"/>
            <w:vAlign w:val="bottom"/>
          </w:tcPr>
          <w:p>
            <w:pPr>
              <w:spacing w:after="0"/>
              <w:rPr>
                <w:sz w:val="1"/>
                <w:szCs w:val="1"/>
                <w:color w:val="auto"/>
              </w:rPr>
            </w:pPr>
          </w:p>
        </w:tc>
      </w:tr>
      <w:tr>
        <w:trPr>
          <w:trHeight w:val="182"/>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436,046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ind w:left="480"/>
              <w:spacing w:after="0"/>
              <w:rPr>
                <w:sz w:val="20"/>
                <w:szCs w:val="20"/>
                <w:color w:val="auto"/>
              </w:rPr>
            </w:pPr>
            <w:r>
              <w:rPr>
                <w:rFonts w:ascii="Arial" w:cs="Arial" w:eastAsia="Arial" w:hAnsi="Arial"/>
                <w:sz w:val="14"/>
                <w:szCs w:val="14"/>
                <w:color w:val="auto"/>
              </w:rPr>
              <w:t>18.50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247,528</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10.5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235,741</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10.0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Tier 1 (Core) Capital to risk weighted assets</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413,592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ind w:left="480"/>
              <w:spacing w:after="0"/>
              <w:rPr>
                <w:sz w:val="20"/>
                <w:szCs w:val="20"/>
                <w:color w:val="auto"/>
              </w:rPr>
            </w:pPr>
            <w:r>
              <w:rPr>
                <w:rFonts w:ascii="Arial" w:cs="Arial" w:eastAsia="Arial" w:hAnsi="Arial"/>
                <w:sz w:val="14"/>
                <w:szCs w:val="14"/>
                <w:color w:val="auto"/>
              </w:rPr>
              <w:t>17.55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200,324</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8.5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188,540</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8.0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410,075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17.40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200,380</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8.5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188,593</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8.0</w:t>
            </w:r>
          </w:p>
        </w:tc>
        <w:tc>
          <w:tcPr>
            <w:tcW w:w="0" w:type="dxa"/>
            <w:vAlign w:val="bottom"/>
          </w:tcPr>
          <w:p>
            <w:pPr>
              <w:spacing w:after="0"/>
              <w:rPr>
                <w:sz w:val="1"/>
                <w:szCs w:val="1"/>
                <w:color w:val="auto"/>
              </w:rPr>
            </w:pPr>
          </w:p>
        </w:tc>
      </w:tr>
      <w:tr>
        <w:trPr>
          <w:trHeight w:val="186"/>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Common Tier 1 (CET 1) to risk-weighted assets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413,592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17.55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164,973</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153,189</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182"/>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410,075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ind w:left="480"/>
              <w:spacing w:after="0"/>
              <w:rPr>
                <w:sz w:val="20"/>
                <w:szCs w:val="20"/>
                <w:color w:val="auto"/>
              </w:rPr>
            </w:pPr>
            <w:r>
              <w:rPr>
                <w:rFonts w:ascii="Arial" w:cs="Arial" w:eastAsia="Arial" w:hAnsi="Arial"/>
                <w:sz w:val="14"/>
                <w:szCs w:val="14"/>
                <w:color w:val="auto"/>
              </w:rPr>
              <w:t>17.40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165,019</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7.0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153,232</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Tier 1 (Core) Capital to average assets</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413,592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ind w:left="480"/>
              <w:spacing w:after="0"/>
              <w:rPr>
                <w:sz w:val="20"/>
                <w:szCs w:val="20"/>
                <w:color w:val="auto"/>
              </w:rPr>
            </w:pPr>
            <w:r>
              <w:rPr>
                <w:rFonts w:ascii="Arial" w:cs="Arial" w:eastAsia="Arial" w:hAnsi="Arial"/>
                <w:sz w:val="14"/>
                <w:szCs w:val="14"/>
                <w:color w:val="auto"/>
              </w:rPr>
              <w:t>11.19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147,859</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4.0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184,824</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410,075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11.09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147,913</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184,891</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Total Capital to risk weighted assets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433,958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w w:val="89"/>
              </w:rPr>
              <w:t>18.88 %</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241,325</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10.5%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229,834</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10.0%</w:t>
            </w:r>
          </w:p>
        </w:tc>
        <w:tc>
          <w:tcPr>
            <w:tcW w:w="0" w:type="dxa"/>
            <w:vAlign w:val="bottom"/>
          </w:tcPr>
          <w:p>
            <w:pPr>
              <w:spacing w:after="0"/>
              <w:rPr>
                <w:sz w:val="1"/>
                <w:szCs w:val="1"/>
                <w:color w:val="auto"/>
              </w:rPr>
            </w:pPr>
          </w:p>
        </w:tc>
      </w:tr>
      <w:tr>
        <w:trPr>
          <w:trHeight w:val="186"/>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432,290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ind w:left="480"/>
              <w:spacing w:after="0"/>
              <w:rPr>
                <w:sz w:val="20"/>
                <w:szCs w:val="20"/>
                <w:color w:val="auto"/>
              </w:rPr>
            </w:pPr>
            <w:r>
              <w:rPr>
                <w:rFonts w:ascii="Arial" w:cs="Arial" w:eastAsia="Arial" w:hAnsi="Arial"/>
                <w:sz w:val="14"/>
                <w:szCs w:val="14"/>
                <w:color w:val="auto"/>
              </w:rPr>
              <w:t>18.81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241,368</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10.5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229,874</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10.0</w:t>
            </w:r>
          </w:p>
        </w:tc>
        <w:tc>
          <w:tcPr>
            <w:tcW w:w="0" w:type="dxa"/>
            <w:vAlign w:val="bottom"/>
          </w:tcPr>
          <w:p>
            <w:pPr>
              <w:spacing w:after="0"/>
              <w:rPr>
                <w:sz w:val="1"/>
                <w:szCs w:val="1"/>
                <w:color w:val="auto"/>
              </w:rPr>
            </w:pPr>
          </w:p>
        </w:tc>
      </w:tr>
      <w:tr>
        <w:trPr>
          <w:trHeight w:val="186"/>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Tier 1 (Core) Capital to risk weighted assets</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412,946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ind w:left="480"/>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195,358</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8.5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186,867</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8.0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411,251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17.89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195,393</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8.5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183,900</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8.0</w:t>
            </w:r>
          </w:p>
        </w:tc>
        <w:tc>
          <w:tcPr>
            <w:tcW w:w="0" w:type="dxa"/>
            <w:vAlign w:val="bottom"/>
          </w:tcPr>
          <w:p>
            <w:pPr>
              <w:spacing w:after="0"/>
              <w:rPr>
                <w:sz w:val="1"/>
                <w:szCs w:val="1"/>
                <w:color w:val="auto"/>
              </w:rPr>
            </w:pPr>
          </w:p>
        </w:tc>
      </w:tr>
      <w:tr>
        <w:trPr>
          <w:trHeight w:val="182"/>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Common Tier 1 (CET 1) to risk-weighted assets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412,946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17.97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160,883</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149,392</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186"/>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411,251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ind w:left="480"/>
              <w:spacing w:after="0"/>
              <w:rPr>
                <w:sz w:val="20"/>
                <w:szCs w:val="20"/>
                <w:color w:val="auto"/>
              </w:rPr>
            </w:pPr>
            <w:r>
              <w:rPr>
                <w:rFonts w:ascii="Arial" w:cs="Arial" w:eastAsia="Arial" w:hAnsi="Arial"/>
                <w:sz w:val="14"/>
                <w:szCs w:val="14"/>
                <w:color w:val="auto"/>
              </w:rPr>
              <w:t>17.89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160,912</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7.0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149,418</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6.5</w:t>
            </w:r>
          </w:p>
        </w:tc>
        <w:tc>
          <w:tcPr>
            <w:tcW w:w="0" w:type="dxa"/>
            <w:vAlign w:val="bottom"/>
          </w:tcPr>
          <w:p>
            <w:pPr>
              <w:spacing w:after="0"/>
              <w:rPr>
                <w:sz w:val="1"/>
                <w:szCs w:val="1"/>
                <w:color w:val="auto"/>
              </w:rPr>
            </w:pPr>
          </w:p>
        </w:tc>
      </w:tr>
      <w:tr>
        <w:trPr>
          <w:trHeight w:val="186"/>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Tier 1 (Core) Capital to average assets</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60" w:type="dxa"/>
            <w:vAlign w:val="bottom"/>
            <w:gridSpan w:val="2"/>
          </w:tcPr>
          <w:p>
            <w:pPr>
              <w:ind w:left="300"/>
              <w:spacing w:after="0"/>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412,946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ind w:left="480"/>
              <w:spacing w:after="0"/>
              <w:rPr>
                <w:sz w:val="20"/>
                <w:szCs w:val="20"/>
                <w:color w:val="auto"/>
              </w:rPr>
            </w:pPr>
            <w:r>
              <w:rPr>
                <w:rFonts w:ascii="Arial" w:cs="Arial" w:eastAsia="Arial" w:hAnsi="Arial"/>
                <w:sz w:val="14"/>
                <w:szCs w:val="14"/>
                <w:color w:val="auto"/>
              </w:rPr>
              <w:t>11.34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145,605</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4.0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182,007</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Burke &amp; Herbert Bank &amp; Trust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411,251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11.30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145,605</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182,007</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5.0</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principal source of funds for dividend payments is dividends received from the Bank. Banking regulations limit the amount of dividends that may be paid without prior approval of regulatory agencies. As of March 31, 2023, approximately $188.5 million of retained earnings was available for dividend declaration without regulatory approval.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objective in using interest rate derivatives is to add stability to interest income and to manage its exposure to interest rate movements. To accomplish this objective, the Company primarily uses interest rate swaps and floors as part of its interest rate risk management strategy. Interest rate swaps designated as cash flow hedges involve the receipt of fixed-rate amounts from a counterparty in exchange for the Company making variable-rate payments over the life of the agreements without exchange of the underlying notional amount. Interest rate floors designated as cash flow hedges involve the receipt of variable-rate amounts from a counterparty if interest rates fall below the strike rate on the contract in exchange for an up-front premium. During the first quarter of 2023, such derivatives were used to hedge the variable cash flows associated with variable-rate assets.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derivatives designated and that qualify as cash flow hedges of interest rate risk, the gain or loss on the derivative is recorded in AOCI and subsequently reclassified into interest income in the same period(s) during which the hedged transaction affects earnings. Amounts reported in AOCI related to derivatives will be reclassified to interest income as interest payments are received on the Company’s variable-rate asset. During the next 12 months, the Company estimates that an additional $1.5 million will be reclassified as a reduction to interest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exposed to changes in the fair value of fixed-rate assets due to changes in benchmark interest rates. The Company uses interest rate swaps to manage its exposure to changes in fair value on these instruments attributable to changes in the designated benchmark interest rate. Interest rate swaps designated as fair value hedges involve the payment of fixed-rate amounts to a counterparty in exchange for the Company receiving variable-rate payments over the life of the agreements without the exchange of the underlying notional amount.</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derivatives designated and that qualify as fair value hedges, the gain or loss on the derivative, as well as the offsetting loss or gain on the hedged item attributable to the hedged risk, are recognized in interest income.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the following amounts were recorded on the balance sheet related to the cumulative basis adjustment for fair value hedges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Line Item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center"/>
              <w:ind w:right="59"/>
              <w:spacing w:after="0"/>
              <w:rPr>
                <w:sz w:val="20"/>
                <w:szCs w:val="20"/>
                <w:color w:val="auto"/>
              </w:rPr>
            </w:pPr>
            <w:r>
              <w:rPr>
                <w:rFonts w:ascii="Arial" w:cs="Arial" w:eastAsia="Arial" w:hAnsi="Arial"/>
                <w:sz w:val="14"/>
                <w:szCs w:val="14"/>
                <w:b w:val="1"/>
                <w:bCs w:val="1"/>
                <w:color w:val="auto"/>
                <w:w w:val="96"/>
              </w:rPr>
              <w:t>Cumulative Amount of Fair</w:t>
            </w:r>
          </w:p>
        </w:tc>
        <w:tc>
          <w:tcPr>
            <w:tcW w:w="0" w:type="dxa"/>
            <w:vAlign w:val="bottom"/>
          </w:tcPr>
          <w:p>
            <w:pPr>
              <w:spacing w:after="0"/>
              <w:rPr>
                <w:sz w:val="1"/>
                <w:szCs w:val="1"/>
                <w:color w:val="auto"/>
              </w:rPr>
            </w:pPr>
          </w:p>
        </w:tc>
      </w:tr>
      <w:tr>
        <w:trPr>
          <w:trHeight w:val="68"/>
        </w:trPr>
        <w:tc>
          <w:tcPr>
            <w:tcW w:w="10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00" w:type="dxa"/>
            <w:vAlign w:val="bottom"/>
            <w:gridSpan w:val="3"/>
            <w:vMerge w:val="restart"/>
          </w:tcPr>
          <w:p>
            <w:pPr>
              <w:jc w:val="center"/>
              <w:ind w:right="59"/>
              <w:spacing w:after="0" w:line="145" w:lineRule="exact"/>
              <w:rPr>
                <w:sz w:val="20"/>
                <w:szCs w:val="20"/>
                <w:color w:val="auto"/>
              </w:rPr>
            </w:pPr>
            <w:r>
              <w:rPr>
                <w:rFonts w:ascii="Arial" w:cs="Arial" w:eastAsia="Arial" w:hAnsi="Arial"/>
                <w:sz w:val="14"/>
                <w:szCs w:val="14"/>
                <w:b w:val="1"/>
                <w:bCs w:val="1"/>
                <w:color w:val="auto"/>
                <w:w w:val="92"/>
              </w:rPr>
              <w:t>Value Hedging Adjustment</w:t>
            </w:r>
          </w:p>
        </w:tc>
        <w:tc>
          <w:tcPr>
            <w:tcW w:w="0" w:type="dxa"/>
            <w:vAlign w:val="bottom"/>
          </w:tcPr>
          <w:p>
            <w:pPr>
              <w:spacing w:after="0"/>
              <w:rPr>
                <w:sz w:val="1"/>
                <w:szCs w:val="1"/>
                <w:color w:val="auto"/>
              </w:rPr>
            </w:pPr>
          </w:p>
        </w:tc>
      </w:tr>
      <w:tr>
        <w:trPr>
          <w:trHeight w:val="77"/>
        </w:trPr>
        <w:tc>
          <w:tcPr>
            <w:tcW w:w="1080" w:type="dxa"/>
            <w:vAlign w:val="bottom"/>
            <w:gridSpan w:val="2"/>
            <w:vMerge w:val="restart"/>
          </w:tcPr>
          <w:p>
            <w:pPr>
              <w:ind w:left="20"/>
              <w:spacing w:after="0" w:line="145" w:lineRule="exact"/>
              <w:rPr>
                <w:sz w:val="20"/>
                <w:szCs w:val="20"/>
                <w:color w:val="auto"/>
              </w:rPr>
            </w:pPr>
            <w:r>
              <w:rPr>
                <w:rFonts w:ascii="Arial" w:cs="Arial" w:eastAsia="Arial" w:hAnsi="Arial"/>
                <w:sz w:val="14"/>
                <w:szCs w:val="14"/>
                <w:b w:val="1"/>
                <w:bCs w:val="1"/>
                <w:color w:val="auto"/>
              </w:rPr>
              <w:t>the Statement</w:t>
            </w:r>
          </w:p>
        </w:tc>
        <w:tc>
          <w:tcPr>
            <w:tcW w:w="2020" w:type="dxa"/>
            <w:vAlign w:val="bottom"/>
            <w:gridSpan w:val="4"/>
            <w:vMerge w:val="restart"/>
          </w:tcPr>
          <w:p>
            <w:pPr>
              <w:ind w:left="20"/>
              <w:spacing w:after="0" w:line="145" w:lineRule="exact"/>
              <w:rPr>
                <w:sz w:val="20"/>
                <w:szCs w:val="20"/>
                <w:color w:val="auto"/>
              </w:rPr>
            </w:pPr>
            <w:r>
              <w:rPr>
                <w:rFonts w:ascii="Arial" w:cs="Arial" w:eastAsia="Arial" w:hAnsi="Arial"/>
                <w:sz w:val="14"/>
                <w:szCs w:val="14"/>
                <w:b w:val="1"/>
                <w:bCs w:val="1"/>
                <w:color w:val="auto"/>
                <w:w w:val="93"/>
              </w:rPr>
              <w:t>Carrying Amount of the Hedged</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080" w:type="dxa"/>
            <w:vAlign w:val="bottom"/>
            <w:gridSpan w:val="2"/>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00" w:type="dxa"/>
            <w:vAlign w:val="bottom"/>
            <w:gridSpan w:val="3"/>
            <w:vMerge w:val="restart"/>
          </w:tcPr>
          <w:p>
            <w:pPr>
              <w:jc w:val="center"/>
              <w:ind w:right="59"/>
              <w:spacing w:after="0" w:line="139" w:lineRule="exact"/>
              <w:rPr>
                <w:sz w:val="20"/>
                <w:szCs w:val="20"/>
                <w:color w:val="auto"/>
              </w:rPr>
            </w:pPr>
            <w:r>
              <w:rPr>
                <w:rFonts w:ascii="Arial" w:cs="Arial" w:eastAsia="Arial" w:hAnsi="Arial"/>
                <w:sz w:val="14"/>
                <w:szCs w:val="14"/>
                <w:b w:val="1"/>
                <w:bCs w:val="1"/>
                <w:color w:val="auto"/>
                <w:w w:val="94"/>
              </w:rPr>
              <w:t>Included in the Carrying</w:t>
            </w:r>
          </w:p>
        </w:tc>
        <w:tc>
          <w:tcPr>
            <w:tcW w:w="0" w:type="dxa"/>
            <w:vAlign w:val="bottom"/>
          </w:tcPr>
          <w:p>
            <w:pPr>
              <w:spacing w:after="0"/>
              <w:rPr>
                <w:sz w:val="1"/>
                <w:szCs w:val="1"/>
                <w:color w:val="auto"/>
              </w:rPr>
            </w:pPr>
          </w:p>
        </w:tc>
      </w:tr>
      <w:tr>
        <w:trPr>
          <w:trHeight w:val="72"/>
        </w:trPr>
        <w:tc>
          <w:tcPr>
            <w:tcW w:w="10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of Financial</w:t>
            </w:r>
          </w:p>
        </w:tc>
        <w:tc>
          <w:tcPr>
            <w:tcW w:w="260" w:type="dxa"/>
            <w:vAlign w:val="bottom"/>
          </w:tcPr>
          <w:p>
            <w:pPr>
              <w:spacing w:after="0"/>
              <w:rPr>
                <w:sz w:val="6"/>
                <w:szCs w:val="6"/>
                <w:color w:val="auto"/>
              </w:rPr>
            </w:pPr>
          </w:p>
        </w:tc>
        <w:tc>
          <w:tcPr>
            <w:tcW w:w="1760" w:type="dxa"/>
            <w:vAlign w:val="bottom"/>
            <w:gridSpan w:val="3"/>
            <w:vMerge w:val="restart"/>
          </w:tcPr>
          <w:p>
            <w:pPr>
              <w:ind w:left="180"/>
              <w:spacing w:after="0" w:line="149" w:lineRule="exact"/>
              <w:rPr>
                <w:sz w:val="20"/>
                <w:szCs w:val="20"/>
                <w:color w:val="auto"/>
              </w:rPr>
            </w:pPr>
            <w:r>
              <w:rPr>
                <w:rFonts w:ascii="Arial" w:cs="Arial" w:eastAsia="Arial" w:hAnsi="Arial"/>
                <w:sz w:val="14"/>
                <w:szCs w:val="14"/>
                <w:b w:val="1"/>
                <w:bCs w:val="1"/>
                <w:color w:val="auto"/>
              </w:rPr>
              <w:t>Assets/(Liabilities)</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0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0" w:type="dxa"/>
            <w:vAlign w:val="bottom"/>
            <w:gridSpan w:val="2"/>
            <w:vMerge w:val="restart"/>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Amount of the Hedged</w:t>
            </w: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108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Position in</w:t>
            </w: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0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0" w:type="dxa"/>
            <w:vAlign w:val="bottom"/>
            <w:gridSpan w:val="2"/>
            <w:vMerge w:val="restart"/>
          </w:tcPr>
          <w:p>
            <w:pPr>
              <w:jc w:val="center"/>
              <w:ind w:left="88"/>
              <w:spacing w:after="0"/>
              <w:rPr>
                <w:sz w:val="20"/>
                <w:szCs w:val="20"/>
                <w:color w:val="auto"/>
              </w:rPr>
            </w:pPr>
            <w:r>
              <w:rPr>
                <w:rFonts w:ascii="Arial" w:cs="Arial" w:eastAsia="Arial" w:hAnsi="Arial"/>
                <w:sz w:val="14"/>
                <w:szCs w:val="14"/>
                <w:b w:val="1"/>
                <w:bCs w:val="1"/>
                <w:color w:val="auto"/>
                <w:w w:val="90"/>
              </w:rPr>
              <w:t>Assets/(Liabilities)</w:t>
            </w: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08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Which the</w:t>
            </w: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8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Hedged Item is</w:t>
            </w: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6"/>
              </w:rPr>
              <w:t>March 31, 2023</w:t>
            </w:r>
          </w:p>
        </w:tc>
        <w:tc>
          <w:tcPr>
            <w:tcW w:w="80" w:type="dxa"/>
            <w:vAlign w:val="bottom"/>
          </w:tcPr>
          <w:p>
            <w:pPr>
              <w:spacing w:after="0"/>
              <w:rPr>
                <w:sz w:val="12"/>
                <w:szCs w:val="12"/>
                <w:color w:val="auto"/>
              </w:rPr>
            </w:pPr>
          </w:p>
        </w:tc>
        <w:tc>
          <w:tcPr>
            <w:tcW w:w="94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March 31,</w:t>
            </w:r>
          </w:p>
        </w:tc>
        <w:tc>
          <w:tcPr>
            <w:tcW w:w="10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Included</w:t>
            </w:r>
          </w:p>
        </w:tc>
        <w:tc>
          <w:tcPr>
            <w:tcW w:w="1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jc w:val="right"/>
              <w:ind w:right="4"/>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Securities</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available-for-</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sale, at fair</w:t>
            </w:r>
          </w:p>
        </w:tc>
        <w:tc>
          <w:tcPr>
            <w:tcW w:w="260" w:type="dxa"/>
            <w:vAlign w:val="bottom"/>
            <w:vMerge w:val="restart"/>
          </w:tcPr>
          <w:p>
            <w:pPr>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302,362</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ind w:left="740"/>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2,362</w:t>
            </w: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1080" w:type="dxa"/>
            <w:vAlign w:val="bottom"/>
            <w:gridSpan w:val="2"/>
          </w:tcPr>
          <w:p>
            <w:pPr>
              <w:ind w:left="20"/>
              <w:spacing w:after="0" w:line="200" w:lineRule="exact"/>
              <w:rPr>
                <w:sz w:val="20"/>
                <w:szCs w:val="20"/>
                <w:color w:val="auto"/>
              </w:rPr>
            </w:pPr>
            <w:r>
              <w:rPr>
                <w:rFonts w:ascii="Arial" w:cs="Arial" w:eastAsia="Arial" w:hAnsi="Arial"/>
                <w:sz w:val="14"/>
                <w:szCs w:val="14"/>
                <w:color w:val="auto"/>
              </w:rPr>
              <w:t>value</w:t>
            </w:r>
            <w:r>
              <w:rPr>
                <w:rFonts w:ascii="Arial" w:cs="Arial" w:eastAsia="Arial" w:hAnsi="Arial"/>
                <w:sz w:val="18"/>
                <w:szCs w:val="18"/>
                <w:color w:val="auto"/>
                <w:vertAlign w:val="superscript"/>
              </w:rPr>
              <w:t>(1)</w:t>
            </w:r>
          </w:p>
        </w:tc>
        <w:tc>
          <w:tcPr>
            <w:tcW w:w="2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302,362</w:t>
            </w: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2,362</w:t>
            </w:r>
          </w:p>
        </w:tc>
        <w:tc>
          <w:tcPr>
            <w:tcW w:w="7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8"/>
        <w:spacing w:after="0" w:line="308" w:lineRule="auto"/>
        <w:tabs>
          <w:tab w:leader="none" w:pos="209"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These amounts include the amortized cost basis of closed portfolios of AFS securities used to designate hedging relationships in which the hedged item is the stated amount of assets in the closed portfolio anticipated to be outstanding for the designated hedged period. At March 31, 2023, the amortized cost basis of the closed portfolios used in these hedging relationships was $302.4 million; the cumulative basis adjustments associated with these hedging relationships was $2.4 million; and the amounts of the designated hedged items were $300.0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“other liabilities” in the Company’s Consolidated Balance Sheets. Changes in the fair value of interest rate swaps are recorded in other non-interest expense and sum to zero because of offsetting terms of swaps with borrowers and swaps with dealer counterparties.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which includes accrued interest, as well as their classification on the Consolidated Balance Sheets as of March 31, 2023, and December 31, 2022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6"/>
        </w:trPr>
        <w:tc>
          <w:tcPr>
            <w:tcW w:w="558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ind w:left="254"/>
              <w:spacing w:after="0"/>
              <w:rPr>
                <w:sz w:val="20"/>
                <w:szCs w:val="20"/>
                <w:color w:val="auto"/>
              </w:rPr>
            </w:pPr>
            <w:r>
              <w:rPr>
                <w:rFonts w:ascii="Arial" w:cs="Arial" w:eastAsia="Arial" w:hAnsi="Arial"/>
                <w:sz w:val="14"/>
                <w:szCs w:val="14"/>
                <w:b w:val="1"/>
                <w:bCs w:val="1"/>
                <w:color w:val="auto"/>
                <w:w w:val="89"/>
              </w:rPr>
              <w:t>Balance Sheet Location</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Notional Amount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2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Interest rate swaps related to cash flow hedges</w:t>
            </w:r>
          </w:p>
        </w:tc>
        <w:tc>
          <w:tcPr>
            <w:tcW w:w="2160" w:type="dxa"/>
            <w:vAlign w:val="bottom"/>
          </w:tcPr>
          <w:p>
            <w:pPr>
              <w:jc w:val="center"/>
              <w:ind w:left="254"/>
              <w:spacing w:after="0"/>
              <w:rPr>
                <w:sz w:val="20"/>
                <w:szCs w:val="20"/>
                <w:color w:val="auto"/>
              </w:rPr>
            </w:pPr>
            <w:r>
              <w:rPr>
                <w:rFonts w:ascii="Arial" w:cs="Arial" w:eastAsia="Arial" w:hAnsi="Arial"/>
                <w:sz w:val="18"/>
                <w:szCs w:val="18"/>
                <w:color w:val="auto"/>
                <w:w w:val="96"/>
              </w:rPr>
              <w:t>Other liabilities</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1,866</w:t>
            </w:r>
          </w:p>
        </w:tc>
      </w:tr>
      <w:tr>
        <w:trPr>
          <w:trHeight w:val="230"/>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 related to fair value hedges</w:t>
            </w:r>
          </w:p>
        </w:tc>
        <w:tc>
          <w:tcPr>
            <w:tcW w:w="216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96"/>
              </w:rPr>
              <w:t>Other liabilities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r>
      <w:tr>
        <w:trPr>
          <w:trHeight w:val="270"/>
        </w:trPr>
        <w:tc>
          <w:tcPr>
            <w:tcW w:w="55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2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8"/>
                <w:szCs w:val="18"/>
                <w:color w:val="auto"/>
              </w:rPr>
              <w:t>Interest rate swaps related to customer loans</w:t>
            </w:r>
          </w:p>
        </w:tc>
        <w:tc>
          <w:tcPr>
            <w:tcW w:w="2160" w:type="dxa"/>
            <w:vAlign w:val="bottom"/>
          </w:tcPr>
          <w:p>
            <w:pPr>
              <w:jc w:val="center"/>
              <w:ind w:left="254"/>
              <w:spacing w:after="0"/>
              <w:rPr>
                <w:sz w:val="20"/>
                <w:szCs w:val="20"/>
                <w:color w:val="auto"/>
              </w:rPr>
            </w:pPr>
            <w:r>
              <w:rPr>
                <w:rFonts w:ascii="Arial" w:cs="Arial" w:eastAsia="Arial" w:hAnsi="Arial"/>
                <w:sz w:val="18"/>
                <w:szCs w:val="18"/>
                <w:color w:val="auto"/>
                <w:w w:val="84"/>
              </w:rPr>
              <w:t>Other assets</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34,439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1,045</w:t>
            </w:r>
          </w:p>
        </w:tc>
      </w:tr>
      <w:tr>
        <w:trPr>
          <w:trHeight w:val="229"/>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 related to customer loans</w:t>
            </w:r>
          </w:p>
        </w:tc>
        <w:tc>
          <w:tcPr>
            <w:tcW w:w="216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96"/>
              </w:rPr>
              <w:t>Other liabilities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96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55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1"/>
        </w:trPr>
        <w:tc>
          <w:tcPr>
            <w:tcW w:w="5580" w:type="dxa"/>
            <w:vAlign w:val="bottom"/>
          </w:tcPr>
          <w:p>
            <w:pPr>
              <w:spacing w:after="0"/>
              <w:rPr>
                <w:sz w:val="15"/>
                <w:szCs w:val="15"/>
                <w:color w:val="auto"/>
              </w:rPr>
            </w:pPr>
          </w:p>
        </w:tc>
        <w:tc>
          <w:tcPr>
            <w:tcW w:w="2120" w:type="dxa"/>
            <w:vAlign w:val="bottom"/>
            <w:tcBorders>
              <w:bottom w:val="single" w:sz="8" w:color="auto"/>
            </w:tcBorders>
          </w:tcPr>
          <w:p>
            <w:pPr>
              <w:jc w:val="center"/>
              <w:ind w:left="294"/>
              <w:spacing w:after="0"/>
              <w:rPr>
                <w:sz w:val="20"/>
                <w:szCs w:val="20"/>
                <w:color w:val="auto"/>
              </w:rPr>
            </w:pPr>
            <w:r>
              <w:rPr>
                <w:rFonts w:ascii="Arial" w:cs="Arial" w:eastAsia="Arial" w:hAnsi="Arial"/>
                <w:sz w:val="14"/>
                <w:szCs w:val="14"/>
                <w:b w:val="1"/>
                <w:bCs w:val="1"/>
                <w:color w:val="auto"/>
                <w:w w:val="89"/>
              </w:rPr>
              <w:t>Balance Sheet Location</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Notional Amount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2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580" w:type="dxa"/>
            <w:vAlign w:val="bottom"/>
          </w:tcPr>
          <w:p>
            <w:pPr>
              <w:ind w:left="240"/>
              <w:spacing w:after="0"/>
              <w:rPr>
                <w:sz w:val="20"/>
                <w:szCs w:val="20"/>
                <w:color w:val="auto"/>
              </w:rPr>
            </w:pPr>
            <w:r>
              <w:rPr>
                <w:rFonts w:ascii="Arial" w:cs="Arial" w:eastAsia="Arial" w:hAnsi="Arial"/>
                <w:sz w:val="18"/>
                <w:szCs w:val="18"/>
                <w:color w:val="auto"/>
              </w:rPr>
              <w:t>Interest rate swaps related to cash flow hedges</w:t>
            </w:r>
          </w:p>
        </w:tc>
        <w:tc>
          <w:tcPr>
            <w:tcW w:w="2120" w:type="dxa"/>
            <w:vAlign w:val="bottom"/>
          </w:tcPr>
          <w:p>
            <w:pPr>
              <w:jc w:val="center"/>
              <w:ind w:left="294"/>
              <w:spacing w:after="0"/>
              <w:rPr>
                <w:sz w:val="20"/>
                <w:szCs w:val="20"/>
                <w:color w:val="auto"/>
              </w:rPr>
            </w:pPr>
            <w:r>
              <w:rPr>
                <w:rFonts w:ascii="Arial" w:cs="Arial" w:eastAsia="Arial" w:hAnsi="Arial"/>
                <w:sz w:val="18"/>
                <w:szCs w:val="18"/>
                <w:color w:val="auto"/>
                <w:w w:val="96"/>
              </w:rPr>
              <w:t>Other liabilities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2,254</w:t>
            </w:r>
          </w:p>
        </w:tc>
      </w:tr>
      <w:tr>
        <w:trPr>
          <w:trHeight w:val="243"/>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 related to fair value hedges</w:t>
            </w:r>
          </w:p>
        </w:tc>
        <w:tc>
          <w:tcPr>
            <w:tcW w:w="212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9"/>
              </w:rPr>
              <w:t>N/A</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2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580" w:type="dxa"/>
            <w:vAlign w:val="bottom"/>
          </w:tcPr>
          <w:p>
            <w:pPr>
              <w:ind w:left="240"/>
              <w:spacing w:after="0"/>
              <w:rPr>
                <w:sz w:val="20"/>
                <w:szCs w:val="20"/>
                <w:color w:val="auto"/>
              </w:rPr>
            </w:pPr>
            <w:r>
              <w:rPr>
                <w:rFonts w:ascii="Arial" w:cs="Arial" w:eastAsia="Arial" w:hAnsi="Arial"/>
                <w:sz w:val="18"/>
                <w:szCs w:val="18"/>
                <w:color w:val="auto"/>
              </w:rPr>
              <w:t>Interest rate swaps related to customer loans</w:t>
            </w:r>
          </w:p>
        </w:tc>
        <w:tc>
          <w:tcPr>
            <w:tcW w:w="2120" w:type="dxa"/>
            <w:vAlign w:val="bottom"/>
          </w:tcPr>
          <w:p>
            <w:pPr>
              <w:jc w:val="center"/>
              <w:ind w:left="294"/>
              <w:spacing w:after="0"/>
              <w:rPr>
                <w:sz w:val="20"/>
                <w:szCs w:val="20"/>
                <w:color w:val="auto"/>
              </w:rPr>
            </w:pPr>
            <w:r>
              <w:rPr>
                <w:rFonts w:ascii="Arial" w:cs="Arial" w:eastAsia="Arial" w:hAnsi="Arial"/>
                <w:sz w:val="18"/>
                <w:szCs w:val="18"/>
                <w:color w:val="auto"/>
                <w:w w:val="84"/>
              </w:rPr>
              <w:t>Other assets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34,674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43"/>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 related to customer loans</w:t>
            </w:r>
          </w:p>
        </w:tc>
        <w:tc>
          <w:tcPr>
            <w:tcW w:w="212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6"/>
              </w:rPr>
              <w:t>Other liabilities</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the effect of cash flow hedge accounting on AOCI for the three months ended March 31, 2023, and March 31, 2022,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March 31, 2023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March 31, 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86"/>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8"/>
              </w:rPr>
              <w:t>Amount of Gain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Amount of Gain</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89"/>
              </w:rPr>
              <w:t>or (Loss)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93"/>
              </w:rPr>
              <w:t>or (Loss)</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or (Loss)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or (Loss)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or (Loss)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Location of Gain 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93"/>
              </w:rPr>
              <w:t>or (Loss)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10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Reclassified from</w:t>
            </w:r>
          </w:p>
        </w:tc>
        <w:tc>
          <w:tcPr>
            <w:tcW w:w="0" w:type="dxa"/>
            <w:vAlign w:val="bottom"/>
          </w:tcPr>
          <w:p>
            <w:pPr>
              <w:spacing w:after="0"/>
              <w:rPr>
                <w:sz w:val="1"/>
                <w:szCs w:val="1"/>
                <w:color w:val="auto"/>
              </w:rPr>
            </w:pPr>
          </w:p>
        </w:tc>
      </w:tr>
      <w:tr>
        <w:trPr>
          <w:trHeight w:val="135"/>
        </w:trPr>
        <w:tc>
          <w:tcPr>
            <w:tcW w:w="30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Derivatives in Cash Flow</w:t>
            </w: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9"/>
              </w:rPr>
              <w:t>Reclassified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from AOCI into</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rPr>
              <w:t>AOCI into</w:t>
            </w:r>
          </w:p>
        </w:tc>
        <w:tc>
          <w:tcPr>
            <w:tcW w:w="0" w:type="dxa"/>
            <w:vAlign w:val="bottom"/>
          </w:tcPr>
          <w:p>
            <w:pPr>
              <w:spacing w:after="0"/>
              <w:rPr>
                <w:sz w:val="1"/>
                <w:szCs w:val="1"/>
                <w:color w:val="auto"/>
              </w:rPr>
            </w:pPr>
          </w:p>
        </w:tc>
      </w:tr>
      <w:tr>
        <w:trPr>
          <w:trHeight w:val="135"/>
        </w:trPr>
        <w:tc>
          <w:tcPr>
            <w:tcW w:w="3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rPr>
              <w:t>OCI 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9"/>
              </w:rPr>
              <w:t>OCI Included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OCI Excluded</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(Loss) Reclassified from</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9"/>
              </w:rPr>
              <w:t>from AOCI into</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Income Included</w:t>
            </w:r>
          </w:p>
        </w:tc>
        <w:tc>
          <w:tcPr>
            <w:tcW w:w="10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Income Excluded</w:t>
            </w:r>
          </w:p>
        </w:tc>
        <w:tc>
          <w:tcPr>
            <w:tcW w:w="0" w:type="dxa"/>
            <w:vAlign w:val="bottom"/>
          </w:tcPr>
          <w:p>
            <w:pPr>
              <w:spacing w:after="0"/>
              <w:rPr>
                <w:sz w:val="1"/>
                <w:szCs w:val="1"/>
                <w:color w:val="auto"/>
              </w:rPr>
            </w:pPr>
          </w:p>
        </w:tc>
      </w:tr>
      <w:tr>
        <w:trPr>
          <w:trHeight w:val="182"/>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6"/>
              </w:rPr>
              <w:t>Derivative</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4"/>
              </w:rPr>
              <w:t>Component</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4"/>
              </w:rPr>
              <w:t>Component</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AOCI into Income</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2"/>
              </w:rPr>
              <w:t>Income</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94"/>
              </w:rPr>
              <w:t>Component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4"/>
              </w:rPr>
              <w:t>Component</w:t>
            </w: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Products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92"/>
              </w:rPr>
              <w:t>Interest Income</w:t>
            </w:r>
          </w:p>
        </w:tc>
        <w:tc>
          <w:tcPr>
            <w:tcW w:w="10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04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(363)</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57"/>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6"/>
              </w:rPr>
              <w:t>March 31, 2022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March 31, 2022</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86"/>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vMerge w:val="restart"/>
          </w:tcPr>
          <w:p>
            <w:pPr>
              <w:jc w:val="center"/>
              <w:ind w:right="20"/>
              <w:spacing w:after="0"/>
              <w:rPr>
                <w:sz w:val="20"/>
                <w:szCs w:val="20"/>
                <w:color w:val="auto"/>
              </w:rPr>
            </w:pPr>
            <w:r>
              <w:rPr>
                <w:rFonts w:ascii="Arial" w:cs="Arial" w:eastAsia="Arial" w:hAnsi="Arial"/>
                <w:sz w:val="13"/>
                <w:szCs w:val="13"/>
                <w:b w:val="1"/>
                <w:bCs w:val="1"/>
                <w:color w:val="auto"/>
                <w:w w:val="96"/>
              </w:rPr>
              <w:t>Amount of Gain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96"/>
              </w:rPr>
              <w:t>Amount of Gain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6"/>
              </w:rPr>
              <w:t>Amount of Gain</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Amount of Gain</w:t>
            </w:r>
          </w:p>
        </w:tc>
        <w:tc>
          <w:tcPr>
            <w:tcW w:w="10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Amount of Gain</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87"/>
              <w:spacing w:after="0" w:line="135" w:lineRule="exact"/>
              <w:rPr>
                <w:sz w:val="20"/>
                <w:szCs w:val="20"/>
                <w:color w:val="auto"/>
              </w:rPr>
            </w:pPr>
            <w:r>
              <w:rPr>
                <w:rFonts w:ascii="Arial" w:cs="Arial" w:eastAsia="Arial" w:hAnsi="Arial"/>
                <w:sz w:val="13"/>
                <w:szCs w:val="13"/>
                <w:b w:val="1"/>
                <w:bCs w:val="1"/>
                <w:color w:val="auto"/>
                <w:w w:val="93"/>
              </w:rPr>
              <w:t>or (Loss)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w w:val="93"/>
              </w:rPr>
              <w:t>or (Loss)</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or (Loss)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(Loss)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or (Loss)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95"/>
              </w:rPr>
              <w:t>Location of Gain 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07"/>
              <w:spacing w:after="0" w:line="135" w:lineRule="exact"/>
              <w:rPr>
                <w:sz w:val="20"/>
                <w:szCs w:val="20"/>
                <w:color w:val="auto"/>
              </w:rPr>
            </w:pPr>
            <w:r>
              <w:rPr>
                <w:rFonts w:ascii="Arial" w:cs="Arial" w:eastAsia="Arial" w:hAnsi="Arial"/>
                <w:sz w:val="13"/>
                <w:szCs w:val="13"/>
                <w:b w:val="1"/>
                <w:bCs w:val="1"/>
                <w:color w:val="auto"/>
                <w:w w:val="89"/>
              </w:rPr>
              <w:t>or (Loss)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Reclassified from</w:t>
            </w:r>
          </w:p>
        </w:tc>
        <w:tc>
          <w:tcPr>
            <w:tcW w:w="10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Reclassified from</w:t>
            </w:r>
          </w:p>
        </w:tc>
        <w:tc>
          <w:tcPr>
            <w:tcW w:w="0" w:type="dxa"/>
            <w:vAlign w:val="bottom"/>
          </w:tcPr>
          <w:p>
            <w:pPr>
              <w:spacing w:after="0"/>
              <w:rPr>
                <w:sz w:val="1"/>
                <w:szCs w:val="1"/>
                <w:color w:val="auto"/>
              </w:rPr>
            </w:pPr>
          </w:p>
        </w:tc>
      </w:tr>
      <w:tr>
        <w:trPr>
          <w:trHeight w:val="135"/>
        </w:trPr>
        <w:tc>
          <w:tcPr>
            <w:tcW w:w="30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Derivatives in Cash Flow</w:t>
            </w: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92"/>
              </w:rPr>
              <w:t>Recognized in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90"/>
              </w:rPr>
              <w:t>Recognized 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2"/>
              </w:rPr>
              <w:t>Reclassified from</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rPr>
              <w:t>AOCI into</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67"/>
              <w:spacing w:after="0" w:line="135" w:lineRule="exact"/>
              <w:rPr>
                <w:sz w:val="20"/>
                <w:szCs w:val="20"/>
                <w:color w:val="auto"/>
              </w:rPr>
            </w:pPr>
            <w:r>
              <w:rPr>
                <w:rFonts w:ascii="Arial" w:cs="Arial" w:eastAsia="Arial" w:hAnsi="Arial"/>
                <w:sz w:val="13"/>
                <w:szCs w:val="13"/>
                <w:b w:val="1"/>
                <w:bCs w:val="1"/>
                <w:color w:val="auto"/>
              </w:rPr>
              <w:t>AOCI into</w:t>
            </w:r>
          </w:p>
        </w:tc>
        <w:tc>
          <w:tcPr>
            <w:tcW w:w="0" w:type="dxa"/>
            <w:vAlign w:val="bottom"/>
          </w:tcPr>
          <w:p>
            <w:pPr>
              <w:spacing w:after="0"/>
              <w:rPr>
                <w:sz w:val="1"/>
                <w:szCs w:val="1"/>
                <w:color w:val="auto"/>
              </w:rPr>
            </w:pPr>
          </w:p>
        </w:tc>
      </w:tr>
      <w:tr>
        <w:trPr>
          <w:trHeight w:val="135"/>
        </w:trPr>
        <w:tc>
          <w:tcPr>
            <w:tcW w:w="3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8"/>
              </w:rPr>
              <w:t>OCI 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99"/>
              </w:rPr>
              <w:t>OCI Included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OCI Excluded</w:t>
            </w:r>
          </w:p>
        </w:tc>
        <w:tc>
          <w:tcPr>
            <w:tcW w:w="60" w:type="dxa"/>
            <w:vAlign w:val="bottom"/>
          </w:tcPr>
          <w:p>
            <w:pPr>
              <w:spacing w:after="0"/>
              <w:rPr>
                <w:sz w:val="11"/>
                <w:szCs w:val="11"/>
                <w:color w:val="auto"/>
              </w:rPr>
            </w:pPr>
          </w:p>
        </w:tc>
        <w:tc>
          <w:tcPr>
            <w:tcW w:w="1460" w:type="dxa"/>
            <w:vAlign w:val="bottom"/>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w w:val="92"/>
              </w:rPr>
              <w:t>(Loss) Reclassified from</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107"/>
              <w:spacing w:after="0" w:line="135" w:lineRule="exact"/>
              <w:rPr>
                <w:sz w:val="20"/>
                <w:szCs w:val="20"/>
                <w:color w:val="auto"/>
              </w:rPr>
            </w:pPr>
            <w:r>
              <w:rPr>
                <w:rFonts w:ascii="Arial" w:cs="Arial" w:eastAsia="Arial" w:hAnsi="Arial"/>
                <w:sz w:val="13"/>
                <w:szCs w:val="13"/>
                <w:b w:val="1"/>
                <w:bCs w:val="1"/>
                <w:color w:val="auto"/>
              </w:rPr>
              <w:t>AOCI into</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Income Included</w:t>
            </w:r>
          </w:p>
        </w:tc>
        <w:tc>
          <w:tcPr>
            <w:tcW w:w="10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Income Excluded</w:t>
            </w:r>
          </w:p>
        </w:tc>
        <w:tc>
          <w:tcPr>
            <w:tcW w:w="0" w:type="dxa"/>
            <w:vAlign w:val="bottom"/>
          </w:tcPr>
          <w:p>
            <w:pPr>
              <w:spacing w:after="0"/>
              <w:rPr>
                <w:sz w:val="1"/>
                <w:szCs w:val="1"/>
                <w:color w:val="auto"/>
              </w:rPr>
            </w:pPr>
          </w:p>
        </w:tc>
      </w:tr>
      <w:tr>
        <w:trPr>
          <w:trHeight w:val="182"/>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Hedging Relationships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6"/>
              </w:rPr>
              <w:t>Derivative</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1"/>
              </w:rPr>
              <w:t>Component</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94"/>
              </w:rPr>
              <w:t>Component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AOCI into Income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07"/>
              <w:spacing w:after="0"/>
              <w:rPr>
                <w:sz w:val="20"/>
                <w:szCs w:val="20"/>
                <w:color w:val="auto"/>
              </w:rPr>
            </w:pPr>
            <w:r>
              <w:rPr>
                <w:rFonts w:ascii="Arial" w:cs="Arial" w:eastAsia="Arial" w:hAnsi="Arial"/>
                <w:sz w:val="13"/>
                <w:szCs w:val="13"/>
                <w:b w:val="1"/>
                <w:bCs w:val="1"/>
                <w:color w:val="auto"/>
                <w:w w:val="92"/>
              </w:rPr>
              <w:t>Income</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94"/>
              </w:rPr>
              <w:t>Component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4"/>
              </w:rPr>
              <w:t>Component</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Products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0"/>
              </w:rPr>
              <w:t>Interest Income</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75</w:t>
            </w: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4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table below presents the effect of the Company’s derivative financial instruments on the Consolidated Statements of Income as of March 31, 2023, and March 31, 2022.</w:t>
      </w:r>
    </w:p>
    <w:p>
      <w:pPr>
        <w:jc w:val="center"/>
        <w:ind w:left="5920"/>
        <w:spacing w:after="0"/>
        <w:rPr>
          <w:sz w:val="20"/>
          <w:szCs w:val="20"/>
          <w:color w:val="auto"/>
        </w:rPr>
      </w:pPr>
      <w:r>
        <w:rPr>
          <w:rFonts w:ascii="Arial" w:cs="Arial" w:eastAsia="Arial" w:hAnsi="Arial"/>
          <w:sz w:val="14"/>
          <w:szCs w:val="14"/>
          <w:b w:val="1"/>
          <w:bCs w:val="1"/>
          <w:color w:val="auto"/>
        </w:rPr>
        <w:t>Location and Amount of Gain or (Loss) Recognized in Income on Fair Value</w:t>
      </w:r>
    </w:p>
    <w:p>
      <w:pPr>
        <w:spacing w:after="0" w:line="19"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and Cash Flow Hedging Relationships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March 31, 2023</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March 31, 2022</w:t>
            </w:r>
          </w:p>
        </w:tc>
        <w:tc>
          <w:tcPr>
            <w:tcW w:w="5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Interest Income</w:t>
            </w:r>
          </w:p>
        </w:tc>
        <w:tc>
          <w:tcPr>
            <w:tcW w:w="100" w:type="dxa"/>
            <w:vAlign w:val="bottom"/>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Interest Expense</w:t>
            </w:r>
          </w:p>
        </w:tc>
        <w:tc>
          <w:tcPr>
            <w:tcW w:w="10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Interest Income</w:t>
            </w:r>
          </w:p>
        </w:tc>
        <w:tc>
          <w:tcPr>
            <w:tcW w:w="100" w:type="dxa"/>
            <w:vAlign w:val="bottom"/>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Interest Expense</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w w:val="95"/>
              </w:rPr>
              <w:t>Total amounts of income and expense line items presented in the statement of financial</w:t>
            </w:r>
          </w:p>
        </w:tc>
        <w:tc>
          <w:tcPr>
            <w:tcW w:w="420" w:type="dxa"/>
            <w:vAlign w:val="bottom"/>
            <w:shd w:val="clear" w:color="auto" w:fill="CCEEFF"/>
          </w:tcPr>
          <w:p>
            <w:pPr>
              <w:jc w:val="right"/>
              <w:ind w:right="239"/>
              <w:spacing w:after="0" w:line="162"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(203)</w:t>
            </w:r>
          </w:p>
        </w:tc>
        <w:tc>
          <w:tcPr>
            <w:tcW w:w="840" w:type="dxa"/>
            <w:vAlign w:val="bottom"/>
            <w:gridSpan w:val="2"/>
            <w:shd w:val="clear" w:color="auto" w:fill="CCEEFF"/>
          </w:tcPr>
          <w:p>
            <w:pPr>
              <w:jc w:val="right"/>
              <w:ind w:right="559"/>
              <w:spacing w:after="0" w:line="162"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39"/>
              <w:spacing w:after="0" w:line="162"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75</w:t>
            </w:r>
          </w:p>
        </w:tc>
        <w:tc>
          <w:tcPr>
            <w:tcW w:w="840" w:type="dxa"/>
            <w:vAlign w:val="bottom"/>
            <w:gridSpan w:val="2"/>
            <w:shd w:val="clear" w:color="auto" w:fill="CCEEFF"/>
          </w:tcPr>
          <w:p>
            <w:pPr>
              <w:jc w:val="right"/>
              <w:ind w:right="559"/>
              <w:spacing w:after="0" w:line="162"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performance in which the effects of fair value or cash flow hedges are recorded.</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The effects of fair value and cash flow hedging:</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ind w:left="340"/>
              <w:spacing w:after="0"/>
              <w:rPr>
                <w:sz w:val="20"/>
                <w:szCs w:val="20"/>
                <w:color w:val="auto"/>
              </w:rPr>
            </w:pPr>
            <w:r>
              <w:rPr>
                <w:rFonts w:ascii="Arial" w:cs="Arial" w:eastAsia="Arial" w:hAnsi="Arial"/>
                <w:sz w:val="16"/>
                <w:szCs w:val="16"/>
                <w:b w:val="1"/>
                <w:bCs w:val="1"/>
                <w:color w:val="auto"/>
              </w:rPr>
              <w:t>Gain or (loss) on fair value hedging relationships in Subtopic 815-20</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w w:val="89"/>
              </w:rPr>
              <w:t>Interest contracts</w:t>
            </w:r>
          </w:p>
        </w:tc>
        <w:tc>
          <w:tcPr>
            <w:tcW w:w="48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Hedged items</w:t>
            </w: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Derivatives designated as hedging instruments</w:t>
            </w:r>
          </w:p>
        </w:tc>
        <w:tc>
          <w:tcPr>
            <w:tcW w:w="4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(2,202)</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ind w:left="340"/>
              <w:spacing w:after="0"/>
              <w:rPr>
                <w:sz w:val="20"/>
                <w:szCs w:val="20"/>
                <w:color w:val="auto"/>
              </w:rPr>
            </w:pPr>
            <w:r>
              <w:rPr>
                <w:rFonts w:ascii="Arial" w:cs="Arial" w:eastAsia="Arial" w:hAnsi="Arial"/>
                <w:sz w:val="16"/>
                <w:szCs w:val="16"/>
                <w:b w:val="1"/>
                <w:bCs w:val="1"/>
                <w:color w:val="auto"/>
              </w:rPr>
              <w:t>Gain or (loss) on cash flow hedging relationships in Subtopic 815-20</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6"/>
                <w:szCs w:val="16"/>
                <w:color w:val="auto"/>
                <w:w w:val="89"/>
              </w:rPr>
              <w:t>Interest contracts</w:t>
            </w:r>
          </w:p>
        </w:tc>
        <w:tc>
          <w:tcPr>
            <w:tcW w:w="48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gridSpan w:val="2"/>
          </w:tcPr>
          <w:p>
            <w:pPr>
              <w:ind w:left="120"/>
              <w:spacing w:after="0"/>
              <w:rPr>
                <w:sz w:val="20"/>
                <w:szCs w:val="20"/>
                <w:color w:val="auto"/>
              </w:rPr>
            </w:pPr>
            <w:r>
              <w:rPr>
                <w:rFonts w:ascii="Arial" w:cs="Arial" w:eastAsia="Arial" w:hAnsi="Arial"/>
                <w:sz w:val="16"/>
                <w:szCs w:val="16"/>
                <w:color w:val="auto"/>
              </w:rPr>
              <w:t>Amount of gain or (loss) reclassified from AOCI into income</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92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6"/>
                <w:szCs w:val="16"/>
                <w:color w:val="auto"/>
                <w:w w:val="92"/>
              </w:rPr>
              <w:t>Amount of gain or (loss) reclassified from AOCI into income as a result that a forecasted</w:t>
            </w:r>
          </w:p>
        </w:tc>
        <w:tc>
          <w:tcPr>
            <w:tcW w:w="4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5920" w:type="dxa"/>
            <w:vAlign w:val="bottom"/>
            <w:gridSpan w:val="2"/>
            <w:vMerge w:val="restart"/>
            <w:shd w:val="clear" w:color="auto" w:fill="CCEEFF"/>
          </w:tcPr>
          <w:p>
            <w:pPr>
              <w:ind w:left="280"/>
              <w:spacing w:after="0"/>
              <w:rPr>
                <w:sz w:val="20"/>
                <w:szCs w:val="20"/>
                <w:color w:val="auto"/>
              </w:rPr>
            </w:pPr>
            <w:r>
              <w:rPr>
                <w:rFonts w:ascii="Arial" w:cs="Arial" w:eastAsia="Arial" w:hAnsi="Arial"/>
                <w:sz w:val="16"/>
                <w:szCs w:val="16"/>
                <w:color w:val="auto"/>
              </w:rPr>
              <w:t>transaction is no longer probable of occurring</w:t>
            </w:r>
          </w:p>
        </w:tc>
        <w:tc>
          <w:tcPr>
            <w:tcW w:w="42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shd w:val="clear" w:color="auto" w:fill="CCEEFF"/>
          </w:tcPr>
          <w:p>
            <w:pPr>
              <w:spacing w:after="0"/>
              <w:rPr>
                <w:sz w:val="7"/>
                <w:szCs w:val="7"/>
                <w:color w:val="auto"/>
              </w:rPr>
            </w:pPr>
          </w:p>
        </w:tc>
        <w:tc>
          <w:tcPr>
            <w:tcW w:w="5920" w:type="dxa"/>
            <w:vAlign w:val="bottom"/>
            <w:gridSpan w:val="2"/>
            <w:vMerge w:val="continue"/>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Amount of gain or (loss) reclassified from AOCI into income - included component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6"/>
                <w:szCs w:val="16"/>
                <w:color w:val="auto"/>
              </w:rPr>
              <w:t>Amount of gain or (loss) reclassified from AOCI into income - excluded component</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2023, the fair value of derivatives in a net liability position, which includes accrued interest but excludes any adjustment for nonperformance risk related to these agreements, was $4.1 million. As of March 31, 2023, the Company has posted the full amount of collateral related to these agreements.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lock commitments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Commitments to fund consumer mortgage loans (interest rate lock commitments) to be sold into the secondary market are defined as derivatives under GAAP. The Company enters into best effort forward commitments for the future delivery of mortgage loans to third-party investors. The Company has elected the fair value option (“FVO”) on both the best-efforts forward commitments and the consumer mortgage loans held-for-sale in order to economically hedge the effect of changes in interest rates resulting from the commitment to fund the loans.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net gains (losses) relating to the free-standing derivative instruments (interest rate lock commitments) were $4.2 thousand and $(74.5) thousand at March 31, 2023, and March 31, 2022. The notional amount of loan pipeline that resulted in interest rate lock commitments at March 31, 2023, and March 31, 2022, was $838 thousand and $1.4 million, respectively. Interest Rate lock commitments are not designated as hedging instruments, and therefore, changes in the fair value of these free-standing derivative instruments are reported as non-interest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extension commitments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financial statements do not reflect various financial instruments which arise in the normal course of business and which involve elements of credit risk, interest rate risk and liquidity risk. These financial instruments include commitments to extend credit, commercial letters of credit, and revolving lines of credit.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Many of our lending relationships contain both funded and unfunded elements. The funded portion is reflected on our balance sheet. The unfunded portion of these commitments is not recorded on our balance sheet until a draw is made under the loan facility. Since many of our commitments to extend credit may expire without being drawn upon, the total commitment amounts do not necessarily represent future cash flow requirements.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contractual amounts of the Company’s financial instruments outstanding at March 31, 2023, and December 31, 2022, is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256"/>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7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to extend credit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291,265</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Commercial letters of credit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8,539</w:t>
            </w:r>
          </w:p>
        </w:tc>
      </w:tr>
    </w:tbl>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Commitments to extend credit and commercial letters of credit all include exposure to some credit loss in the event of nonperformance of the customer. The Company’s credit policies and procedures for credit commitments and financial guarantees are the same as those for extensions of credit that are recorded on the Consolidated Balance Sheets. Many of these instruments have fixed maturity dates, and many of them will expire without being drawn upon; accordingly, they do not generally present any significant liquidity risk to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 - off-balance-sheet credit exposures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a recapture of credit losses on unfunded commitments of $7.5 thousand for the three months ended March 31, 2023. The ACL on off-balance-sheet credit totaled $267.3 thousand at March 31, 2023, and is included in accrued interest and other liabilities on the accompanying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 party to litigation, claims and proceedings arising in the normal course of business that are ordinary and routine to the nature of the Company’s business and operations. Management, after consultation with legal counsel, believes that the liabilities, if any, arising from any currently pending or threatened litigation, claims or proceedings will not be material to the Company’s financial position.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w:t>
      </w:r>
    </w:p>
    <w:p>
      <w:pPr>
        <w:spacing w:after="0" w:line="13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for identical assets or liabilities in active markets that the entity has the ability to access as of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1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Significant other observable inputs other than Level 1 prices such as quoted prices for similar assets or liabilities; quoted prices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other inputs that are observable or can be corroborated by observable market data.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Significant unobservable inputs that reflect our own assumptions that market participants would use in pricing an asset or liability.</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a particular input to the fair value measurement in its entirety requires judgment and considers factors specific to the asset or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methods and significant assumptions to estimate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 The Company recognizes interest rate lock commitments at fair value. Fair value of interest rate lock commitments is based on the price of underlying loans obtained from an investor for loans that will be delivered on a best effort basis (Level 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held-for-sale, at fair value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loans held-for-sale is determined using quoted prices for similar assets, adjusted for specific attributes of that loan (Level 2). These loans currently consist of one-to-four family residential loans originated for sale in the secondary market.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are summarized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80" w:type="dxa"/>
            <w:vAlign w:val="bottom"/>
            <w:gridSpan w:val="7"/>
          </w:tcPr>
          <w:p>
            <w:pPr>
              <w:ind w:left="80"/>
              <w:spacing w:after="0"/>
              <w:rPr>
                <w:sz w:val="20"/>
                <w:szCs w:val="20"/>
                <w:color w:val="auto"/>
              </w:rPr>
            </w:pPr>
            <w:r>
              <w:rPr>
                <w:rFonts w:ascii="Arial" w:cs="Arial" w:eastAsia="Arial" w:hAnsi="Arial"/>
                <w:sz w:val="14"/>
                <w:szCs w:val="14"/>
                <w:b w:val="1"/>
                <w:bCs w:val="1"/>
                <w:color w:val="auto"/>
                <w:w w:val="94"/>
              </w:rPr>
              <w:t>Fair Value Measurements at March 31, 2023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ind w:right="48"/>
              <w:spacing w:after="0" w:line="129"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Unobservable Inputs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5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40"/>
              <w:spacing w:after="0"/>
              <w:rPr>
                <w:sz w:val="20"/>
                <w:szCs w:val="20"/>
                <w:color w:val="auto"/>
              </w:rPr>
            </w:pPr>
            <w:r>
              <w:rPr>
                <w:rFonts w:ascii="Arial" w:cs="Arial" w:eastAsia="Arial" w:hAnsi="Arial"/>
                <w:sz w:val="14"/>
                <w:szCs w:val="14"/>
                <w:color w:val="auto"/>
              </w:rPr>
              <w:t>Investment Securities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U.S. Treasuries and government agencies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178,419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178,419</w:t>
            </w:r>
          </w:p>
        </w:tc>
        <w:tc>
          <w:tcPr>
            <w:tcW w:w="0" w:type="dxa"/>
            <w:vAlign w:val="bottom"/>
          </w:tcPr>
          <w:p>
            <w:pPr>
              <w:spacing w:after="0"/>
              <w:rPr>
                <w:sz w:val="1"/>
                <w:szCs w:val="1"/>
                <w:color w:val="auto"/>
              </w:rPr>
            </w:pPr>
          </w:p>
        </w:tc>
      </w:tr>
      <w:tr>
        <w:trPr>
          <w:trHeight w:val="186"/>
        </w:trPr>
        <w:tc>
          <w:tcPr>
            <w:tcW w:w="5020" w:type="dxa"/>
            <w:vAlign w:val="bottom"/>
          </w:tcPr>
          <w:p>
            <w:pPr>
              <w:ind w:left="460"/>
              <w:spacing w:after="0"/>
              <w:rPr>
                <w:sz w:val="20"/>
                <w:szCs w:val="20"/>
                <w:color w:val="auto"/>
              </w:rPr>
            </w:pPr>
            <w:r>
              <w:rPr>
                <w:rFonts w:ascii="Arial" w:cs="Arial" w:eastAsia="Arial" w:hAnsi="Arial"/>
                <w:sz w:val="14"/>
                <w:szCs w:val="14"/>
                <w:color w:val="auto"/>
              </w:rPr>
              <w:t>Obligations of states and municipalities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468,362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468,362</w:t>
            </w:r>
          </w:p>
        </w:tc>
        <w:tc>
          <w:tcPr>
            <w:tcW w:w="0" w:type="dxa"/>
            <w:vAlign w:val="bottom"/>
          </w:tcPr>
          <w:p>
            <w:pPr>
              <w:spacing w:after="0"/>
              <w:rPr>
                <w:sz w:val="1"/>
                <w:szCs w:val="1"/>
                <w:color w:val="auto"/>
              </w:rPr>
            </w:pPr>
          </w:p>
        </w:tc>
      </w:tr>
      <w:tr>
        <w:trPr>
          <w:trHeight w:val="186"/>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Residential mortgage backed - agency</w:t>
            </w:r>
          </w:p>
        </w:tc>
        <w:tc>
          <w:tcPr>
            <w:tcW w:w="1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52,670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52,670</w:t>
            </w:r>
          </w:p>
        </w:tc>
        <w:tc>
          <w:tcPr>
            <w:tcW w:w="0" w:type="dxa"/>
            <w:vAlign w:val="bottom"/>
          </w:tcPr>
          <w:p>
            <w:pPr>
              <w:spacing w:after="0"/>
              <w:rPr>
                <w:sz w:val="1"/>
                <w:szCs w:val="1"/>
                <w:color w:val="auto"/>
              </w:rPr>
            </w:pPr>
          </w:p>
        </w:tc>
      </w:tr>
      <w:tr>
        <w:trPr>
          <w:trHeight w:val="182"/>
        </w:trPr>
        <w:tc>
          <w:tcPr>
            <w:tcW w:w="5020" w:type="dxa"/>
            <w:vAlign w:val="bottom"/>
          </w:tcPr>
          <w:p>
            <w:pPr>
              <w:ind w:left="460"/>
              <w:spacing w:after="0"/>
              <w:rPr>
                <w:sz w:val="20"/>
                <w:szCs w:val="20"/>
                <w:color w:val="auto"/>
              </w:rPr>
            </w:pPr>
            <w:r>
              <w:rPr>
                <w:rFonts w:ascii="Arial" w:cs="Arial" w:eastAsia="Arial" w:hAnsi="Arial"/>
                <w:sz w:val="14"/>
                <w:szCs w:val="14"/>
                <w:color w:val="auto"/>
              </w:rPr>
              <w:t>Residential mortgage backed - non-agency</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321,150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321,150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Commercial mortgage backed - agency</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57,832</w:t>
            </w:r>
          </w:p>
        </w:tc>
        <w:tc>
          <w:tcPr>
            <w:tcW w:w="0" w:type="dxa"/>
            <w:vAlign w:val="bottom"/>
          </w:tcPr>
          <w:p>
            <w:pPr>
              <w:spacing w:after="0"/>
              <w:rPr>
                <w:sz w:val="1"/>
                <w:szCs w:val="1"/>
                <w:color w:val="auto"/>
              </w:rPr>
            </w:pPr>
          </w:p>
        </w:tc>
      </w:tr>
      <w:tr>
        <w:trPr>
          <w:trHeight w:val="182"/>
        </w:trPr>
        <w:tc>
          <w:tcPr>
            <w:tcW w:w="5020" w:type="dxa"/>
            <w:vAlign w:val="bottom"/>
          </w:tcPr>
          <w:p>
            <w:pPr>
              <w:ind w:left="460"/>
              <w:spacing w:after="0"/>
              <w:rPr>
                <w:sz w:val="20"/>
                <w:szCs w:val="20"/>
                <w:color w:val="auto"/>
              </w:rPr>
            </w:pPr>
            <w:r>
              <w:rPr>
                <w:rFonts w:ascii="Arial" w:cs="Arial" w:eastAsia="Arial" w:hAnsi="Arial"/>
                <w:sz w:val="14"/>
                <w:szCs w:val="14"/>
                <w:color w:val="auto"/>
              </w:rPr>
              <w:t>Commercial mortgage backed - non-agency</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183,225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183,225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Asset-backed</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92,599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92,599</w:t>
            </w:r>
          </w:p>
        </w:tc>
        <w:tc>
          <w:tcPr>
            <w:tcW w:w="0" w:type="dxa"/>
            <w:vAlign w:val="bottom"/>
          </w:tcPr>
          <w:p>
            <w:pPr>
              <w:spacing w:after="0"/>
              <w:rPr>
                <w:sz w:val="1"/>
                <w:szCs w:val="1"/>
                <w:color w:val="auto"/>
              </w:rPr>
            </w:pPr>
          </w:p>
        </w:tc>
      </w:tr>
      <w:tr>
        <w:trPr>
          <w:trHeight w:val="186"/>
        </w:trPr>
        <w:tc>
          <w:tcPr>
            <w:tcW w:w="5020" w:type="dxa"/>
            <w:vAlign w:val="bottom"/>
          </w:tcPr>
          <w:p>
            <w:pPr>
              <w:ind w:left="46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8,528</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8,528</w:t>
            </w:r>
          </w:p>
        </w:tc>
        <w:tc>
          <w:tcPr>
            <w:tcW w:w="0" w:type="dxa"/>
            <w:vAlign w:val="bottom"/>
          </w:tcPr>
          <w:p>
            <w:pPr>
              <w:spacing w:after="0"/>
              <w:rPr>
                <w:sz w:val="1"/>
                <w:szCs w:val="1"/>
                <w:color w:val="auto"/>
              </w:rPr>
            </w:pPr>
          </w:p>
        </w:tc>
      </w:tr>
      <w:tr>
        <w:trPr>
          <w:trHeight w:val="193"/>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investment securities available-for-sale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178,419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1,184,366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1,362,785</w:t>
            </w:r>
          </w:p>
        </w:tc>
        <w:tc>
          <w:tcPr>
            <w:tcW w:w="0" w:type="dxa"/>
            <w:vAlign w:val="bottom"/>
          </w:tcPr>
          <w:p>
            <w:pPr>
              <w:spacing w:after="0"/>
              <w:rPr>
                <w:sz w:val="1"/>
                <w:szCs w:val="1"/>
                <w:color w:val="auto"/>
              </w:rPr>
            </w:pPr>
          </w:p>
        </w:tc>
      </w:tr>
      <w:tr>
        <w:trPr>
          <w:trHeight w:val="134"/>
        </w:trPr>
        <w:tc>
          <w:tcPr>
            <w:tcW w:w="50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Loans held-for-sale, at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Derivatives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20"/>
        </w:trPr>
        <w:tc>
          <w:tcPr>
            <w:tcW w:w="5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liabilities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40"/>
              <w:spacing w:after="0"/>
              <w:rPr>
                <w:sz w:val="20"/>
                <w:szCs w:val="20"/>
                <w:color w:val="auto"/>
              </w:rPr>
            </w:pPr>
            <w:r>
              <w:rPr>
                <w:rFonts w:ascii="Arial" w:cs="Arial" w:eastAsia="Arial" w:hAnsi="Arial"/>
                <w:sz w:val="14"/>
                <w:szCs w:val="14"/>
                <w:color w:val="auto"/>
              </w:rPr>
              <w:t>Derivatives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5,194</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ind w:left="102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5,194</w:t>
            </w:r>
          </w:p>
        </w:tc>
        <w:tc>
          <w:tcPr>
            <w:tcW w:w="0" w:type="dxa"/>
            <w:vAlign w:val="bottom"/>
          </w:tcPr>
          <w:p>
            <w:pPr>
              <w:spacing w:after="0"/>
              <w:rPr>
                <w:sz w:val="1"/>
                <w:szCs w:val="1"/>
                <w:color w:val="auto"/>
              </w:rPr>
            </w:pPr>
          </w:p>
        </w:tc>
      </w:tr>
      <w:tr>
        <w:trPr>
          <w:trHeight w:val="467"/>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rPr>
              <w:t>Fair Value Measurements at December 31, 2022 Using:</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jc w:val="center"/>
              <w:ind w:right="68"/>
              <w:spacing w:after="0" w:line="129"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5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40"/>
              <w:spacing w:after="0"/>
              <w:rPr>
                <w:sz w:val="20"/>
                <w:szCs w:val="20"/>
                <w:color w:val="auto"/>
              </w:rPr>
            </w:pPr>
            <w:r>
              <w:rPr>
                <w:rFonts w:ascii="Arial" w:cs="Arial" w:eastAsia="Arial" w:hAnsi="Arial"/>
                <w:sz w:val="14"/>
                <w:szCs w:val="14"/>
                <w:color w:val="auto"/>
              </w:rPr>
              <w:t>Investment Securities</w:t>
            </w: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U.S. Treasuries and government agencies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174,993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174,993</w:t>
            </w:r>
          </w:p>
        </w:tc>
        <w:tc>
          <w:tcPr>
            <w:tcW w:w="0" w:type="dxa"/>
            <w:vAlign w:val="bottom"/>
          </w:tcPr>
          <w:p>
            <w:pPr>
              <w:spacing w:after="0"/>
              <w:rPr>
                <w:sz w:val="1"/>
                <w:szCs w:val="1"/>
                <w:color w:val="auto"/>
              </w:rPr>
            </w:pPr>
          </w:p>
        </w:tc>
      </w:tr>
      <w:tr>
        <w:trPr>
          <w:trHeight w:val="186"/>
        </w:trPr>
        <w:tc>
          <w:tcPr>
            <w:tcW w:w="5020" w:type="dxa"/>
            <w:vAlign w:val="bottom"/>
          </w:tcPr>
          <w:p>
            <w:pPr>
              <w:ind w:left="460"/>
              <w:spacing w:after="0"/>
              <w:rPr>
                <w:sz w:val="20"/>
                <w:szCs w:val="20"/>
                <w:color w:val="auto"/>
              </w:rPr>
            </w:pPr>
            <w:r>
              <w:rPr>
                <w:rFonts w:ascii="Arial" w:cs="Arial" w:eastAsia="Arial" w:hAnsi="Arial"/>
                <w:sz w:val="14"/>
                <w:szCs w:val="14"/>
                <w:color w:val="auto"/>
              </w:rPr>
              <w:t>Obligations of states and municipalities</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453,907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ind w:left="10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453,907</w:t>
            </w:r>
          </w:p>
        </w:tc>
        <w:tc>
          <w:tcPr>
            <w:tcW w:w="0" w:type="dxa"/>
            <w:vAlign w:val="bottom"/>
          </w:tcPr>
          <w:p>
            <w:pPr>
              <w:spacing w:after="0"/>
              <w:rPr>
                <w:sz w:val="1"/>
                <w:szCs w:val="1"/>
                <w:color w:val="auto"/>
              </w:rPr>
            </w:pPr>
          </w:p>
        </w:tc>
      </w:tr>
      <w:tr>
        <w:trPr>
          <w:trHeight w:val="186"/>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Residential mortgage backed - agency</w:t>
            </w: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53,061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53,061</w:t>
            </w:r>
          </w:p>
        </w:tc>
        <w:tc>
          <w:tcPr>
            <w:tcW w:w="0" w:type="dxa"/>
            <w:vAlign w:val="bottom"/>
          </w:tcPr>
          <w:p>
            <w:pPr>
              <w:spacing w:after="0"/>
              <w:rPr>
                <w:sz w:val="1"/>
                <w:szCs w:val="1"/>
                <w:color w:val="auto"/>
              </w:rPr>
            </w:pPr>
          </w:p>
        </w:tc>
      </w:tr>
      <w:tr>
        <w:trPr>
          <w:trHeight w:val="182"/>
        </w:trPr>
        <w:tc>
          <w:tcPr>
            <w:tcW w:w="5020" w:type="dxa"/>
            <w:vAlign w:val="bottom"/>
          </w:tcPr>
          <w:p>
            <w:pPr>
              <w:ind w:left="460"/>
              <w:spacing w:after="0"/>
              <w:rPr>
                <w:sz w:val="20"/>
                <w:szCs w:val="20"/>
                <w:color w:val="auto"/>
              </w:rPr>
            </w:pPr>
            <w:r>
              <w:rPr>
                <w:rFonts w:ascii="Arial" w:cs="Arial" w:eastAsia="Arial" w:hAnsi="Arial"/>
                <w:sz w:val="14"/>
                <w:szCs w:val="14"/>
                <w:color w:val="auto"/>
              </w:rPr>
              <w:t>Residential mortgage backed - non-agency</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339,295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ind w:left="10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339,295</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Commercial mortgage backed - agency</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59,933</w:t>
            </w:r>
          </w:p>
        </w:tc>
        <w:tc>
          <w:tcPr>
            <w:tcW w:w="0" w:type="dxa"/>
            <w:vAlign w:val="bottom"/>
          </w:tcPr>
          <w:p>
            <w:pPr>
              <w:spacing w:after="0"/>
              <w:rPr>
                <w:sz w:val="1"/>
                <w:szCs w:val="1"/>
                <w:color w:val="auto"/>
              </w:rPr>
            </w:pPr>
          </w:p>
        </w:tc>
      </w:tr>
      <w:tr>
        <w:trPr>
          <w:trHeight w:val="182"/>
        </w:trPr>
        <w:tc>
          <w:tcPr>
            <w:tcW w:w="5020" w:type="dxa"/>
            <w:vAlign w:val="bottom"/>
          </w:tcPr>
          <w:p>
            <w:pPr>
              <w:ind w:left="460"/>
              <w:spacing w:after="0"/>
              <w:rPr>
                <w:sz w:val="20"/>
                <w:szCs w:val="20"/>
                <w:color w:val="auto"/>
              </w:rPr>
            </w:pPr>
            <w:r>
              <w:rPr>
                <w:rFonts w:ascii="Arial" w:cs="Arial" w:eastAsia="Arial" w:hAnsi="Arial"/>
                <w:sz w:val="14"/>
                <w:szCs w:val="14"/>
                <w:color w:val="auto"/>
              </w:rPr>
              <w:t>Commercial mortgage backed - non-agency</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183,299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ind w:left="10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183,299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Asset-backed</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98,626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98,626</w:t>
            </w:r>
          </w:p>
        </w:tc>
        <w:tc>
          <w:tcPr>
            <w:tcW w:w="0" w:type="dxa"/>
            <w:vAlign w:val="bottom"/>
          </w:tcPr>
          <w:p>
            <w:pPr>
              <w:spacing w:after="0"/>
              <w:rPr>
                <w:sz w:val="1"/>
                <w:szCs w:val="1"/>
                <w:color w:val="auto"/>
              </w:rPr>
            </w:pPr>
          </w:p>
        </w:tc>
      </w:tr>
      <w:tr>
        <w:trPr>
          <w:trHeight w:val="186"/>
        </w:trPr>
        <w:tc>
          <w:tcPr>
            <w:tcW w:w="5020" w:type="dxa"/>
            <w:vAlign w:val="bottom"/>
          </w:tcPr>
          <w:p>
            <w:pPr>
              <w:ind w:left="46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8,643</w:t>
            </w:r>
          </w:p>
        </w:tc>
        <w:tc>
          <w:tcPr>
            <w:tcW w:w="0" w:type="dxa"/>
            <w:vAlign w:val="bottom"/>
          </w:tcPr>
          <w:p>
            <w:pPr>
              <w:spacing w:after="0"/>
              <w:rPr>
                <w:sz w:val="1"/>
                <w:szCs w:val="1"/>
                <w:color w:val="auto"/>
              </w:rPr>
            </w:pPr>
          </w:p>
        </w:tc>
      </w:tr>
      <w:tr>
        <w:trPr>
          <w:trHeight w:val="193"/>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investment securities available-for-sale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1,196,764</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1,371,757</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Loans held-for-sale,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3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liabilities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40"/>
              <w:spacing w:after="0"/>
              <w:rPr>
                <w:sz w:val="20"/>
                <w:szCs w:val="20"/>
                <w:color w:val="auto"/>
              </w:rPr>
            </w:pPr>
            <w:r>
              <w:rPr>
                <w:rFonts w:ascii="Arial" w:cs="Arial" w:eastAsia="Arial" w:hAnsi="Arial"/>
                <w:sz w:val="14"/>
                <w:szCs w:val="14"/>
                <w:color w:val="auto"/>
              </w:rPr>
              <w:t>Derivatives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3,565</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ind w:left="102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3,565</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describes the valuation techniques used by the Company to measure certain assets recorded at fair value on a nonrecurring basis in the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Individually evaluated loans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adoption of CECL, loans individually evaluated for credit expected losses included non-accrual loans and other loans that do not share similar risk characteristics to loans in the CECL loan pools and have been classified as Level 3. Individually evaluated loans with an allocation to the ACL are measured at fair value on a nonrecurring basis. Any fair value adjustments are recorded in the period incurred as provision for credit losses on the Consolidated Statements of Income. Prior to adoption of CECL and ASU 2022-02, which eliminated the TDR accounting model, loans were designated as impaired when, in the judgment of management and based on current information and events, it was probable that all amounts due, according to the contractual terms of the loan agreement, would not be collected.</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measurement of loss associated with impaired loans can be based on either the observable market price of the loan, the present value of the expected future cash flows, or the fair value of the collateral. Generally, the fair value of impaired loans will be determined by the present value of the expected future cash flows or if collateral-dependent based on recent real estate appraisals. For collateral-dependent, the fair value is measured based on the value of the collateral securing the loans, less estimated costs of disposal. Collateral may be in the form of real estate or business assets, including equipment, inventory, and accounts receivable. The vast majority of the collateral is real estate. These appraisals may utilize a single valuation approach or a combination of approaches, including comparable sales and the income approach. Any fair value adjustments are recorded in the period incurred as provision for credit losses on the Consolidated Statements of Income and will result in a Level 3 fair value classification.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 resulting in a Level 3 fair value classification.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real estate owned</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acquired through foreclosure or other proceedings are initially recorded at fair value less costs to sell when acquired, establishing a new cost basis. These assets are subsequently accounted for at lower of cost or fair value less estimated costs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sell. Fair value is commonly based on recent real estate appraisals, which are updated no less frequently than annually. Any fair value adjustments are recorded in the period incurred and expensed against current earnings.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Assets that were measured at fair value on a nonrecurring basis during the period are summarized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60" w:type="dxa"/>
            <w:vAlign w:val="bottom"/>
            <w:gridSpan w:val="12"/>
          </w:tcPr>
          <w:p>
            <w:pPr>
              <w:ind w:left="20"/>
              <w:spacing w:after="0"/>
              <w:rPr>
                <w:sz w:val="20"/>
                <w:szCs w:val="20"/>
                <w:color w:val="auto"/>
              </w:rPr>
            </w:pPr>
            <w:r>
              <w:rPr>
                <w:rFonts w:ascii="Arial" w:cs="Arial" w:eastAsia="Arial" w:hAnsi="Arial"/>
                <w:sz w:val="14"/>
                <w:szCs w:val="14"/>
                <w:b w:val="1"/>
                <w:bCs w:val="1"/>
                <w:color w:val="auto"/>
                <w:w w:val="93"/>
              </w:rPr>
              <w:t>Fair Value Measurements at March 31, 2023 Using: :</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Significant Other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Observable Inputs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Unobservable Inputs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5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Individually Evaluated Loans: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318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Owner-occupied commercial real estate</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86"/>
        </w:trPr>
        <w:tc>
          <w:tcPr>
            <w:tcW w:w="5020" w:type="dxa"/>
            <w:vAlign w:val="bottom"/>
          </w:tcPr>
          <w:p>
            <w:pPr>
              <w:ind w:left="240"/>
              <w:spacing w:after="0"/>
              <w:rPr>
                <w:sz w:val="20"/>
                <w:szCs w:val="20"/>
                <w:color w:val="auto"/>
              </w:rPr>
            </w:pPr>
            <w:r>
              <w:rPr>
                <w:rFonts w:ascii="Arial" w:cs="Arial" w:eastAsia="Arial" w:hAnsi="Arial"/>
                <w:sz w:val="14"/>
                <w:szCs w:val="14"/>
                <w:color w:val="auto"/>
              </w:rPr>
              <w:t>Acquisition, construction &amp; development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020" w:type="dxa"/>
            <w:vAlign w:val="bottom"/>
          </w:tcPr>
          <w:p>
            <w:pPr>
              <w:ind w:left="240"/>
              <w:spacing w:after="0"/>
              <w:rPr>
                <w:sz w:val="20"/>
                <w:szCs w:val="20"/>
                <w:color w:val="auto"/>
              </w:rPr>
            </w:pPr>
            <w:r>
              <w:rPr>
                <w:rFonts w:ascii="Arial" w:cs="Arial" w:eastAsia="Arial" w:hAnsi="Arial"/>
                <w:sz w:val="14"/>
                <w:szCs w:val="14"/>
                <w:color w:val="auto"/>
              </w:rPr>
              <w:t>Single family residential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2,242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2,242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Consumer non-real estate and other</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4"/>
                <w:szCs w:val="14"/>
                <w:color w:val="auto"/>
              </w:rPr>
              <w:t>Other real estate owned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7"/>
        </w:trPr>
        <w:tc>
          <w:tcPr>
            <w:tcW w:w="50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15"/>
          </w:tcPr>
          <w:p>
            <w:pPr>
              <w:ind w:left="1280"/>
              <w:spacing w:after="0"/>
              <w:rPr>
                <w:sz w:val="20"/>
                <w:szCs w:val="20"/>
                <w:color w:val="auto"/>
              </w:rPr>
            </w:pPr>
            <w:r>
              <w:rPr>
                <w:rFonts w:ascii="Arial" w:cs="Arial" w:eastAsia="Arial" w:hAnsi="Arial"/>
                <w:sz w:val="14"/>
                <w:szCs w:val="14"/>
                <w:b w:val="1"/>
                <w:bCs w:val="1"/>
                <w:color w:val="auto"/>
              </w:rPr>
              <w:t>Fair Value Measurements at December 31, 2022 Using:</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5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1"/>
              </w:rPr>
              <w:t>Quoted Prices in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Significant 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Observable Inputs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Unobservable Inputs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Individually Evaluated Loans:</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290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Owner-occupied commercial real estate</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1,295</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182"/>
        </w:trPr>
        <w:tc>
          <w:tcPr>
            <w:tcW w:w="5020" w:type="dxa"/>
            <w:vAlign w:val="bottom"/>
          </w:tcPr>
          <w:p>
            <w:pPr>
              <w:ind w:left="240"/>
              <w:spacing w:after="0"/>
              <w:rPr>
                <w:sz w:val="20"/>
                <w:szCs w:val="20"/>
                <w:color w:val="auto"/>
              </w:rPr>
            </w:pPr>
            <w:r>
              <w:rPr>
                <w:rFonts w:ascii="Arial" w:cs="Arial" w:eastAsia="Arial" w:hAnsi="Arial"/>
                <w:sz w:val="14"/>
                <w:szCs w:val="14"/>
                <w:color w:val="auto"/>
              </w:rPr>
              <w:t>Acquisition, construction &amp; development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020" w:type="dxa"/>
            <w:vAlign w:val="bottom"/>
          </w:tcPr>
          <w:p>
            <w:pPr>
              <w:ind w:left="240"/>
              <w:spacing w:after="0"/>
              <w:rPr>
                <w:sz w:val="20"/>
                <w:szCs w:val="20"/>
                <w:color w:val="auto"/>
              </w:rPr>
            </w:pPr>
            <w:r>
              <w:rPr>
                <w:rFonts w:ascii="Arial" w:cs="Arial" w:eastAsia="Arial" w:hAnsi="Arial"/>
                <w:sz w:val="14"/>
                <w:szCs w:val="14"/>
                <w:color w:val="auto"/>
              </w:rPr>
              <w:t>Single family residential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911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86"/>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Consumer non-real estate and other</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4"/>
                <w:szCs w:val="14"/>
                <w:color w:val="auto"/>
              </w:rPr>
              <w:t>Other real estate owned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quantitative information about Level 3 Fair Value Measurements for assets measured at fair value on a non-recurring basis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2023, and December 31, 2022 (in thousands except for percentages):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7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Valuation Techniques</w:t>
            </w:r>
          </w:p>
        </w:tc>
        <w:tc>
          <w:tcPr>
            <w:tcW w:w="100" w:type="dxa"/>
            <w:vAlign w:val="bottom"/>
          </w:tcPr>
          <w:p>
            <w:pPr>
              <w:spacing w:after="0"/>
              <w:rPr>
                <w:sz w:val="14"/>
                <w:szCs w:val="14"/>
                <w:color w:val="auto"/>
              </w:rPr>
            </w:pPr>
          </w:p>
        </w:tc>
        <w:tc>
          <w:tcPr>
            <w:tcW w:w="238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86"/>
        </w:trPr>
        <w:tc>
          <w:tcPr>
            <w:tcW w:w="2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5"/>
        </w:trPr>
        <w:tc>
          <w:tcPr>
            <w:tcW w:w="2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March 31, 2023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Impaired loans</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3,931</w:t>
            </w:r>
          </w:p>
        </w:tc>
        <w:tc>
          <w:tcPr>
            <w:tcW w:w="100" w:type="dxa"/>
            <w:vAlign w:val="bottom"/>
            <w:tcBorders>
              <w:bottom w:val="single" w:sz="8" w:color="CCEEFF"/>
            </w:tcBorders>
            <w:shd w:val="clear" w:color="auto" w:fill="CCEEFF"/>
          </w:tcPr>
          <w:p>
            <w:pPr>
              <w:spacing w:after="0"/>
              <w:rPr>
                <w:sz w:val="15"/>
                <w:szCs w:val="15"/>
                <w:color w:val="auto"/>
              </w:rPr>
            </w:pP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Discounted cash flow analysis</w:t>
            </w:r>
          </w:p>
        </w:tc>
        <w:tc>
          <w:tcPr>
            <w:tcW w:w="100" w:type="dxa"/>
            <w:vAlign w:val="bottom"/>
            <w:tcBorders>
              <w:bottom w:val="single" w:sz="8" w:color="CCEEFF"/>
            </w:tcBorders>
            <w:shd w:val="clear" w:color="auto" w:fill="CCEEFF"/>
          </w:tcPr>
          <w:p>
            <w:pPr>
              <w:spacing w:after="0"/>
              <w:rPr>
                <w:sz w:val="15"/>
                <w:szCs w:val="15"/>
                <w:color w:val="auto"/>
              </w:rPr>
            </w:pPr>
          </w:p>
        </w:tc>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 rate for borrower</w:t>
            </w:r>
          </w:p>
        </w:tc>
        <w:tc>
          <w:tcPr>
            <w:tcW w:w="1220" w:type="dxa"/>
            <w:vAlign w:val="bottom"/>
            <w:tcBorders>
              <w:bottom w:val="single" w:sz="8" w:color="CCEEFF"/>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3.6% - 8.5%</w:t>
            </w:r>
          </w:p>
        </w:tc>
        <w:tc>
          <w:tcPr>
            <w:tcW w:w="1020" w:type="dxa"/>
            <w:vAlign w:val="bottom"/>
            <w:tcBorders>
              <w:bottom w:val="single" w:sz="8" w:color="CCEEFF"/>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5.0%</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620" w:type="dxa"/>
            <w:vAlign w:val="bottom"/>
          </w:tcPr>
          <w:p>
            <w:pPr>
              <w:ind w:left="240"/>
              <w:spacing w:after="0"/>
              <w:rPr>
                <w:sz w:val="20"/>
                <w:szCs w:val="20"/>
                <w:color w:val="auto"/>
              </w:rPr>
            </w:pPr>
            <w:r>
              <w:rPr>
                <w:rFonts w:ascii="Arial" w:cs="Arial" w:eastAsia="Arial" w:hAnsi="Arial"/>
                <w:sz w:val="14"/>
                <w:szCs w:val="14"/>
                <w:color w:val="auto"/>
              </w:rPr>
              <w:t>Impaired loans</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2,496</w:t>
            </w:r>
          </w:p>
        </w:tc>
        <w:tc>
          <w:tcPr>
            <w:tcW w:w="100" w:type="dxa"/>
            <w:vAlign w:val="bottom"/>
          </w:tcPr>
          <w:p>
            <w:pPr>
              <w:spacing w:after="0"/>
              <w:rPr>
                <w:sz w:val="15"/>
                <w:szCs w:val="15"/>
                <w:color w:val="auto"/>
              </w:rPr>
            </w:pPr>
          </w:p>
        </w:tc>
        <w:tc>
          <w:tcPr>
            <w:tcW w:w="2700" w:type="dxa"/>
            <w:vAlign w:val="bottom"/>
          </w:tcPr>
          <w:p>
            <w:pPr>
              <w:ind w:left="20"/>
              <w:spacing w:after="0"/>
              <w:rPr>
                <w:sz w:val="20"/>
                <w:szCs w:val="20"/>
                <w:color w:val="auto"/>
              </w:rPr>
            </w:pPr>
            <w:r>
              <w:rPr>
                <w:rFonts w:ascii="Arial" w:cs="Arial" w:eastAsia="Arial" w:hAnsi="Arial"/>
                <w:sz w:val="14"/>
                <w:szCs w:val="14"/>
                <w:color w:val="auto"/>
              </w:rPr>
              <w:t>Discounted cash flow analysis</w:t>
            </w:r>
          </w:p>
        </w:tc>
        <w:tc>
          <w:tcPr>
            <w:tcW w:w="100" w:type="dxa"/>
            <w:vAlign w:val="bottom"/>
          </w:tcPr>
          <w:p>
            <w:pPr>
              <w:spacing w:after="0"/>
              <w:rPr>
                <w:sz w:val="15"/>
                <w:szCs w:val="15"/>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Market rate for borrower</w:t>
            </w:r>
          </w:p>
        </w:tc>
        <w:tc>
          <w:tcPr>
            <w:tcW w:w="12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4.5% - 6.0%</w:t>
            </w:r>
          </w:p>
        </w:tc>
        <w:tc>
          <w:tcPr>
            <w:tcW w:w="10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amounts and estimated fair values of financial instruments not carried at fair value, at March 31, 2023, and December 31, 2022,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Fair Value Measurements at March 31, 2023 Using:</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Quoted Prices in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Unobservable Inputs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3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4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80" w:type="dxa"/>
            <w:vAlign w:val="bottom"/>
          </w:tcPr>
          <w:p>
            <w:pPr>
              <w:ind w:left="240"/>
              <w:spacing w:after="0"/>
              <w:rPr>
                <w:sz w:val="20"/>
                <w:szCs w:val="20"/>
                <w:color w:val="auto"/>
              </w:rPr>
            </w:pPr>
            <w:r>
              <w:rPr>
                <w:rFonts w:ascii="Arial" w:cs="Arial" w:eastAsia="Arial" w:hAnsi="Arial"/>
                <w:sz w:val="14"/>
                <w:szCs w:val="14"/>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10,616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10,616</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10,616</w:t>
            </w:r>
          </w:p>
        </w:tc>
        <w:tc>
          <w:tcPr>
            <w:tcW w:w="0" w:type="dxa"/>
            <w:vAlign w:val="bottom"/>
          </w:tcPr>
          <w:p>
            <w:pPr>
              <w:spacing w:after="0"/>
              <w:rPr>
                <w:sz w:val="1"/>
                <w:szCs w:val="1"/>
                <w:color w:val="auto"/>
              </w:rPr>
            </w:pPr>
          </w:p>
        </w:tc>
      </w:tr>
      <w:tr>
        <w:trPr>
          <w:trHeight w:val="186"/>
        </w:trPr>
        <w:tc>
          <w:tcPr>
            <w:tcW w:w="3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Interest-bearing deposits with banks</w:t>
            </w: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106,323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106,323</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106,323</w:t>
            </w:r>
          </w:p>
        </w:tc>
        <w:tc>
          <w:tcPr>
            <w:tcW w:w="0" w:type="dxa"/>
            <w:vAlign w:val="bottom"/>
          </w:tcPr>
          <w:p>
            <w:pPr>
              <w:spacing w:after="0"/>
              <w:rPr>
                <w:sz w:val="1"/>
                <w:szCs w:val="1"/>
                <w:color w:val="auto"/>
              </w:rPr>
            </w:pPr>
          </w:p>
        </w:tc>
      </w:tr>
      <w:tr>
        <w:trPr>
          <w:trHeight w:val="182"/>
        </w:trPr>
        <w:tc>
          <w:tcPr>
            <w:tcW w:w="3480" w:type="dxa"/>
            <w:vAlign w:val="bottom"/>
          </w:tcPr>
          <w:p>
            <w:pPr>
              <w:ind w:left="240"/>
              <w:spacing w:after="0"/>
              <w:rPr>
                <w:sz w:val="20"/>
                <w:szCs w:val="20"/>
                <w:color w:val="auto"/>
              </w:rPr>
            </w:pPr>
            <w:r>
              <w:rPr>
                <w:rFonts w:ascii="Arial" w:cs="Arial" w:eastAsia="Arial" w:hAnsi="Arial"/>
                <w:sz w:val="14"/>
                <w:szCs w:val="14"/>
                <w:color w:val="auto"/>
              </w:rPr>
              <w:t>Loans, net</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1,926,034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1,813,068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1,813,068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interest</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15,158</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80" w:type="dxa"/>
            <w:vAlign w:val="bottom"/>
          </w:tcPr>
          <w:p>
            <w:pPr>
              <w:ind w:left="240"/>
              <w:spacing w:after="0"/>
              <w:rPr>
                <w:sz w:val="20"/>
                <w:szCs w:val="20"/>
                <w:color w:val="auto"/>
              </w:rPr>
            </w:pPr>
            <w:r>
              <w:rPr>
                <w:rFonts w:ascii="Arial" w:cs="Arial" w:eastAsia="Arial" w:hAnsi="Arial"/>
                <w:sz w:val="14"/>
                <w:szCs w:val="14"/>
                <w:color w:val="auto"/>
              </w:rPr>
              <w:t>Non-interest, bearing</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906,723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906,723</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906,723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bearing</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2,125,668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2,118,085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2,118,085</w:t>
            </w:r>
          </w:p>
        </w:tc>
        <w:tc>
          <w:tcPr>
            <w:tcW w:w="0" w:type="dxa"/>
            <w:vAlign w:val="bottom"/>
          </w:tcPr>
          <w:p>
            <w:pPr>
              <w:spacing w:after="0"/>
              <w:rPr>
                <w:sz w:val="1"/>
                <w:szCs w:val="1"/>
                <w:color w:val="auto"/>
              </w:rPr>
            </w:pPr>
          </w:p>
        </w:tc>
      </w:tr>
      <w:tr>
        <w:trPr>
          <w:trHeight w:val="182"/>
        </w:trPr>
        <w:tc>
          <w:tcPr>
            <w:tcW w:w="3480" w:type="dxa"/>
            <w:vAlign w:val="bottom"/>
          </w:tcPr>
          <w:p>
            <w:pPr>
              <w:ind w:left="240"/>
              <w:spacing w:after="0"/>
              <w:rPr>
                <w:sz w:val="20"/>
                <w:szCs w:val="20"/>
                <w:color w:val="auto"/>
              </w:rPr>
            </w:pPr>
            <w:r>
              <w:rPr>
                <w:rFonts w:ascii="Arial" w:cs="Arial" w:eastAsia="Arial" w:hAnsi="Arial"/>
                <w:sz w:val="14"/>
                <w:szCs w:val="14"/>
                <w:color w:val="auto"/>
              </w:rPr>
              <w:t>Other borrowed funds</w:t>
            </w:r>
          </w:p>
        </w:tc>
        <w:tc>
          <w:tcPr>
            <w:tcW w:w="1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321,700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321,667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321,667</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Accrued interest</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2,763</w:t>
            </w:r>
          </w:p>
        </w:tc>
        <w:tc>
          <w:tcPr>
            <w:tcW w:w="0" w:type="dxa"/>
            <w:vAlign w:val="bottom"/>
          </w:tcPr>
          <w:p>
            <w:pPr>
              <w:spacing w:after="0"/>
              <w:rPr>
                <w:sz w:val="1"/>
                <w:szCs w:val="1"/>
                <w:color w:val="auto"/>
              </w:rPr>
            </w:pPr>
          </w:p>
        </w:tc>
      </w:tr>
      <w:tr>
        <w:trPr>
          <w:trHeight w:val="447"/>
        </w:trPr>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40" w:type="dxa"/>
            <w:vAlign w:val="bottom"/>
            <w:gridSpan w:val="9"/>
          </w:tcPr>
          <w:p>
            <w:pPr>
              <w:jc w:val="center"/>
              <w:ind w:right="208"/>
              <w:spacing w:after="0"/>
              <w:rPr>
                <w:sz w:val="20"/>
                <w:szCs w:val="20"/>
                <w:color w:val="auto"/>
              </w:rPr>
            </w:pPr>
            <w:r>
              <w:rPr>
                <w:rFonts w:ascii="Arial" w:cs="Arial" w:eastAsia="Arial" w:hAnsi="Arial"/>
                <w:sz w:val="14"/>
                <w:szCs w:val="14"/>
                <w:b w:val="1"/>
                <w:bCs w:val="1"/>
                <w:color w:val="auto"/>
                <w:w w:val="92"/>
              </w:rPr>
              <w:t>Fair Value Measurements at December 31, 2022 Using:</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3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Quoted Prices in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Active Markets 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Unobservable Inputs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4"/>
              </w:rPr>
              <w:t>(Level 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Assets</w:t>
            </w:r>
          </w:p>
        </w:tc>
        <w:tc>
          <w:tcPr>
            <w:tcW w:w="1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80" w:type="dxa"/>
            <w:vAlign w:val="bottom"/>
          </w:tcPr>
          <w:p>
            <w:pPr>
              <w:ind w:left="240"/>
              <w:spacing w:after="0"/>
              <w:rPr>
                <w:sz w:val="20"/>
                <w:szCs w:val="20"/>
                <w:color w:val="auto"/>
              </w:rPr>
            </w:pPr>
            <w:r>
              <w:rPr>
                <w:rFonts w:ascii="Arial" w:cs="Arial" w:eastAsia="Arial" w:hAnsi="Arial"/>
                <w:sz w:val="14"/>
                <w:szCs w:val="14"/>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9,124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9,124</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9,124</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Interest-bearing deposits with banks</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41,171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41,171</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41,171</w:t>
            </w:r>
          </w:p>
        </w:tc>
        <w:tc>
          <w:tcPr>
            <w:tcW w:w="0" w:type="dxa"/>
            <w:vAlign w:val="bottom"/>
          </w:tcPr>
          <w:p>
            <w:pPr>
              <w:spacing w:after="0"/>
              <w:rPr>
                <w:sz w:val="1"/>
                <w:szCs w:val="1"/>
                <w:color w:val="auto"/>
              </w:rPr>
            </w:pPr>
          </w:p>
        </w:tc>
      </w:tr>
      <w:tr>
        <w:trPr>
          <w:trHeight w:val="186"/>
        </w:trPr>
        <w:tc>
          <w:tcPr>
            <w:tcW w:w="3480" w:type="dxa"/>
            <w:vAlign w:val="bottom"/>
          </w:tcPr>
          <w:p>
            <w:pPr>
              <w:ind w:left="240"/>
              <w:spacing w:after="0"/>
              <w:rPr>
                <w:sz w:val="20"/>
                <w:szCs w:val="20"/>
                <w:color w:val="auto"/>
              </w:rPr>
            </w:pPr>
            <w:r>
              <w:rPr>
                <w:rFonts w:ascii="Arial" w:cs="Arial" w:eastAsia="Arial" w:hAnsi="Arial"/>
                <w:sz w:val="14"/>
                <w:szCs w:val="14"/>
                <w:color w:val="auto"/>
              </w:rPr>
              <w:t>Loans, net</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1,866,182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1,768,903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1,768,903</w:t>
            </w:r>
          </w:p>
        </w:tc>
        <w:tc>
          <w:tcPr>
            <w:tcW w:w="0" w:type="dxa"/>
            <w:vAlign w:val="bottom"/>
          </w:tcPr>
          <w:p>
            <w:pPr>
              <w:spacing w:after="0"/>
              <w:rPr>
                <w:sz w:val="1"/>
                <w:szCs w:val="1"/>
                <w:color w:val="auto"/>
              </w:rPr>
            </w:pPr>
          </w:p>
        </w:tc>
      </w:tr>
      <w:tr>
        <w:trPr>
          <w:trHeight w:val="186"/>
        </w:trPr>
        <w:tc>
          <w:tcPr>
            <w:tcW w:w="3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Accrued interest</w:t>
            </w: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15,481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15,481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15,481</w:t>
            </w:r>
          </w:p>
        </w:tc>
        <w:tc>
          <w:tcPr>
            <w:tcW w:w="0" w:type="dxa"/>
            <w:vAlign w:val="bottom"/>
          </w:tcPr>
          <w:p>
            <w:pPr>
              <w:spacing w:after="0"/>
              <w:rPr>
                <w:sz w:val="1"/>
                <w:szCs w:val="1"/>
                <w:color w:val="auto"/>
              </w:rPr>
            </w:pPr>
          </w:p>
        </w:tc>
      </w:tr>
      <w:tr>
        <w:trPr>
          <w:trHeight w:val="270"/>
        </w:trPr>
        <w:tc>
          <w:tcPr>
            <w:tcW w:w="3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liabilities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480" w:type="dxa"/>
            <w:vAlign w:val="bottom"/>
          </w:tcPr>
          <w:p>
            <w:pPr>
              <w:ind w:left="240"/>
              <w:spacing w:after="0"/>
              <w:rPr>
                <w:sz w:val="20"/>
                <w:szCs w:val="20"/>
                <w:color w:val="auto"/>
              </w:rPr>
            </w:pPr>
            <w:r>
              <w:rPr>
                <w:rFonts w:ascii="Arial" w:cs="Arial" w:eastAsia="Arial" w:hAnsi="Arial"/>
                <w:sz w:val="14"/>
                <w:szCs w:val="14"/>
                <w:color w:val="auto"/>
              </w:rPr>
              <w:t>Non-interest, bearing</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960,692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960,692</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960,692</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 bearing</w:t>
            </w:r>
          </w:p>
        </w:tc>
        <w:tc>
          <w:tcPr>
            <w:tcW w:w="1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1,959,708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1,951,227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1,951,227</w:t>
            </w:r>
          </w:p>
        </w:tc>
        <w:tc>
          <w:tcPr>
            <w:tcW w:w="0" w:type="dxa"/>
            <w:vAlign w:val="bottom"/>
          </w:tcPr>
          <w:p>
            <w:pPr>
              <w:spacing w:after="0"/>
              <w:rPr>
                <w:sz w:val="1"/>
                <w:szCs w:val="1"/>
                <w:color w:val="auto"/>
              </w:rPr>
            </w:pPr>
          </w:p>
        </w:tc>
      </w:tr>
      <w:tr>
        <w:trPr>
          <w:trHeight w:val="186"/>
        </w:trPr>
        <w:tc>
          <w:tcPr>
            <w:tcW w:w="3480" w:type="dxa"/>
            <w:vAlign w:val="bottom"/>
          </w:tcPr>
          <w:p>
            <w:pPr>
              <w:ind w:left="240"/>
              <w:spacing w:after="0"/>
              <w:rPr>
                <w:sz w:val="20"/>
                <w:szCs w:val="20"/>
                <w:color w:val="auto"/>
              </w:rPr>
            </w:pPr>
            <w:r>
              <w:rPr>
                <w:rFonts w:ascii="Arial" w:cs="Arial" w:eastAsia="Arial" w:hAnsi="Arial"/>
                <w:sz w:val="14"/>
                <w:szCs w:val="14"/>
                <w:color w:val="auto"/>
              </w:rPr>
              <w:t>Other borrowed funds</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343,100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342,904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342,904</w:t>
            </w:r>
          </w:p>
        </w:tc>
        <w:tc>
          <w:tcPr>
            <w:tcW w:w="0" w:type="dxa"/>
            <w:vAlign w:val="bottom"/>
          </w:tcPr>
          <w:p>
            <w:pPr>
              <w:spacing w:after="0"/>
              <w:rPr>
                <w:sz w:val="1"/>
                <w:szCs w:val="1"/>
                <w:color w:val="auto"/>
              </w:rPr>
            </w:pPr>
          </w:p>
        </w:tc>
      </w:tr>
      <w:tr>
        <w:trPr>
          <w:trHeight w:val="186"/>
        </w:trPr>
        <w:tc>
          <w:tcPr>
            <w:tcW w:w="3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interest</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changes in accumulated other comprehensive income (loss) by component, net of tax, for the periods ending March 31, 2023, and March 31, 2022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ind w:left="900"/>
              <w:spacing w:after="0"/>
              <w:rPr>
                <w:sz w:val="20"/>
                <w:szCs w:val="20"/>
                <w:color w:val="auto"/>
              </w:rPr>
            </w:pPr>
            <w:r>
              <w:rPr>
                <w:rFonts w:ascii="Arial" w:cs="Arial" w:eastAsia="Arial" w:hAnsi="Arial"/>
                <w:sz w:val="16"/>
                <w:szCs w:val="16"/>
                <w:b w:val="1"/>
                <w:bCs w:val="1"/>
                <w:color w:val="auto"/>
              </w:rPr>
              <w:t>March 31, 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w w:val="92"/>
              </w:rPr>
              <w:t>Unrealized Gains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6"/>
              </w:rPr>
              <w:t>Gains and Losses 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7"/>
              </w:rPr>
              <w:t>and Losses 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1"/>
              </w:rPr>
              <w:t>Defined Benefit</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Available-for-Sale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Cash Flow Hedges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Securities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Pension Items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Income</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4"/>
              </w:rPr>
              <w:t>(7,031)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(139,495)</w:t>
            </w: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6"/>
                <w:szCs w:val="16"/>
                <w:color w:val="auto"/>
              </w:rPr>
              <w:t>Net unrealized gains (losses)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17,265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net realized (gains) losses reclassified to earnings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16"/>
        </w:trPr>
        <w:tc>
          <w:tcPr>
            <w:tcW w:w="5020" w:type="dxa"/>
            <w:vAlign w:val="bottom"/>
          </w:tcPr>
          <w:p>
            <w:pPr>
              <w:ind w:left="240"/>
              <w:spacing w:after="0"/>
              <w:rPr>
                <w:sz w:val="20"/>
                <w:szCs w:val="20"/>
                <w:color w:val="auto"/>
              </w:rPr>
            </w:pPr>
            <w:r>
              <w:rPr>
                <w:rFonts w:ascii="Arial" w:cs="Arial" w:eastAsia="Arial" w:hAnsi="Arial"/>
                <w:sz w:val="16"/>
                <w:szCs w:val="16"/>
                <w:color w:val="auto"/>
              </w:rPr>
              <w:t>Net change in pension plan benefits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(115,523)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4"/>
              </w:rPr>
              <w:t>(7,031)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(123,809)</w:t>
            </w:r>
          </w:p>
        </w:tc>
        <w:tc>
          <w:tcPr>
            <w:tcW w:w="0" w:type="dxa"/>
            <w:vAlign w:val="bottom"/>
          </w:tcPr>
          <w:p>
            <w:pPr>
              <w:spacing w:after="0"/>
              <w:rPr>
                <w:sz w:val="1"/>
                <w:szCs w:val="1"/>
                <w:color w:val="auto"/>
              </w:rPr>
            </w:pPr>
          </w:p>
        </w:tc>
      </w:tr>
      <w:tr>
        <w:trPr>
          <w:trHeight w:val="476"/>
        </w:trPr>
        <w:tc>
          <w:tcPr>
            <w:tcW w:w="50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900"/>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center"/>
              <w:ind w:right="39"/>
              <w:spacing w:after="0" w:line="158" w:lineRule="exact"/>
              <w:rPr>
                <w:sz w:val="20"/>
                <w:szCs w:val="20"/>
                <w:color w:val="auto"/>
              </w:rPr>
            </w:pPr>
            <w:r>
              <w:rPr>
                <w:rFonts w:ascii="Arial" w:cs="Arial" w:eastAsia="Arial" w:hAnsi="Arial"/>
                <w:sz w:val="16"/>
                <w:szCs w:val="16"/>
                <w:b w:val="1"/>
                <w:bCs w:val="1"/>
                <w:color w:val="auto"/>
                <w:w w:val="92"/>
              </w:rPr>
              <w:t>Unrealized Gains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6"/>
              </w:rPr>
              <w:t>Gains and Losses 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87"/>
              </w:rPr>
              <w:t>and Losses 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1"/>
              </w:rPr>
              <w:t>Defined Benefit</w:t>
            </w: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Available-for-Sale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Cash Flow Hedges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6"/>
              </w:rPr>
              <w:t>Securities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Pension Items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Income</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4"/>
              </w:rPr>
              <w:t>(6,020)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6,955</w:t>
            </w: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Arial" w:cs="Arial" w:eastAsia="Arial" w:hAnsi="Arial"/>
                <w:sz w:val="16"/>
                <w:szCs w:val="16"/>
                <w:color w:val="auto"/>
              </w:rPr>
              <w:t>Net unrealized gains (losses)</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(63,808)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ind w:left="10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(64,311)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net realized (gains) losses reclassified to earnings</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change in pension plan benefits</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w w:val="94"/>
              </w:rPr>
              <w:t>(6,020)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amounts reclassified out of each component of accumulated other comprehensive income (loss) for the periods ending March 31, 2023, and December 31, 2022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1"/>
              </w:rPr>
              <w:t>Amount Reclassified From Accumulated</w:t>
            </w:r>
          </w:p>
        </w:tc>
        <w:tc>
          <w:tcPr>
            <w:tcW w:w="10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216"/>
        </w:trPr>
        <w:tc>
          <w:tcPr>
            <w:tcW w:w="5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Other Comprehensive Income</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ind w:left="300"/>
              <w:spacing w:after="0"/>
              <w:rPr>
                <w:sz w:val="20"/>
                <w:szCs w:val="20"/>
                <w:color w:val="auto"/>
              </w:rPr>
            </w:pPr>
            <w:r>
              <w:rPr>
                <w:rFonts w:ascii="Arial" w:cs="Arial" w:eastAsia="Arial" w:hAnsi="Arial"/>
                <w:sz w:val="16"/>
                <w:szCs w:val="16"/>
                <w:b w:val="1"/>
                <w:bCs w:val="1"/>
                <w:color w:val="auto"/>
              </w:rPr>
              <w:t>Affected Line Item in the</w:t>
            </w:r>
          </w:p>
        </w:tc>
      </w:tr>
      <w:tr>
        <w:trPr>
          <w:trHeight w:val="207"/>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Details about Accumulated Other Comprehensive Income Components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2023</w:t>
            </w:r>
          </w:p>
        </w:tc>
        <w:tc>
          <w:tcPr>
            <w:tcW w:w="8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Pr>
          <w:p>
            <w:pPr>
              <w:spacing w:after="0"/>
              <w:rPr>
                <w:sz w:val="17"/>
                <w:szCs w:val="17"/>
                <w:color w:val="auto"/>
              </w:rPr>
            </w:pPr>
          </w:p>
        </w:tc>
        <w:tc>
          <w:tcPr>
            <w:tcW w:w="23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Statements of Income</w:t>
            </w:r>
          </w:p>
        </w:tc>
      </w:tr>
      <w:tr>
        <w:trPr>
          <w:trHeight w:val="212"/>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r>
      <w:tr>
        <w:trPr>
          <w:trHeight w:val="213"/>
        </w:trPr>
        <w:tc>
          <w:tcPr>
            <w:tcW w:w="5740" w:type="dxa"/>
            <w:vAlign w:val="bottom"/>
            <w:gridSpan w:val="2"/>
          </w:tcPr>
          <w:p>
            <w:pPr>
              <w:ind w:left="240"/>
              <w:spacing w:after="0"/>
              <w:rPr>
                <w:sz w:val="20"/>
                <w:szCs w:val="20"/>
                <w:color w:val="auto"/>
              </w:rPr>
            </w:pPr>
            <w:r>
              <w:rPr>
                <w:rFonts w:ascii="Arial" w:cs="Arial" w:eastAsia="Arial" w:hAnsi="Arial"/>
                <w:sz w:val="16"/>
                <w:szCs w:val="16"/>
                <w:color w:val="auto"/>
              </w:rPr>
              <w:t>Interest rate contracts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(363)</w:t>
            </w:r>
          </w:p>
        </w:tc>
        <w:tc>
          <w:tcPr>
            <w:tcW w:w="116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Arial" w:cs="Arial" w:eastAsia="Arial" w:hAnsi="Arial"/>
                <w:sz w:val="16"/>
                <w:szCs w:val="16"/>
                <w:color w:val="auto"/>
              </w:rPr>
              <w:t>Interest income</w:t>
            </w:r>
          </w:p>
        </w:tc>
      </w:tr>
      <w:tr>
        <w:trPr>
          <w:trHeight w:val="219"/>
        </w:trPr>
        <w:tc>
          <w:tcPr>
            <w:tcW w:w="57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Tax effect</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r>
      <w:tr>
        <w:trPr>
          <w:trHeight w:val="209"/>
        </w:trPr>
        <w:tc>
          <w:tcPr>
            <w:tcW w:w="5740" w:type="dxa"/>
            <w:vAlign w:val="bottom"/>
            <w:gridSpan w:val="2"/>
          </w:tcPr>
          <w:p>
            <w:pPr>
              <w:ind w:left="240"/>
              <w:spacing w:after="0"/>
              <w:rPr>
                <w:sz w:val="20"/>
                <w:szCs w:val="20"/>
                <w:color w:val="auto"/>
              </w:rPr>
            </w:pPr>
            <w:r>
              <w:rPr>
                <w:rFonts w:ascii="Arial" w:cs="Arial" w:eastAsia="Arial" w:hAnsi="Arial"/>
                <w:sz w:val="16"/>
                <w:szCs w:val="16"/>
                <w:color w:val="auto"/>
              </w:rPr>
              <w:t>Net of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64"/>
        </w:trPr>
        <w:tc>
          <w:tcPr>
            <w:tcW w:w="5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r>
      <w:tr>
        <w:trPr>
          <w:trHeight w:val="213"/>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Available-for-sale securities: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9"/>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Realized gains (losses) on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gains/(losses) on securities</w:t>
            </w:r>
          </w:p>
        </w:tc>
      </w:tr>
      <w:tr>
        <w:trPr>
          <w:trHeight w:val="213"/>
        </w:trPr>
        <w:tc>
          <w:tcPr>
            <w:tcW w:w="5740" w:type="dxa"/>
            <w:vAlign w:val="bottom"/>
            <w:gridSpan w:val="2"/>
          </w:tcPr>
          <w:p>
            <w:pPr>
              <w:ind w:left="240"/>
              <w:spacing w:after="0"/>
              <w:rPr>
                <w:sz w:val="20"/>
                <w:szCs w:val="20"/>
                <w:color w:val="auto"/>
              </w:rPr>
            </w:pPr>
            <w:r>
              <w:rPr>
                <w:rFonts w:ascii="Arial" w:cs="Arial" w:eastAsia="Arial" w:hAnsi="Arial"/>
                <w:sz w:val="16"/>
                <w:szCs w:val="16"/>
                <w:color w:val="auto"/>
              </w:rPr>
              <w:t>Realized gains (losses) on basis adjustment for fair value hedges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2,362</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340" w:type="dxa"/>
            <w:vAlign w:val="bottom"/>
          </w:tcPr>
          <w:p>
            <w:pPr>
              <w:ind w:left="20"/>
              <w:spacing w:after="0"/>
              <w:rPr>
                <w:sz w:val="20"/>
                <w:szCs w:val="20"/>
                <w:color w:val="auto"/>
              </w:rPr>
            </w:pPr>
            <w:r>
              <w:rPr>
                <w:rFonts w:ascii="Arial" w:cs="Arial" w:eastAsia="Arial" w:hAnsi="Arial"/>
                <w:sz w:val="16"/>
                <w:szCs w:val="16"/>
                <w:color w:val="auto"/>
              </w:rPr>
              <w:t>Interest income</w:t>
            </w:r>
          </w:p>
        </w:tc>
      </w:tr>
      <w:tr>
        <w:trPr>
          <w:trHeight w:val="219"/>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Tax effect</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r>
      <w:tr>
        <w:trPr>
          <w:trHeight w:val="207"/>
        </w:trPr>
        <w:tc>
          <w:tcPr>
            <w:tcW w:w="5740" w:type="dxa"/>
            <w:vAlign w:val="bottom"/>
            <w:gridSpan w:val="2"/>
          </w:tcPr>
          <w:p>
            <w:pPr>
              <w:ind w:left="240"/>
              <w:spacing w:after="0"/>
              <w:rPr>
                <w:sz w:val="20"/>
                <w:szCs w:val="20"/>
                <w:color w:val="auto"/>
              </w:rPr>
            </w:pPr>
            <w:r>
              <w:rPr>
                <w:rFonts w:ascii="Arial" w:cs="Arial" w:eastAsia="Arial" w:hAnsi="Arial"/>
                <w:sz w:val="16"/>
                <w:szCs w:val="16"/>
                <w:color w:val="auto"/>
              </w:rPr>
              <w:t>Net of Tax</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1,866</w:t>
            </w:r>
          </w:p>
        </w:tc>
        <w:tc>
          <w:tcPr>
            <w:tcW w:w="116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53"/>
        </w:trPr>
        <w:tc>
          <w:tcPr>
            <w:tcW w:w="56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340" w:type="dxa"/>
            <w:vAlign w:val="bottom"/>
            <w:tcBorders>
              <w:top w:val="single" w:sz="8" w:color="CCEEFF"/>
            </w:tcBorders>
            <w:shd w:val="clear" w:color="auto" w:fill="CCEEFF"/>
          </w:tcPr>
          <w:p>
            <w:pPr>
              <w:spacing w:after="0"/>
              <w:rPr>
                <w:sz w:val="22"/>
                <w:szCs w:val="22"/>
                <w:color w:val="auto"/>
              </w:rPr>
            </w:pPr>
          </w:p>
        </w:tc>
      </w:tr>
      <w:tr>
        <w:trPr>
          <w:trHeight w:val="206"/>
        </w:trPr>
        <w:tc>
          <w:tcPr>
            <w:tcW w:w="5740" w:type="dxa"/>
            <w:vAlign w:val="bottom"/>
            <w:gridSpan w:val="2"/>
          </w:tcPr>
          <w:p>
            <w:pPr>
              <w:ind w:left="240"/>
              <w:spacing w:after="0"/>
              <w:rPr>
                <w:sz w:val="20"/>
                <w:szCs w:val="20"/>
                <w:color w:val="auto"/>
              </w:rPr>
            </w:pPr>
            <w:r>
              <w:rPr>
                <w:rFonts w:ascii="Arial" w:cs="Arial" w:eastAsia="Arial" w:hAnsi="Arial"/>
                <w:sz w:val="16"/>
                <w:szCs w:val="16"/>
                <w:color w:val="auto"/>
              </w:rPr>
              <w:t>Total reclassifications, net of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7"/>
                <w:szCs w:val="17"/>
                <w:color w:val="auto"/>
              </w:rPr>
            </w:pPr>
          </w:p>
        </w:tc>
        <w:tc>
          <w:tcPr>
            <w:tcW w:w="2340" w:type="dxa"/>
            <w:vAlign w:val="bottom"/>
          </w:tcPr>
          <w:p>
            <w:pPr>
              <w:ind w:left="20"/>
              <w:spacing w:after="0"/>
              <w:rPr>
                <w:sz w:val="20"/>
                <w:szCs w:val="20"/>
                <w:color w:val="auto"/>
              </w:rPr>
            </w:pPr>
            <w:r>
              <w:rPr>
                <w:rFonts w:ascii="Arial" w:cs="Arial" w:eastAsia="Arial" w:hAnsi="Arial"/>
                <w:sz w:val="16"/>
                <w:szCs w:val="16"/>
                <w:color w:val="auto"/>
              </w:rPr>
              <w:t>Net income</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Operating Expense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from the Consolidated Statements of Income for the three months ended March 31, 2023, and March 31, 2022, is as follows (in thousands):</w:t>
      </w:r>
    </w:p>
    <w:p>
      <w:pPr>
        <w:spacing w:after="0" w:line="148"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6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2022</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FDIC assessment</w:t>
            </w:r>
          </w:p>
        </w:tc>
        <w:tc>
          <w:tcPr>
            <w:tcW w:w="1360" w:type="dxa"/>
            <w:vAlign w:val="bottom"/>
            <w:shd w:val="clear" w:color="auto" w:fill="CCEEFF"/>
          </w:tcPr>
          <w:p>
            <w:pPr>
              <w:jc w:val="right"/>
              <w:ind w:right="117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Historic tax credit amortization</w:t>
            </w:r>
          </w:p>
        </w:tc>
        <w:tc>
          <w:tcPr>
            <w:tcW w:w="1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3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 related</w:t>
            </w:r>
          </w:p>
        </w:tc>
        <w:tc>
          <w:tcPr>
            <w:tcW w:w="13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Consultant fees</w:t>
            </w:r>
          </w:p>
        </w:tc>
        <w:tc>
          <w:tcPr>
            <w:tcW w:w="1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Network expense</w:t>
            </w:r>
          </w:p>
        </w:tc>
        <w:tc>
          <w:tcPr>
            <w:tcW w:w="13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Directors' fees</w:t>
            </w:r>
          </w:p>
        </w:tc>
        <w:tc>
          <w:tcPr>
            <w:tcW w:w="1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expense</w:t>
            </w: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7060" w:type="dxa"/>
            <w:vAlign w:val="bottom"/>
          </w:tcPr>
          <w:p>
            <w:pPr>
              <w:ind w:left="20"/>
              <w:spacing w:after="0"/>
              <w:rPr>
                <w:sz w:val="20"/>
                <w:szCs w:val="20"/>
                <w:color w:val="auto"/>
              </w:rPr>
            </w:pPr>
            <w:r>
              <w:rPr>
                <w:rFonts w:ascii="Arial" w:cs="Arial" w:eastAsia="Arial" w:hAnsi="Arial"/>
                <w:sz w:val="18"/>
                <w:szCs w:val="18"/>
                <w:color w:val="auto"/>
              </w:rPr>
              <w:t>Legal expense</w:t>
            </w:r>
          </w:p>
        </w:tc>
        <w:tc>
          <w:tcPr>
            <w:tcW w:w="1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Virginia franchise tax</w:t>
            </w:r>
          </w:p>
        </w:tc>
        <w:tc>
          <w:tcPr>
            <w:tcW w:w="13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Marketing expense</w:t>
            </w:r>
          </w:p>
        </w:tc>
        <w:tc>
          <w:tcPr>
            <w:tcW w:w="1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ind w:right="117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share-based incentive plan described below that allows it to offer a variety of equity compensation awards subject to approval. Total compensation cost that has been charged against income for the share-based awards granted was $580.6 thousand and $506.2 thousand for the three months ended March 31, 2023, and March 31, 2022, respectively. The total income tax benefit was $121.9 thousand and $106.3 thousand for the three months ended March 31, 2023, and March 31, 2022,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Stock Incentive Plan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2019, the Company’s Stock Incentive Plan (“2019 SIP”) was approved by the Bank’s Board of Directors. The 2019 SIP provides for the issuance of share-based awards to directors and employees of the Company. The 2019 SIP authorized 240,000 units to be issued, and the Company has a practice of using shares held as treasury stock to satisfy these share-based awards. Each unit represents a contingent right to receive one common share or an equivalent amount of cash, or a combination of the two, at the discretion of the Company. Currently, we have a sufficient number of treasury shares to satisfy outstanding equity awards.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2019 SIP, the Company has issued restricted stock unit (“RSU”) awards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 A total of 24,705 and 12,160 shares were issued during the three months ended March 31, 2023, and March 31, 2022, respectively.</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time-based RSUs, the fair value was determined by using the closing stock price on the date prior to the grant date. These RSUs vest over three to five years.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Board, from time-to-time, approves performance-based RSU awards that may be earned between a three to five year performance period. Whether units are earned at the end of the performance period will be determined based on the achievement of a market capitalization target over the performance period. If the condition is not achieved, the grant recipient will receive 50% of the units upon fulfilling the required service time. If the performance condition is achieved, the grant recipient will receive 100% of the units granted. The market capitalization target will be determined by the Board.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for performance-based RSU awards was determined by using a Monte Carlo simulation analysis to estimate the achievement of the market capitalization target determined by the Board. The Monte Carlo simulation analysis required the following inputs: (1) expected term, (2) expected volatility, (3) risk-free rate, and (4) dividend yield. The expected term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was based on the stated performance period. Management used the expected volatility from a peer group. The risk-free interest rate is based on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yield curve over the performance period. The dividend yield assumption was based on historical and anticipated dividend payouts.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RSU awards: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Nonvested Shares</w:t>
            </w:r>
          </w:p>
        </w:tc>
        <w:tc>
          <w:tcPr>
            <w:tcW w:w="100" w:type="dxa"/>
            <w:vAlign w:val="bottom"/>
          </w:tcPr>
          <w:p>
            <w:pPr>
              <w:spacing w:after="0"/>
              <w:rPr>
                <w:sz w:val="14"/>
                <w:szCs w:val="14"/>
                <w:color w:val="auto"/>
              </w:rPr>
            </w:pPr>
          </w:p>
        </w:tc>
        <w:tc>
          <w:tcPr>
            <w:tcW w:w="148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93"/>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8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Grant-Date Fair Value</w:t>
            </w:r>
          </w:p>
        </w:tc>
        <w:tc>
          <w:tcPr>
            <w:tcW w:w="0" w:type="dxa"/>
            <w:vAlign w:val="bottom"/>
          </w:tcPr>
          <w:p>
            <w:pPr>
              <w:spacing w:after="0"/>
              <w:rPr>
                <w:sz w:val="1"/>
                <w:szCs w:val="1"/>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24,705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24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March 31, 2023</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there was $4.7 million of total unrecognized compensation costs related to nonvested shares granted under the 2019 SIP. The cost is expected to be recognized over a weighted average period of 2.08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2023 Stock Incentive Plan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2023, a new stock incentive plan (“2023 SIP”) was approved by the Board of directors and shareholders. Upon the plan’s shareholder approval date of March 30, 2023, no further share-based awards will be issued under the 2019 SIP. The plan provides for the issuance of share-based awards to directors and employees of the Company. The 2023 SIP authorized the issuance of 250,000 shares, subject to an annual increase in available shares. As of March 31, 2023, no share-based awards have been issued under the 2023 SIP.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Diluted earnings per share reflects the potential impact of contingently issuable shares.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shows the weighted average number of shares used in computing earnings per share and the effect of weighted average number of shares dilutive potential Common Stock. Dilutive potential Common Stock has no effect on income available to common shareholders.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r>
      <w:tr>
        <w:trPr>
          <w:trHeight w:val="189"/>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5"/>
        </w:trPr>
        <w:tc>
          <w:tcPr>
            <w:tcW w:w="8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(in thousands)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w:t>
            </w:r>
          </w:p>
        </w:tc>
      </w:tr>
      <w:tr>
        <w:trPr>
          <w:trHeight w:val="256"/>
        </w:trPr>
        <w:tc>
          <w:tcPr>
            <w:tcW w:w="8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7,424,059</w:t>
            </w:r>
          </w:p>
        </w:tc>
      </w:tr>
      <w:tr>
        <w:trPr>
          <w:trHeight w:val="24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effect of dilutive shares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77,835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27,799</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dilutive shares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7,504,473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7,451,858</w:t>
            </w:r>
          </w:p>
        </w:tc>
      </w:tr>
      <w:tr>
        <w:trPr>
          <w:trHeight w:val="237"/>
        </w:trPr>
        <w:tc>
          <w:tcPr>
            <w:tcW w:w="8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EPS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awards equivalent to zero and zero shares of Common Stock were not considered in computing diluted earnings per common share for March 31, 2023, and March 31, 2022, respectively, because they were antidilutive.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following discussion and analysis of our consolidated financial condition and results of operations of the Company should be read in conjunction with the preceding consolidated financial statements and notes presented in </w:t>
      </w:r>
      <w:r>
        <w:rPr>
          <w:rFonts w:ascii="Arial" w:cs="Arial" w:eastAsia="Arial" w:hAnsi="Arial"/>
          <w:sz w:val="17"/>
          <w:szCs w:val="17"/>
          <w:u w:val="single" w:color="auto"/>
          <w:color w:val="0000FF"/>
        </w:rPr>
        <w:t>Item 1. Financial Statements</w:t>
      </w:r>
      <w:r>
        <w:rPr>
          <w:rFonts w:ascii="Arial" w:cs="Arial" w:eastAsia="Arial" w:hAnsi="Arial"/>
          <w:sz w:val="17"/>
          <w:szCs w:val="17"/>
          <w:color w:val="auto"/>
        </w:rPr>
        <w:t xml:space="preserve"> of this Form 10-Q, as well as with the audited consolidated financial statements and notes for the year ended December 31, 2022, included in our Registration Statement on Form 10 filed with the SEC on February 28, 2023, as amended on April 4, 2023, April 20, 2023, and April 21, 2023, and as declared as effective by the SEC on April 21, 2023. Historical results of operations and the percentage relationships among any amounts included and any trends that may appear may not indicate trends in operations or results of operations for any future periods. We are a bank holding company, and we conduct all of our material business operations through the Bank. As a result, the discussion and analysis below primarily relate to activities conducted at the Bank.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Form 10-Q contains statements that we believe are, or may be considered to be, “forward-looking statements”. 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Form 10-Q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Furthermore, forward-looking statements may be included in various filings that we make with the SEC or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By their very nature, forward-looking statements involve inherent risks and uncertainties, both general and specific, and risks exist that predictions, forecasts, projections, and other forward-looking statements will not be achieved. We caution readers not to place undue reliance on these statements as a number of important factors could cause the actual results to differ materially from the beliefs, plans, objectives, expectations, anticipations, estimates, and intentions expressed in such forward-looking statements. Important risks, uncertainties, and other factors which may cause the actual results, performance, or achievements of the Company, as applicable, to be materially different from any expected future results, performance, or achievements expressed or implied by such forward-looking information and statements include, but are not limited to, the risks described in </w:t>
      </w:r>
      <w:r>
        <w:rPr>
          <w:rFonts w:ascii="Arial" w:cs="Arial" w:eastAsia="Arial" w:hAnsi="Arial"/>
          <w:sz w:val="18"/>
          <w:szCs w:val="18"/>
          <w:u w:val="single" w:color="auto"/>
          <w:color w:val="0000FF"/>
        </w:rPr>
        <w:t>Part II, Item 1A. Risk Factors</w:t>
      </w:r>
      <w:r>
        <w:rPr>
          <w:rFonts w:ascii="Arial" w:cs="Arial" w:eastAsia="Arial" w:hAnsi="Arial"/>
          <w:sz w:val="18"/>
          <w:szCs w:val="18"/>
          <w:color w:val="auto"/>
        </w:rPr>
        <w:t xml:space="preserve"> in this Form 10-Q.</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Readers are cautioned not to place undue reliance on any forward-looking statements contained in this Form 10-Q,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Form 10-Q.</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made, and will continue to make, various forward-looking statements with respect to financial and business matters. Comments regarding our business that are not historical facts are considered forward-looking statements that involve inherent risks and uncertainties. Actual results may differ materially from those contained in these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Burke &amp; Herbert Financial Services Corp. was organized as a Virginia corporation on September 14, 2022, to serve as the holding company for the Bank. The Company commenced operations as a bank holding company on October 1, 2022, following a reorganization transaction in which it became the Bank’s holding company. This transaction was treated as an internal reorganization as all shareholders of the Bank became shareholders of the Company. As a bank holding company, the Company is subject to regulation and supervision by the Federal Reserve. The Company has no material operations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owns 100% of the Bank. The Bank is a Virginia chartered commercial bank that commenced operations in 1852. The Bank is supervised and regulated by the FDIC and the Virginia BFI.</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 offers a full range of business and personal financial solutions designed to meet customers’ banking, borrowing, and investment needs and has over 20 branches throughout the Northern Virginia region and commercial loan offices in Fredericksburg, Loudoun County, and Richmond, Virginia, and in Bethesda, Maryland.</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ACL to absorb expected credit losses on existing loans that may become uncollectible. The Bank establishes and maintains this ACL by charging a provision for credit losses against operating earnings. In order to maintain its operations and branch locations, the Bank incurs various operating expenses which are further described within the “Results of Operations” later in this section.</w:t>
      </w:r>
    </w:p>
    <w:p>
      <w:pPr>
        <w:spacing w:after="0" w:line="12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31, 2023, we had total consolidated assets of $3.7 billion, gross loans of $2.0 billion, total deposits of $3.0 billion, and total shareholders’ equity of $289.8 million. As of March 31, 2023, we had 411 full-time employees. None of our employees are covered by a collective bargaining agreement.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in the Financial Services Industry</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March 2023, the FDIC placed two large financial institutions under receivership, marking the third and fourth largest bank failures in U.S. history, primarily due to liquidity concerns. In May 2023, another financial institution failed that became the second largest bank failure in U.S. history. All of the deposits and substantially all of the assets of that institution were assumed by another financial institution. These failures have caused general uncertainty and concern regarding the adequacy of liquidity in the banking sector as a whole. Uncertainty may be compounded by the reach and depth of media attention, including social media, and its ability to disseminate concerns or rumors about any events of these kinds or other similar risks, and has in the past and may in the future lead to market-wide liquidity problems. These failures underscore the importance of maintaining diversified sources of funding as key measures to ensure the safety and soundness of a financial institution.</w:t>
      </w:r>
    </w:p>
    <w:p>
      <w:pPr>
        <w:spacing w:after="0" w:line="1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While the Company did not experience significant unusual deposit withdrawals related to these recent events, we cannot be assured that similar unusual deposit withdrawal activity will not affect banks generally or affect our Bank in the future. The heightened focus on liquidity across the banking industry will continue to add to the already increasing competition for deposits as a source of core balance sheet funding, which is expected to cause the cost of funds at banks to continue to rise in the near-term. Should financial institutions experience shortfalls in core funding, the use of alternative sources of liquidity would most likely cause a further increase in funding costs, placing additional pressure on overall bank profitability across the sector.</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events that occurred during the months of March and May 2023 and the attendant stress on economic agents, including various financial stock markets, the Company took multiple proactive measures to mitigate any potential financial and operational impacts. Such measures included, but were not limited to:</w:t>
      </w:r>
    </w:p>
    <w:p>
      <w:pPr>
        <w:spacing w:after="0" w:line="130"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dissemination of internal communication to inform the Board and employees of current events and the Company’s condition and desired market response;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testing of available liquidity 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real-time analysis of our deposit composition and deposit concentrations;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assessment of our investment securities portfolio;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stress testing of liquidity and capital metrics based on observed financial conditions with particular emphasis on the causes of such risk events.</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further discussion see Item 1A, under the caption “Risk Factors” in our Registration Statement on Form 10 filed with the SEC on February 28, 2023, and as amended, and declared effective by the SEC on April 21, 2023. The measures taken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followed meetings convened by a subcommittee provided for in our Asset/Liability policy more fully described in </w:t>
      </w:r>
      <w:r>
        <w:rPr>
          <w:rFonts w:ascii="Arial" w:cs="Arial" w:eastAsia="Arial" w:hAnsi="Arial"/>
          <w:sz w:val="18"/>
          <w:szCs w:val="18"/>
          <w:u w:val="single" w:color="auto"/>
          <w:color w:val="0000FF"/>
        </w:rPr>
        <w:t>Item 3.- Quantitative and Qualitative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Disclosures About Market Risk – Market Risk</w:t>
      </w:r>
      <w:r>
        <w:rPr>
          <w:rFonts w:ascii="Arial" w:cs="Arial" w:eastAsia="Arial" w:hAnsi="Arial"/>
          <w:sz w:val="18"/>
          <w:szCs w:val="18"/>
          <w:color w:val="000000"/>
        </w:rPr>
        <w:t>.</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Company’s key inputs and certain assumptions of the stress testing included, but were not limited to, uninsured deposits, deposit composition and deposit flows, borrowings and borrowing capacity, interest rate movements and sensitivity, unrealized losses in the investment securities portfolio, loan balances and loan demand, credit risks, and current allowances for credit losses. Results of the stress tests indicated capital levels that remained above the well-capitalized regulatory ratios and liquidity metrics remained within internal policy guidelines. For additional information related to capital, see Notes to the Consolidated Financial Statements – </w:t>
      </w:r>
      <w:r>
        <w:rPr>
          <w:rFonts w:ascii="Arial" w:cs="Arial" w:eastAsia="Arial" w:hAnsi="Arial"/>
          <w:sz w:val="18"/>
          <w:szCs w:val="18"/>
          <w:u w:val="single" w:color="auto"/>
          <w:color w:val="0000FF"/>
        </w:rPr>
        <w:t>Note 8. Regulatory Capital Matters</w:t>
      </w:r>
      <w:r>
        <w:rPr>
          <w:rFonts w:ascii="Arial" w:cs="Arial" w:eastAsia="Arial" w:hAnsi="Arial"/>
          <w:sz w:val="18"/>
          <w:szCs w:val="18"/>
          <w:color w:val="auto"/>
        </w:rPr>
        <w:t>. The Company intends to continue conducting such stress tests on an interim basis.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 Company believes that the recent events described herein will not have a material impact to the Company’s financial position.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accounting and reporting policies are in accordance with GAAP and follow accounting and reporting guidelines prescribed by bank regulatory and general practices within the financial services industry. Our financial position and results of operations are affected by management’s application of accounting policies, including estimates, assumptions, and judgements that affect the amounts reported in the consolidated financial statements and accompanying notes. These estimates, assumptions, and judgments affect the amounts reported in the financial 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 The more critical accounting estimates include accounting for credit losses and valuation methodologies. Additional disclosures regarding the effects of new pronouncements, ASU 2016-13 and ASU 2022-02, are included in this report in </w:t>
      </w:r>
      <w:r>
        <w:rPr>
          <w:rFonts w:ascii="Arial" w:cs="Arial" w:eastAsia="Arial" w:hAnsi="Arial"/>
          <w:sz w:val="17"/>
          <w:szCs w:val="17"/>
          <w:u w:val="single" w:color="auto"/>
          <w:color w:val="0000FF"/>
        </w:rPr>
        <w:t>Note 1, Nature of Business Activities and Significant Accounting Policies</w:t>
      </w:r>
      <w:r>
        <w:rPr>
          <w:rFonts w:ascii="Arial" w:cs="Arial" w:eastAsia="Arial" w:hAnsi="Arial"/>
          <w:sz w:val="17"/>
          <w:szCs w:val="17"/>
          <w:color w:val="auto"/>
        </w:rPr>
        <w:t xml:space="preserve">, to the consolidated financial statements under </w:t>
      </w:r>
      <w:r>
        <w:rPr>
          <w:rFonts w:ascii="Arial" w:cs="Arial" w:eastAsia="Arial" w:hAnsi="Arial"/>
          <w:sz w:val="17"/>
          <w:szCs w:val="17"/>
          <w:u w:val="single" w:color="auto"/>
          <w:color w:val="0000FF"/>
        </w:rPr>
        <w:t>Part 1, Item,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Management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 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Asset/Liability Committee (the “ALCO”) and to the Board. From time to time, management may change the frequency of such testing or update certain inputs as a result of abnormal market conditions.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 could act as potential sources of liquidity are federal funds sold, securities purchased under agreements to resell, and maturing interest-bearing deposits with other banks.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liability portion of the balance sheet provides liquidity through interest-bearing and non-interest-bearing deposit accounts and through FHLB and other borrowings. Brokered deposits, federal funds purchased, securities sold under agreements to repurchase, and other short-term borrowings are additional sources of liquidity and basically represent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Company’s incremental borrowing capacity. These sources of liquidity are used as necessary to fund asset growth and meet short-term liquidity needs.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Company’s financial performance and condition, liquidity may be impacted by the Company’s structure as a bank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 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believes that the current sources of liquidity are adequate to meet the Company’s requirements and plans for continued growth. See </w:t>
      </w:r>
      <w:r>
        <w:rPr>
          <w:rFonts w:ascii="Arial" w:cs="Arial" w:eastAsia="Arial" w:hAnsi="Arial"/>
          <w:sz w:val="18"/>
          <w:szCs w:val="18"/>
          <w:u w:val="single" w:color="auto"/>
          <w:color w:val="0000FF"/>
        </w:rPr>
        <w:t>Note 6 -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Advances and Other Borrowings</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10 - Commitments and Contingencies</w:t>
      </w:r>
      <w:r>
        <w:rPr>
          <w:rFonts w:ascii="Arial" w:cs="Arial" w:eastAsia="Arial" w:hAnsi="Arial"/>
          <w:sz w:val="18"/>
          <w:szCs w:val="18"/>
          <w:color w:val="000000"/>
        </w:rPr>
        <w:t>, in Notes to Consolidated Financial Statements for additional information</w:t>
      </w:r>
      <w:r>
        <w:rPr>
          <w:rFonts w:ascii="Arial" w:cs="Arial" w:eastAsia="Arial" w:hAnsi="Arial"/>
          <w:sz w:val="18"/>
          <w:szCs w:val="18"/>
          <w:color w:val="0000FF"/>
        </w:rPr>
        <w:t xml:space="preserve"> </w:t>
      </w:r>
      <w:r>
        <w:rPr>
          <w:rFonts w:ascii="Arial" w:cs="Arial" w:eastAsia="Arial" w:hAnsi="Arial"/>
          <w:sz w:val="18"/>
          <w:szCs w:val="18"/>
          <w:color w:val="000000"/>
        </w:rPr>
        <w:t>regarding outstanding balances of sources of liquidity and contractual commitments and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July 2013, the Federal Reserve published the final rules that established a new comprehensive capital framework for banking organizations, commonly referred to as Basel III. These final rules substantially revised the risk-based capital requirements applicable to bank holding companies and depository institutions. The final rule became effective January 1, 2015, for smaller, non-complex banking organizations with full implementation by January 1, 2019.</w:t>
      </w:r>
    </w:p>
    <w:p>
      <w:pPr>
        <w:spacing w:after="0" w:line="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Basel III Capital Rules require the Holding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 The Basel III Capital Rules also provide for a “counter-cyclical capital buffer” that is applicable to only certain covered institutions and does not have any current applicability to the Holding Company or the Bank.</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capital adequacy guidelines and the regulatory framework for “prompt corrective action”, the Holding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March 31, 2023, and December 31, 2022, the Bank complied with all regulatory capital standards and qualifies as “well capitalized”. </w:t>
      </w:r>
      <w:r>
        <w:rPr>
          <w:rFonts w:ascii="Arial" w:cs="Arial" w:eastAsia="Arial" w:hAnsi="Arial"/>
          <w:sz w:val="18"/>
          <w:szCs w:val="18"/>
          <w:u w:val="single" w:color="auto"/>
          <w:color w:val="0000FF"/>
        </w:rPr>
        <w:t>Note 8 -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Regulatory Capital Matters</w:t>
      </w:r>
      <w:r>
        <w:rPr>
          <w:rFonts w:ascii="Arial" w:cs="Arial" w:eastAsia="Arial" w:hAnsi="Arial"/>
          <w:sz w:val="18"/>
          <w:szCs w:val="18"/>
          <w:color w:val="0000FF"/>
        </w:rPr>
        <w:t xml:space="preserve"> </w:t>
      </w:r>
      <w:r>
        <w:rPr>
          <w:rFonts w:ascii="Arial" w:cs="Arial" w:eastAsia="Arial" w:hAnsi="Arial"/>
          <w:sz w:val="18"/>
          <w:szCs w:val="18"/>
          <w:color w:val="000000"/>
        </w:rPr>
        <w:t>in Notes to Consolidated Financial Statements contains additional discussion and analysis regarding the Company and the</w:t>
      </w:r>
      <w:r>
        <w:rPr>
          <w:rFonts w:ascii="Arial" w:cs="Arial" w:eastAsia="Arial" w:hAnsi="Arial"/>
          <w:sz w:val="18"/>
          <w:szCs w:val="18"/>
          <w:color w:val="0000FF"/>
        </w:rPr>
        <w:t xml:space="preserve"> </w:t>
      </w:r>
      <w:r>
        <w:rPr>
          <w:rFonts w:ascii="Arial" w:cs="Arial" w:eastAsia="Arial" w:hAnsi="Arial"/>
          <w:sz w:val="18"/>
          <w:szCs w:val="18"/>
          <w:color w:val="000000"/>
        </w:rPr>
        <w:t>Bank’s regulatory capital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assets and liabilities of a financial institution are monetary in nature; therefore, a financial institution differs greatly from most commercial and industrial companies, which have significant investments in fixed assets or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inventories that are greatly impacted by inflation. However, inflation does have an important impact on the growth of total assets in the banking industry and the resulting need to increase equity capital at higher than normal rates in order to maintain an appropriate equity-to-assets ratio. Inflation also affects other expenses that tend to rise during periods of general inflation.</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 fluctuations on net interest income. However, this goal can be difficult to completely achieve in times of rapidly changing interest rates and is one of many factors considered in determining the Company’s interest rate positioning.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Factors Affecting Financial Performance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 detail elsewhere in this Report as well as with the audited consolidated financial statements and notes for the year ended December 31, 2022, included in our Registration Statement on Form 10 filed with the SEC on February 28, 2023, as amended on April 4, 2023, April 20, 2023, and April 21, 2023, and as declared as effective by the SEC on April 21,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Our success will depend upon, among other things, the following factors that we manage or control:</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Effectively managing capital and liquidity, including:</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Continuing to maintain and, over time, grow our deposit base as a low-cost stable funding source,</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Prudent liquidity and capital management to meet evolving regulatory capital, capital planning, stress testing, and liquidity standards, and</w:t>
      </w:r>
    </w:p>
    <w:p>
      <w:pPr>
        <w:spacing w:after="0" w:line="194" w:lineRule="exact"/>
        <w:rPr>
          <w:rFonts w:ascii="Arial" w:cs="Arial" w:eastAsia="Arial" w:hAnsi="Arial"/>
          <w:sz w:val="16"/>
          <w:szCs w:val="16"/>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Actions we take within the capital and other financial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any material costs related to the execution of our strategic priorities, including increased employees, infrastructure, compliance, and other costs in a profitable manner over the long term,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of credit risk and interest rate risk in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and implement strategic business objectives within the changing regulatory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legal and regulatory-related contingencies,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appropriateness of critical accounting estimates and related contingencies,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operational risks related to new products and services, changes in processes and procedures, or the implementation of new technology,</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make investments to promote compliance with existing and evolving regulatory requirements that will increase as the Company grows and will result in increased administrative expenses that we did not previously incur, which costs may materially increase our general and administrative expenses, and</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execute our strategic objectives while satisfying the obligations associated with being a public company that will require significant resources and management attention and may divert management’s attention from our business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also substantially affected by a number of external factors outside of our control, including the following:</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Economic conditions, including the length and extent of the economic impacts of a pandemic, and the actions taken to mitigate and manage it,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climate change on our business and performance, including indirectly through impacts on our customers,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actions by the Federal Reserve, U.S. Treasury, and other government agencies, including those that impact money supply and market interest rates and inflation,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and direction, timing, and magnitude of movement in interest rates and the shape of the interest rate yield curve,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functioning and other performance of, and availability of liquidity in U.S. and global financial markets, including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tariffs and other trade policies of the U.S. and its global trading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competitive landscape,</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Impacts of changes in federal, state, and local governmental policy, including on the regulatory landscape, capital markets, taxes, infrastructure spending, and social programs,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market credit spreads on asset valuations,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ability of customers, counterparties, and issuers to perform in accordance with contractual terms, and the resulting impact on our asset quality,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Loan demand, utilization of credit commitments, and standby letters of credit,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on customers and changes in customer behavior due to changing business and economic conditions or regulatory or legislative initiatives.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impact of these items, where material, is discussed in the applicable sections of this Management’s Discussion and Analysis of Financial Condition and Results of Operation. For additional information on the risks we face, see </w:t>
      </w:r>
      <w:r>
        <w:rPr>
          <w:rFonts w:ascii="Arial" w:cs="Arial" w:eastAsia="Arial" w:hAnsi="Arial"/>
          <w:sz w:val="18"/>
          <w:szCs w:val="18"/>
          <w:u w:val="single" w:color="auto"/>
          <w:color w:val="0000FF"/>
        </w:rPr>
        <w:t>Part II, Item 1A. -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contains selected historical consolidated financial data as of the dates and for the periods shown. The selected balance sheet data as of March 31, 2023, and December 31, 2022, and the selected income statement data for the three months ended March 31, 2023, and March 31, 2022, have been derived from our consolidated financial statements included elsewhere in this Form 10-Q and should be read in conjunction with the other information contained in this Form 10-Q.</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ratios, share and per share data)</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7"/>
              </w:rPr>
              <w:t>December 31, 2022</w:t>
            </w:r>
          </w:p>
        </w:tc>
      </w:tr>
      <w:tr>
        <w:trPr>
          <w:trHeight w:val="213"/>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Selected Financial Condition Data:</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3,671,186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3,562,898</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cash and cash equivalents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116,939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50,295</w:t>
            </w: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Total investment securities, at fair value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1,362,785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1,371,757</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loans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1,926,034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1,866,182</w:t>
            </w: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Company-owned life insurance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93,053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92,487</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Premises and equipment, net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53,170</w:t>
            </w: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Total deposits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3,032,391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2,920,400</w:t>
            </w:r>
          </w:p>
        </w:tc>
      </w:tr>
      <w:tr>
        <w:trPr>
          <w:trHeight w:val="21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Advances and other borrowings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321,700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343,100</w:t>
            </w:r>
          </w:p>
        </w:tc>
      </w:tr>
      <w:tr>
        <w:trPr>
          <w:trHeight w:val="213"/>
        </w:trPr>
        <w:tc>
          <w:tcPr>
            <w:tcW w:w="7120" w:type="dxa"/>
            <w:vAlign w:val="bottom"/>
          </w:tcPr>
          <w:p>
            <w:pPr>
              <w:ind w:left="20"/>
              <w:spacing w:after="0"/>
              <w:rPr>
                <w:sz w:val="20"/>
                <w:szCs w:val="20"/>
                <w:color w:val="auto"/>
              </w:rPr>
            </w:pPr>
            <w:r>
              <w:rPr>
                <w:rFonts w:ascii="Arial" w:cs="Arial" w:eastAsia="Arial" w:hAnsi="Arial"/>
                <w:sz w:val="16"/>
                <w:szCs w:val="16"/>
                <w:color w:val="auto"/>
              </w:rPr>
              <w:t>Total shareholders’ equity</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289,783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273,453</w:t>
            </w:r>
          </w:p>
        </w:tc>
      </w:tr>
      <w:tr>
        <w:trPr>
          <w:trHeight w:val="273"/>
        </w:trPr>
        <w:tc>
          <w:tcPr>
            <w:tcW w:w="7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w w:val="95"/>
              </w:rPr>
              <w:t>As of or for the Three Months Ended March 31,</w:t>
            </w:r>
          </w:p>
        </w:tc>
      </w:tr>
      <w:tr>
        <w:trPr>
          <w:trHeight w:val="209"/>
        </w:trPr>
        <w:tc>
          <w:tcPr>
            <w:tcW w:w="7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2022</w:t>
            </w:r>
          </w:p>
        </w:tc>
      </w:tr>
      <w:tr>
        <w:trPr>
          <w:trHeight w:val="210"/>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Selected Operating Data:</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34,328</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24,252</w:t>
            </w: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9,554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781</w:t>
            </w: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24,774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23,471</w:t>
            </w: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Provision for (recapture of) credit losses</w:t>
            </w:r>
          </w:p>
        </w:tc>
        <w:tc>
          <w:tcPr>
            <w:tcW w:w="20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(2,638)</w:t>
            </w: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non-interest income</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4,115</w:t>
            </w: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Total non-interest expenses</w:t>
            </w:r>
          </w:p>
        </w:tc>
        <w:tc>
          <w:tcPr>
            <w:tcW w:w="20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20,365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19,165</w:t>
            </w: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11,059</w:t>
            </w: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1,933</w:t>
            </w: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9,126</w:t>
            </w:r>
          </w:p>
        </w:tc>
      </w:tr>
      <w:tr>
        <w:trPr>
          <w:trHeight w:val="270"/>
        </w:trPr>
        <w:tc>
          <w:tcPr>
            <w:tcW w:w="7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 Share Data:</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Average shares of Common Stock outstanding, basic</w:t>
            </w:r>
          </w:p>
        </w:tc>
        <w:tc>
          <w:tcPr>
            <w:tcW w:w="20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7,426,638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7,424,059</w:t>
            </w: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shares of Common Stock outstanding, diluted</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7,504,473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7,451,858</w:t>
            </w: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Total shares of Common Stock outstanding</w:t>
            </w:r>
          </w:p>
        </w:tc>
        <w:tc>
          <w:tcPr>
            <w:tcW w:w="20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7,427,840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7,424,320</w:t>
            </w: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income per share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1.23</w:t>
            </w: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Diluted net income per share</w:t>
            </w:r>
          </w:p>
        </w:tc>
        <w:tc>
          <w:tcPr>
            <w:tcW w:w="200" w:type="dxa"/>
            <w:vAlign w:val="bottom"/>
          </w:tcPr>
          <w:p>
            <w:pPr>
              <w:spacing w:after="0"/>
              <w:rPr>
                <w:sz w:val="18"/>
                <w:szCs w:val="18"/>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1.23</w:t>
            </w:r>
          </w:p>
        </w:tc>
      </w:tr>
      <w:tr>
        <w:trPr>
          <w:trHeight w:val="21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per share</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0.53</w:t>
            </w:r>
          </w:p>
        </w:tc>
      </w:tr>
      <w:tr>
        <w:trPr>
          <w:trHeight w:val="216"/>
        </w:trPr>
        <w:tc>
          <w:tcPr>
            <w:tcW w:w="72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Dividend payout ratio </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53.00 %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43.09 %</w:t>
            </w: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Book value (at period end)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39.01</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44.57</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580"/>
        <w:spacing w:after="0"/>
        <w:rPr>
          <w:sz w:val="20"/>
          <w:szCs w:val="20"/>
          <w:color w:val="auto"/>
        </w:rPr>
      </w:pPr>
      <w:r>
        <w:rPr>
          <w:rFonts w:ascii="Arial" w:cs="Arial" w:eastAsia="Arial" w:hAnsi="Arial"/>
          <w:sz w:val="16"/>
          <w:szCs w:val="16"/>
          <w:b w:val="1"/>
          <w:bCs w:val="1"/>
          <w:color w:val="auto"/>
        </w:rPr>
        <w:t>As of or for the 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Performance Ratios: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Return on average assets</w:t>
            </w:r>
          </w:p>
        </w:tc>
        <w:tc>
          <w:tcPr>
            <w:tcW w:w="720" w:type="dxa"/>
            <w:vAlign w:val="bottom"/>
          </w:tcPr>
          <w:p>
            <w:pPr>
              <w:jc w:val="right"/>
              <w:spacing w:after="0"/>
              <w:rPr>
                <w:sz w:val="20"/>
                <w:szCs w:val="20"/>
                <w:color w:val="auto"/>
              </w:rPr>
            </w:pPr>
            <w:r>
              <w:rPr>
                <w:rFonts w:ascii="Arial" w:cs="Arial" w:eastAsia="Arial" w:hAnsi="Arial"/>
                <w:sz w:val="16"/>
                <w:szCs w:val="16"/>
                <w:color w:val="auto"/>
              </w:rPr>
              <w:t>0.85 %</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1.03 %</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Return on average equity</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10.83</w:t>
            </w:r>
          </w:p>
        </w:tc>
        <w:tc>
          <w:tcPr>
            <w:tcW w:w="20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9.91</w:t>
            </w:r>
          </w:p>
        </w:tc>
      </w:tr>
      <w:tr>
        <w:trPr>
          <w:trHeight w:val="216"/>
        </w:trPr>
        <w:tc>
          <w:tcPr>
            <w:tcW w:w="8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Interest rate spread </w:t>
            </w:r>
            <w:r>
              <w:rPr>
                <w:rFonts w:ascii="Arial" w:cs="Arial" w:eastAsia="Arial" w:hAnsi="Arial"/>
                <w:sz w:val="21"/>
                <w:szCs w:val="21"/>
                <w:color w:val="auto"/>
                <w:vertAlign w:val="superscript"/>
              </w:rPr>
              <w:t>(2)</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2.58</w:t>
            </w:r>
          </w:p>
        </w:tc>
        <w:tc>
          <w:tcPr>
            <w:tcW w:w="2000" w:type="dxa"/>
            <w:vAlign w:val="bottom"/>
            <w:gridSpan w:val="2"/>
          </w:tcPr>
          <w:p>
            <w:pPr>
              <w:jc w:val="right"/>
              <w:ind w:right="99"/>
              <w:spacing w:after="0"/>
              <w:rPr>
                <w:sz w:val="20"/>
                <w:szCs w:val="20"/>
                <w:color w:val="auto"/>
              </w:rPr>
            </w:pPr>
            <w:r>
              <w:rPr>
                <w:rFonts w:ascii="Arial" w:cs="Arial" w:eastAsia="Arial" w:hAnsi="Arial"/>
                <w:sz w:val="16"/>
                <w:szCs w:val="16"/>
                <w:color w:val="auto"/>
              </w:rPr>
              <w:t>2.84</w:t>
            </w:r>
          </w:p>
        </w:tc>
      </w:tr>
      <w:tr>
        <w:trPr>
          <w:trHeight w:val="216"/>
        </w:trPr>
        <w:tc>
          <w:tcPr>
            <w:tcW w:w="84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1"/>
                <w:szCs w:val="21"/>
                <w:color w:val="auto"/>
                <w:vertAlign w:val="superscript"/>
              </w:rPr>
              <w:t>(3)</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3.06</w:t>
            </w:r>
          </w:p>
        </w:tc>
        <w:tc>
          <w:tcPr>
            <w:tcW w:w="20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2.89</w:t>
            </w:r>
          </w:p>
        </w:tc>
      </w:tr>
      <w:tr>
        <w:trPr>
          <w:trHeight w:val="216"/>
        </w:trPr>
        <w:tc>
          <w:tcPr>
            <w:tcW w:w="8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Efficiency ratio </w:t>
            </w:r>
            <w:r>
              <w:rPr>
                <w:rFonts w:ascii="Arial" w:cs="Arial" w:eastAsia="Arial" w:hAnsi="Arial"/>
                <w:sz w:val="21"/>
                <w:szCs w:val="21"/>
                <w:color w:val="auto"/>
                <w:vertAlign w:val="superscript"/>
              </w:rPr>
              <w:t>(4)</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70.25</w:t>
            </w:r>
          </w:p>
        </w:tc>
        <w:tc>
          <w:tcPr>
            <w:tcW w:w="2000" w:type="dxa"/>
            <w:vAlign w:val="bottom"/>
            <w:gridSpan w:val="2"/>
          </w:tcPr>
          <w:p>
            <w:pPr>
              <w:jc w:val="right"/>
              <w:ind w:right="99"/>
              <w:spacing w:after="0"/>
              <w:rPr>
                <w:sz w:val="20"/>
                <w:szCs w:val="20"/>
                <w:color w:val="auto"/>
              </w:rPr>
            </w:pPr>
            <w:r>
              <w:rPr>
                <w:rFonts w:ascii="Arial" w:cs="Arial" w:eastAsia="Arial" w:hAnsi="Arial"/>
                <w:sz w:val="16"/>
                <w:szCs w:val="16"/>
                <w:color w:val="auto"/>
              </w:rPr>
              <w:t>69.47</w:t>
            </w:r>
          </w:p>
        </w:tc>
      </w:tr>
      <w:tr>
        <w:trPr>
          <w:trHeight w:val="270"/>
        </w:trPr>
        <w:tc>
          <w:tcPr>
            <w:tcW w:w="7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Ratios: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84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Common equity tier 1 (CET 1) capital to risk-weighted assets </w:t>
            </w:r>
            <w:r>
              <w:rPr>
                <w:rFonts w:ascii="Arial" w:cs="Arial" w:eastAsia="Arial" w:hAnsi="Arial"/>
                <w:sz w:val="21"/>
                <w:szCs w:val="21"/>
                <w:color w:val="auto"/>
                <w:vertAlign w:val="superscript"/>
              </w:rPr>
              <w:t>(5)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17.55 %</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17.47 %</w:t>
            </w:r>
          </w:p>
        </w:tc>
      </w:tr>
      <w:tr>
        <w:trPr>
          <w:trHeight w:val="216"/>
        </w:trPr>
        <w:tc>
          <w:tcPr>
            <w:tcW w:w="8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Total risk-based capital to risk-weighted assets </w:t>
            </w:r>
            <w:r>
              <w:rPr>
                <w:rFonts w:ascii="Arial" w:cs="Arial" w:eastAsia="Arial" w:hAnsi="Arial"/>
                <w:sz w:val="21"/>
                <w:szCs w:val="21"/>
                <w:color w:val="auto"/>
                <w:vertAlign w:val="superscript"/>
              </w:rPr>
              <w:t>(5)</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18.65</w:t>
            </w:r>
          </w:p>
        </w:tc>
        <w:tc>
          <w:tcPr>
            <w:tcW w:w="2000" w:type="dxa"/>
            <w:vAlign w:val="bottom"/>
            <w:gridSpan w:val="2"/>
          </w:tcPr>
          <w:p>
            <w:pPr>
              <w:jc w:val="right"/>
              <w:ind w:right="99"/>
              <w:spacing w:after="0"/>
              <w:rPr>
                <w:sz w:val="20"/>
                <w:szCs w:val="20"/>
                <w:color w:val="auto"/>
              </w:rPr>
            </w:pPr>
            <w:r>
              <w:rPr>
                <w:rFonts w:ascii="Arial" w:cs="Arial" w:eastAsia="Arial" w:hAnsi="Arial"/>
                <w:sz w:val="16"/>
                <w:szCs w:val="16"/>
                <w:color w:val="auto"/>
              </w:rPr>
              <w:t>18.72</w:t>
            </w:r>
          </w:p>
        </w:tc>
      </w:tr>
      <w:tr>
        <w:trPr>
          <w:trHeight w:val="216"/>
        </w:trPr>
        <w:tc>
          <w:tcPr>
            <w:tcW w:w="84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Tier 1 capital to risk-weighted assets </w:t>
            </w:r>
            <w:r>
              <w:rPr>
                <w:rFonts w:ascii="Arial" w:cs="Arial" w:eastAsia="Arial" w:hAnsi="Arial"/>
                <w:sz w:val="21"/>
                <w:szCs w:val="21"/>
                <w:color w:val="auto"/>
                <w:vertAlign w:val="superscript"/>
              </w:rPr>
              <w:t>(5)</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17.55</w:t>
            </w:r>
          </w:p>
        </w:tc>
        <w:tc>
          <w:tcPr>
            <w:tcW w:w="20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17.47</w:t>
            </w:r>
          </w:p>
        </w:tc>
      </w:tr>
      <w:tr>
        <w:trPr>
          <w:trHeight w:val="216"/>
        </w:trPr>
        <w:tc>
          <w:tcPr>
            <w:tcW w:w="8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Tier 1 capital to average assets </w:t>
            </w:r>
            <w:r>
              <w:rPr>
                <w:rFonts w:ascii="Arial" w:cs="Arial" w:eastAsia="Arial" w:hAnsi="Arial"/>
                <w:sz w:val="21"/>
                <w:szCs w:val="21"/>
                <w:color w:val="auto"/>
                <w:vertAlign w:val="superscript"/>
              </w:rPr>
              <w:t>(5)</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11.19</w:t>
            </w:r>
          </w:p>
        </w:tc>
        <w:tc>
          <w:tcPr>
            <w:tcW w:w="2000" w:type="dxa"/>
            <w:vAlign w:val="bottom"/>
            <w:gridSpan w:val="2"/>
          </w:tcPr>
          <w:p>
            <w:pPr>
              <w:jc w:val="right"/>
              <w:ind w:right="99"/>
              <w:spacing w:after="0"/>
              <w:rPr>
                <w:sz w:val="20"/>
                <w:szCs w:val="20"/>
                <w:color w:val="auto"/>
              </w:rPr>
            </w:pPr>
            <w:r>
              <w:rPr>
                <w:rFonts w:ascii="Arial" w:cs="Arial" w:eastAsia="Arial" w:hAnsi="Arial"/>
                <w:sz w:val="16"/>
                <w:szCs w:val="16"/>
                <w:color w:val="auto"/>
              </w:rPr>
              <w:t>10.88</w:t>
            </w:r>
          </w:p>
        </w:tc>
      </w:tr>
      <w:tr>
        <w:trPr>
          <w:trHeight w:val="216"/>
        </w:trPr>
        <w:tc>
          <w:tcPr>
            <w:tcW w:w="84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Average equity to average assets </w:t>
            </w:r>
            <w:r>
              <w:rPr>
                <w:rFonts w:ascii="Arial" w:cs="Arial" w:eastAsia="Arial" w:hAnsi="Arial"/>
                <w:sz w:val="21"/>
                <w:szCs w:val="21"/>
                <w:color w:val="auto"/>
                <w:vertAlign w:val="superscript"/>
              </w:rPr>
              <w:t>(5)</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7.85</w:t>
            </w:r>
          </w:p>
        </w:tc>
        <w:tc>
          <w:tcPr>
            <w:tcW w:w="20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10.41</w:t>
            </w:r>
          </w:p>
        </w:tc>
      </w:tr>
      <w:tr>
        <w:trPr>
          <w:trHeight w:val="270"/>
        </w:trPr>
        <w:tc>
          <w:tcPr>
            <w:tcW w:w="7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16"/>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 Quality Ratios: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Allowance coverage ratio</w:t>
            </w:r>
          </w:p>
        </w:tc>
        <w:tc>
          <w:tcPr>
            <w:tcW w:w="720" w:type="dxa"/>
            <w:vAlign w:val="bottom"/>
          </w:tcPr>
          <w:p>
            <w:pPr>
              <w:jc w:val="right"/>
              <w:spacing w:after="0"/>
              <w:rPr>
                <w:sz w:val="20"/>
                <w:szCs w:val="20"/>
                <w:color w:val="auto"/>
              </w:rPr>
            </w:pPr>
            <w:r>
              <w:rPr>
                <w:rFonts w:ascii="Arial" w:cs="Arial" w:eastAsia="Arial" w:hAnsi="Arial"/>
                <w:sz w:val="16"/>
                <w:szCs w:val="16"/>
                <w:color w:val="auto"/>
              </w:rPr>
              <w:t>1.32 %</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1.65 %</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for credit losses as a percentage of non-performing loans</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791.87</w:t>
            </w:r>
          </w:p>
        </w:tc>
        <w:tc>
          <w:tcPr>
            <w:tcW w:w="20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113.81</w:t>
            </w: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Net charge-offs to average outstanding loans during the period</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0.00</w:t>
            </w:r>
          </w:p>
        </w:tc>
        <w:tc>
          <w:tcPr>
            <w:tcW w:w="2000" w:type="dxa"/>
            <w:vAlign w:val="bottom"/>
            <w:gridSpan w:val="2"/>
          </w:tcPr>
          <w:p>
            <w:pPr>
              <w:jc w:val="right"/>
              <w:ind w:right="99"/>
              <w:spacing w:after="0"/>
              <w:rPr>
                <w:sz w:val="20"/>
                <w:szCs w:val="20"/>
                <w:color w:val="auto"/>
              </w:rPr>
            </w:pPr>
            <w:r>
              <w:rPr>
                <w:rFonts w:ascii="Arial" w:cs="Arial" w:eastAsia="Arial" w:hAnsi="Arial"/>
                <w:sz w:val="16"/>
                <w:szCs w:val="16"/>
                <w:color w:val="auto"/>
              </w:rPr>
              <w:t>0.00</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Non-performing loans as a percentage of total loans</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0.17</w:t>
            </w:r>
          </w:p>
        </w:tc>
        <w:tc>
          <w:tcPr>
            <w:tcW w:w="200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1.45</w:t>
            </w: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Non-performing assets as a percentage of total assets</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0.09</w:t>
            </w:r>
          </w:p>
        </w:tc>
        <w:tc>
          <w:tcPr>
            <w:tcW w:w="2000" w:type="dxa"/>
            <w:vAlign w:val="bottom"/>
            <w:gridSpan w:val="2"/>
          </w:tcPr>
          <w:p>
            <w:pPr>
              <w:jc w:val="right"/>
              <w:ind w:right="99"/>
              <w:spacing w:after="0"/>
              <w:rPr>
                <w:sz w:val="20"/>
                <w:szCs w:val="20"/>
                <w:color w:val="auto"/>
              </w:rPr>
            </w:pPr>
            <w:r>
              <w:rPr>
                <w:rFonts w:ascii="Arial" w:cs="Arial" w:eastAsia="Arial" w:hAnsi="Arial"/>
                <w:sz w:val="16"/>
                <w:szCs w:val="16"/>
                <w:color w:val="auto"/>
              </w:rPr>
              <w:t>0.72</w:t>
            </w:r>
          </w:p>
        </w:tc>
      </w:tr>
      <w:tr>
        <w:trPr>
          <w:trHeight w:val="273"/>
        </w:trPr>
        <w:tc>
          <w:tcPr>
            <w:tcW w:w="7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13"/>
        </w:trPr>
        <w:tc>
          <w:tcPr>
            <w:tcW w:w="846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Number of full-service branches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Number of full-time equivalent employees</w:t>
            </w:r>
          </w:p>
        </w:tc>
        <w:tc>
          <w:tcPr>
            <w:tcW w:w="720" w:type="dxa"/>
            <w:vAlign w:val="bottom"/>
          </w:tcPr>
          <w:p>
            <w:pPr>
              <w:jc w:val="right"/>
              <w:spacing w:after="0"/>
              <w:rPr>
                <w:sz w:val="20"/>
                <w:szCs w:val="20"/>
                <w:color w:val="auto"/>
              </w:rPr>
            </w:pPr>
            <w:r>
              <w:rPr>
                <w:rFonts w:ascii="Arial" w:cs="Arial" w:eastAsia="Arial" w:hAnsi="Arial"/>
                <w:sz w:val="16"/>
                <w:szCs w:val="16"/>
                <w:color w:val="auto"/>
              </w:rPr>
              <w:t>411</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392</w:t>
            </w:r>
          </w:p>
        </w:tc>
      </w:tr>
    </w:tbl>
    <w:p>
      <w:pPr>
        <w:spacing w:after="0" w:line="68" w:lineRule="exact"/>
        <w:rPr>
          <w:sz w:val="20"/>
          <w:szCs w:val="20"/>
          <w:color w:val="auto"/>
        </w:rPr>
      </w:pPr>
    </w:p>
    <w:p>
      <w:pPr>
        <w:ind w:left="540" w:hanging="208"/>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Dividend payout ratio represents per share dividends declared divided by diluted earnings per share.</w:t>
      </w:r>
    </w:p>
    <w:p>
      <w:pPr>
        <w:spacing w:after="0" w:line="122" w:lineRule="exact"/>
        <w:rPr>
          <w:rFonts w:ascii="Arial" w:cs="Arial" w:eastAsia="Arial" w:hAnsi="Arial"/>
          <w:sz w:val="14"/>
          <w:szCs w:val="14"/>
          <w:color w:val="auto"/>
        </w:rPr>
      </w:pPr>
    </w:p>
    <w:p>
      <w:pPr>
        <w:ind w:left="340" w:hanging="8"/>
        <w:spacing w:after="0" w:line="293" w:lineRule="auto"/>
        <w:tabs>
          <w:tab w:leader="none" w:pos="543"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interest rate spread represents the difference between the fully taxable equivalent weighted-average yield on interest-earning assets and the weighted-average cost of interest-bearing liabilities for the period.</w:t>
      </w:r>
    </w:p>
    <w:p>
      <w:pPr>
        <w:spacing w:after="0" w:line="65" w:lineRule="exact"/>
        <w:rPr>
          <w:rFonts w:ascii="Arial" w:cs="Arial" w:eastAsia="Arial" w:hAnsi="Arial"/>
          <w:sz w:val="14"/>
          <w:szCs w:val="14"/>
          <w:color w:val="auto"/>
        </w:rPr>
      </w:pPr>
    </w:p>
    <w:p>
      <w:pPr>
        <w:ind w:left="540" w:hanging="208"/>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net interest margin represents fully taxable-equivalent net interest income as a percent of average interest-earning assets for the period.</w:t>
      </w:r>
    </w:p>
    <w:p>
      <w:pPr>
        <w:spacing w:after="0" w:line="109" w:lineRule="exact"/>
        <w:rPr>
          <w:rFonts w:ascii="Arial" w:cs="Arial" w:eastAsia="Arial" w:hAnsi="Arial"/>
          <w:sz w:val="14"/>
          <w:szCs w:val="14"/>
          <w:color w:val="auto"/>
        </w:rPr>
      </w:pPr>
    </w:p>
    <w:p>
      <w:pPr>
        <w:ind w:left="540" w:hanging="208"/>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efficiency ratio represents non-interest expense as a percentage of the sum of net interest income and non-interest income.</w:t>
      </w:r>
    </w:p>
    <w:p>
      <w:pPr>
        <w:spacing w:after="0" w:line="122" w:lineRule="exact"/>
        <w:rPr>
          <w:rFonts w:ascii="Arial" w:cs="Arial" w:eastAsia="Arial" w:hAnsi="Arial"/>
          <w:sz w:val="14"/>
          <w:szCs w:val="14"/>
          <w:color w:val="auto"/>
        </w:rPr>
      </w:pPr>
    </w:p>
    <w:p>
      <w:pPr>
        <w:ind w:left="540" w:hanging="208"/>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Capital ratios are for Burke &amp; Herbert Financial Services Corp. for 2023 and Burke &amp; Herbert Bank &amp; Trust Company for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2023 and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net income for the three months ended March 31, 2023, was $7.5 million compared to $9.1 million earned during the three months ended March 31, 2022. The $1.6 million, or 17.6%, decrease in net income is primarily the result of increases in non-interest expense and provision for credit losses offset by the increase in net interest income and lower income tax expense.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increased by $1.3 million to $24.8 million for the three months ended March 31, 2023, compared to $23.5 million for the three months ended March 31, 2022. The main drivers for this increase were balance sheet growth, specifically in loans, and higher interest rates offset by higher funding costs on both our deposits and borrowings.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2023, the Company recorded credit loss expense of $0.5 million compared to a recapture of provision losses of $2.6 million. For the three months ended March 31, 2022, the Company was able to recapture provision that was booked to reflect the uncertainty of the COVID-19 pandemic. For the current period, the adoption of CECL, which requires the Company to estimate provision of credit losses using an expected life-time approach versus an incurred model along with increased loan portfolio balances resulted in a higher credit expense for the three months ended March 31, 2023 compared to the three months ended, March 31, 2022.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increased by $99 thousand, or 2.4%, to $4.2 million for the three months ended March 31, 2023, as compared to $4.1 million for the three months ended March 31, 2022. The increase in non-interest income was primarily due to dividend income from FHLB stock that increased by $102 thousand and was offset by a lower servicing release premium of $37 thousand recognized in the three months ended March 31, 2023, compared to March 31, 2022.</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Non-interest expense increased by $1.2 million, or 6.3%, to $20.4 million for the three months ended March 31, 2023, as compared to $19.2 million for the three months ended March 31, 2022. The increase was primarily due to fees of $287 thousand paid by the Company due to entering into interest rate swaps designated as fair value hedges and higher legal and audit fees of $345 thousand arising from the filing of our initial Registration Statement.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 and Net Interest Margin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Fluctuations in interest rates as well as changes in the volume and mix of earnings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income totaled $24.8 million for the three months ended March 31, 2023, compared to $23.5 million for the three months ended March 31, 2022. The increase in net interest income was primarily driven by a higher volume of interest-bearing assets and higher interest rates offset by higher volume of interest-bearing liabilities and higher interest rates. Loan interest income was the primary driver of increased net interest income due to both volume and rate. This increase in interest income was offset by the increased cost of funding through both deposits and borrowings. The increased pace of rate hikes from the Federal Reserve has resulted in higher deposit rates to retain depositors and increased the cost of borrowings from the FHLB and the Federal Reserve.</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tax-adjusted net interest margin was 3.06% for the three months ended March 31, 2023, compared to 2.89% for the three months ended March 31, 2022. The increase in tax-adjusted net interest margin was primarily driven by the increase in market rates which increased the yield earned on marketable securities and our loan portfolio. However, this increase on the interest income was offset by a much faster increase in rates paid on the deposit portfolio and on our borrowings, resulting in a decrease in our net interest spread.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yield for the three months ended March 31, 2023, for the loan portfolio was 4.81% compared to 3.80% for the three months ended March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the result of increasing loan production with higher interest rates in a rising rate environment.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2023, the tax-adjusted yield on the total investment securities portfolio was 3.45% compared to 2.18% for the three months ended March 31, 2022. The increase was primarily due to higher market interest rates which increased the effective rate earned on investment securities.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rate paid on interest-bearing deposits increased to 1.09% during the three months ended March 31, 2023, from 0.08% during the three months ended March 31, 2022. The increase was a result of market and economic conditions, which led to an increase in our offering rate for selected parts of our deposit portfolio. Increases in deposit rates rose at a faster pace due to the the increases in the Federal Funds Rate that occurred in the second half of 2022. Continuing increases by the Federal Reserve and in the market rates may negatively impact our cost of funds rate.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rate paid on FHLB and other borrowings for the three months ended March 31, 2023, was 4.70% compared to 0.60% for the corresponding period in 2022. The increase was due to the increase in short-term borrowing costs, driven by increases in the Federal Funds Rate during the year that may continue to increase our overall borrowing costs.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major components of net interest income and the related yields and rates for the three months ended March 31, 2023, and March 31, 2022, for comparison (dollars in thousands).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w w:val="95"/>
              </w:rPr>
              <w:t>For the Three Months Ended March 31,</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Average</w:t>
            </w:r>
          </w:p>
        </w:tc>
        <w:tc>
          <w:tcPr>
            <w:tcW w:w="120" w:type="dxa"/>
            <w:vAlign w:val="bottom"/>
          </w:tcPr>
          <w:p>
            <w:pPr>
              <w:spacing w:after="0"/>
              <w:rPr>
                <w:sz w:val="13"/>
                <w:szCs w:val="13"/>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Rate Earned/Paid</w:t>
            </w:r>
          </w:p>
        </w:tc>
        <w:tc>
          <w:tcPr>
            <w:tcW w:w="12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Outstanding</w:t>
            </w: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Rate Earned/Paid</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Income/Expense</w:t>
            </w:r>
          </w:p>
        </w:tc>
        <w:tc>
          <w:tcPr>
            <w:tcW w:w="100" w:type="dxa"/>
            <w:vAlign w:val="bottom"/>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w w:val="88"/>
              </w:rPr>
              <w:t>Income/Expense</w:t>
            </w: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5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Loans, gross </w:t>
            </w:r>
            <w:r>
              <w:rPr>
                <w:rFonts w:ascii="Arial" w:cs="Arial" w:eastAsia="Arial" w:hAnsi="Arial"/>
                <w:sz w:val="21"/>
                <w:szCs w:val="21"/>
                <w:color w:val="auto"/>
                <w:vertAlign w:val="superscript"/>
              </w:rPr>
              <w:t>(1)(2)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1,919,678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22,760</w:t>
            </w:r>
          </w:p>
        </w:tc>
        <w:tc>
          <w:tcPr>
            <w:tcW w:w="1780" w:type="dxa"/>
            <w:vAlign w:val="bottom"/>
            <w:gridSpan w:val="4"/>
          </w:tcPr>
          <w:p>
            <w:pPr>
              <w:ind w:left="1040"/>
              <w:spacing w:after="0"/>
              <w:rPr>
                <w:sz w:val="20"/>
                <w:szCs w:val="20"/>
                <w:color w:val="auto"/>
              </w:rPr>
            </w:pPr>
            <w:r>
              <w:rPr>
                <w:rFonts w:ascii="Arial" w:cs="Arial" w:eastAsia="Arial" w:hAnsi="Arial"/>
                <w:sz w:val="16"/>
                <w:szCs w:val="16"/>
                <w:color w:val="auto"/>
              </w:rPr>
              <w:t>4.81 %  $</w:t>
            </w:r>
          </w:p>
        </w:tc>
        <w:tc>
          <w:tcPr>
            <w:tcW w:w="1140" w:type="dxa"/>
            <w:vAlign w:val="bottom"/>
          </w:tcPr>
          <w:p>
            <w:pPr>
              <w:jc w:val="right"/>
              <w:spacing w:after="0"/>
              <w:rPr>
                <w:sz w:val="20"/>
                <w:szCs w:val="20"/>
                <w:color w:val="auto"/>
              </w:rPr>
            </w:pPr>
            <w:r>
              <w:rPr>
                <w:rFonts w:ascii="Arial" w:cs="Arial" w:eastAsia="Arial" w:hAnsi="Arial"/>
                <w:sz w:val="16"/>
                <w:szCs w:val="16"/>
                <w:color w:val="auto"/>
              </w:rPr>
              <w:t>1,756,461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16,450</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w w:val="92"/>
              </w:rPr>
              <w:t>3.80 %</w:t>
            </w:r>
          </w:p>
        </w:tc>
        <w:tc>
          <w:tcPr>
            <w:tcW w:w="0" w:type="dxa"/>
            <w:vAlign w:val="bottom"/>
          </w:tcPr>
          <w:p>
            <w:pPr>
              <w:spacing w:after="0"/>
              <w:rPr>
                <w:sz w:val="1"/>
                <w:szCs w:val="1"/>
                <w:color w:val="auto"/>
              </w:rPr>
            </w:pPr>
          </w:p>
        </w:tc>
      </w:tr>
      <w:tr>
        <w:trPr>
          <w:trHeight w:val="166"/>
        </w:trPr>
        <w:tc>
          <w:tcPr>
            <w:tcW w:w="25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Interest-bearing deposits and fed</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43,973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52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57,870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52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funds sold</w:t>
            </w: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Taxable securities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1,095,486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9,803</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1,189,849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5,358</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272,783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380,464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securities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1,368,269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11,648</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1,570,313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8,428</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interest-earning 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3,331,920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34,716</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3,384,644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24,897</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Non-interest-earning assets</w:t>
            </w: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257,675</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201,451</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26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3,589,595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3,586,095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5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Liabilities and shareholders’</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equity:</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0"/>
              <w:spacing w:after="0"/>
              <w:rPr>
                <w:sz w:val="20"/>
                <w:szCs w:val="20"/>
                <w:color w:val="auto"/>
              </w:rPr>
            </w:pPr>
            <w:r>
              <w:rPr>
                <w:rFonts w:ascii="Arial" w:cs="Arial" w:eastAsia="Arial" w:hAnsi="Arial"/>
                <w:sz w:val="16"/>
                <w:szCs w:val="16"/>
                <w:color w:val="auto"/>
              </w:rPr>
              <w:t>Deposits: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Non-interest-bearing demand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923,039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240"/>
              <w:spacing w:after="0"/>
              <w:rPr>
                <w:sz w:val="20"/>
                <w:szCs w:val="20"/>
                <w:color w:val="auto"/>
              </w:rPr>
            </w:pPr>
            <w:r>
              <w:rPr>
                <w:rFonts w:ascii="Arial" w:cs="Arial" w:eastAsia="Arial" w:hAnsi="Arial"/>
                <w:sz w:val="16"/>
                <w:szCs w:val="16"/>
                <w:color w:val="auto"/>
              </w:rPr>
              <w:t>Interest-bearing demand</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572,547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199</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w w:val="92"/>
              </w:rPr>
              <w:t>0.14 %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601,097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w w:val="92"/>
              </w:rPr>
              <w:t>0.02 %</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Savings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1,018,851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1,120,207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6"/>
        </w:trPr>
        <w:tc>
          <w:tcPr>
            <w:tcW w:w="2540" w:type="dxa"/>
            <w:vAlign w:val="bottom"/>
          </w:tcPr>
          <w:p>
            <w:pPr>
              <w:ind w:left="240"/>
              <w:spacing w:after="0"/>
              <w:rPr>
                <w:sz w:val="20"/>
                <w:szCs w:val="20"/>
                <w:color w:val="auto"/>
              </w:rPr>
            </w:pPr>
            <w:r>
              <w:rPr>
                <w:rFonts w:ascii="Arial" w:cs="Arial" w:eastAsia="Arial" w:hAnsi="Arial"/>
                <w:sz w:val="16"/>
                <w:szCs w:val="16"/>
                <w:color w:val="auto"/>
              </w:rPr>
              <w:t>Time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411,785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2,530</w:t>
            </w:r>
          </w:p>
        </w:tc>
        <w:tc>
          <w:tcPr>
            <w:tcW w:w="100" w:type="dxa"/>
            <w:vAlign w:val="bottom"/>
          </w:tcPr>
          <w:p>
            <w:pPr>
              <w:spacing w:after="0"/>
              <w:rPr>
                <w:sz w:val="18"/>
                <w:szCs w:val="18"/>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279,253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w w:val="95"/>
              </w:rPr>
              <w:t>Total interest-bearing deposits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2,003,183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5,402</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2,000,557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0"/>
        </w:trPr>
        <w:tc>
          <w:tcPr>
            <w:tcW w:w="2540" w:type="dxa"/>
            <w:vAlign w:val="bottom"/>
          </w:tcPr>
          <w:p>
            <w:pPr>
              <w:ind w:left="680"/>
              <w:spacing w:after="0"/>
              <w:rPr>
                <w:sz w:val="20"/>
                <w:szCs w:val="20"/>
                <w:color w:val="auto"/>
              </w:rPr>
            </w:pPr>
            <w:r>
              <w:rPr>
                <w:rFonts w:ascii="Arial" w:cs="Arial" w:eastAsia="Arial" w:hAnsi="Arial"/>
                <w:sz w:val="16"/>
                <w:szCs w:val="16"/>
                <w:color w:val="auto"/>
              </w:rPr>
              <w:t>Total deposits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2,926,222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5,402</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2,934,675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399</w:t>
            </w:r>
          </w:p>
        </w:tc>
        <w:tc>
          <w:tcPr>
            <w:tcW w:w="1520" w:type="dxa"/>
            <w:vAlign w:val="bottom"/>
            <w:gridSpan w:val="2"/>
          </w:tcPr>
          <w:p>
            <w:pPr>
              <w:ind w:left="104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FHLB advances and other</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4,153</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257,051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13"/>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interest-bearing liabilities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2,361,307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9,555</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2,257,608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Non-interest-bearing liabilities</w:t>
            </w: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23,588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20,949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281,661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373,420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40" w:type="dxa"/>
            <w:vAlign w:val="bottom"/>
          </w:tcPr>
          <w:p>
            <w:pPr>
              <w:ind w:left="460"/>
              <w:spacing w:after="0"/>
              <w:rPr>
                <w:sz w:val="20"/>
                <w:szCs w:val="20"/>
                <w:color w:val="auto"/>
              </w:rPr>
            </w:pPr>
            <w:r>
              <w:rPr>
                <w:rFonts w:ascii="Arial" w:cs="Arial" w:eastAsia="Arial" w:hAnsi="Arial"/>
                <w:sz w:val="16"/>
                <w:szCs w:val="16"/>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3,589,595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3,586,095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5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540" w:type="dxa"/>
            <w:vAlign w:val="bottom"/>
          </w:tcPr>
          <w:p>
            <w:pPr>
              <w:ind w:left="20"/>
              <w:spacing w:after="0" w:line="166" w:lineRule="exact"/>
              <w:rPr>
                <w:sz w:val="20"/>
                <w:szCs w:val="20"/>
                <w:color w:val="auto"/>
              </w:rPr>
            </w:pPr>
            <w:r>
              <w:rPr>
                <w:rFonts w:ascii="Arial" w:cs="Arial" w:eastAsia="Arial" w:hAnsi="Arial"/>
                <w:sz w:val="16"/>
                <w:szCs w:val="16"/>
                <w:color w:val="auto"/>
              </w:rPr>
              <w:t>Taxable-equivalent net interest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25,161</w:t>
            </w:r>
          </w:p>
        </w:tc>
        <w:tc>
          <w:tcPr>
            <w:tcW w:w="100" w:type="dxa"/>
            <w:vAlign w:val="bottom"/>
            <w:vMerge w:val="restart"/>
          </w:tcPr>
          <w:p>
            <w:pPr>
              <w:spacing w:after="0"/>
              <w:rPr>
                <w:sz w:val="14"/>
                <w:szCs w:val="14"/>
                <w:color w:val="auto"/>
              </w:rPr>
            </w:pPr>
          </w:p>
        </w:tc>
        <w:tc>
          <w:tcPr>
            <w:tcW w:w="1420" w:type="dxa"/>
            <w:vAlign w:val="bottom"/>
            <w:vMerge w:val="restart"/>
          </w:tcPr>
          <w:p>
            <w:pPr>
              <w:ind w:left="940"/>
              <w:spacing w:after="0"/>
              <w:rPr>
                <w:sz w:val="20"/>
                <w:szCs w:val="20"/>
                <w:color w:val="auto"/>
              </w:rPr>
            </w:pPr>
            <w:r>
              <w:rPr>
                <w:rFonts w:ascii="Arial" w:cs="Arial" w:eastAsia="Arial" w:hAnsi="Arial"/>
                <w:sz w:val="16"/>
                <w:szCs w:val="16"/>
                <w:color w:val="auto"/>
                <w:w w:val="92"/>
              </w:rPr>
              <w:t>2.58 %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24,116</w:t>
            </w:r>
          </w:p>
        </w:tc>
        <w:tc>
          <w:tcPr>
            <w:tcW w:w="100" w:type="dxa"/>
            <w:vAlign w:val="bottom"/>
            <w:vMerge w:val="restart"/>
          </w:tcPr>
          <w:p>
            <w:pPr>
              <w:spacing w:after="0"/>
              <w:rPr>
                <w:sz w:val="14"/>
                <w:szCs w:val="14"/>
                <w:color w:val="auto"/>
              </w:rPr>
            </w:pPr>
          </w:p>
        </w:tc>
        <w:tc>
          <w:tcPr>
            <w:tcW w:w="1420" w:type="dxa"/>
            <w:vAlign w:val="bottom"/>
            <w:vMerge w:val="restart"/>
          </w:tcPr>
          <w:p>
            <w:pPr>
              <w:ind w:left="940"/>
              <w:spacing w:after="0"/>
              <w:rPr>
                <w:sz w:val="20"/>
                <w:szCs w:val="20"/>
                <w:color w:val="auto"/>
              </w:rPr>
            </w:pPr>
            <w:r>
              <w:rPr>
                <w:rFonts w:ascii="Arial" w:cs="Arial" w:eastAsia="Arial" w:hAnsi="Arial"/>
                <w:sz w:val="16"/>
                <w:szCs w:val="16"/>
                <w:color w:val="auto"/>
                <w:w w:val="92"/>
              </w:rPr>
              <w:t>2.84 %</w:t>
            </w:r>
          </w:p>
        </w:tc>
        <w:tc>
          <w:tcPr>
            <w:tcW w:w="0" w:type="dxa"/>
            <w:vAlign w:val="bottom"/>
          </w:tcPr>
          <w:p>
            <w:pPr>
              <w:spacing w:after="0"/>
              <w:rPr>
                <w:sz w:val="1"/>
                <w:szCs w:val="1"/>
                <w:color w:val="auto"/>
              </w:rPr>
            </w:pPr>
          </w:p>
        </w:tc>
      </w:tr>
      <w:tr>
        <w:trPr>
          <w:trHeight w:val="212"/>
        </w:trPr>
        <w:tc>
          <w:tcPr>
            <w:tcW w:w="2540" w:type="dxa"/>
            <w:vAlign w:val="bottom"/>
            <w:tcBorders>
              <w:bottom w:val="single" w:sz="8" w:color="CCEEFF"/>
            </w:tcBorders>
          </w:tcPr>
          <w:p>
            <w:pPr>
              <w:ind w:left="20"/>
              <w:spacing w:after="0" w:line="213" w:lineRule="exact"/>
              <w:rPr>
                <w:sz w:val="20"/>
                <w:szCs w:val="20"/>
                <w:color w:val="auto"/>
              </w:rPr>
            </w:pPr>
            <w:r>
              <w:rPr>
                <w:rFonts w:ascii="Arial" w:cs="Arial" w:eastAsia="Arial" w:hAnsi="Arial"/>
                <w:sz w:val="16"/>
                <w:szCs w:val="16"/>
                <w:color w:val="auto"/>
              </w:rPr>
              <w:t xml:space="preserve">income /net interest spread </w:t>
            </w:r>
            <w:r>
              <w:rPr>
                <w:rFonts w:ascii="Arial" w:cs="Arial" w:eastAsia="Arial" w:hAnsi="Arial"/>
                <w:sz w:val="21"/>
                <w:szCs w:val="21"/>
                <w:color w:val="auto"/>
                <w:vertAlign w:val="superscript"/>
              </w:rPr>
              <w:t>(4)</w:t>
            </w: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54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rPr>
              <w:t>Taxable-equivalent net interest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w w:val="92"/>
              </w:rPr>
              <w:t>3.06 %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w w:val="92"/>
              </w:rPr>
              <w:t>2.89 %</w:t>
            </w: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80"/>
              <w:spacing w:after="0" w:line="213" w:lineRule="exact"/>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40" w:type="dxa"/>
            <w:vAlign w:val="bottom"/>
          </w:tcPr>
          <w:p>
            <w:pPr>
              <w:ind w:left="20"/>
              <w:spacing w:after="0"/>
              <w:rPr>
                <w:sz w:val="20"/>
                <w:szCs w:val="20"/>
                <w:color w:val="auto"/>
              </w:rPr>
            </w:pPr>
            <w:r>
              <w:rPr>
                <w:rFonts w:ascii="Arial" w:cs="Arial" w:eastAsia="Arial" w:hAnsi="Arial"/>
                <w:sz w:val="16"/>
                <w:szCs w:val="16"/>
                <w:color w:val="auto"/>
              </w:rPr>
              <w:t>Taxable-equivalent net adjustment</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24,774</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23,471</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20"/>
              <w:spacing w:after="0"/>
              <w:rPr>
                <w:sz w:val="20"/>
                <w:szCs w:val="20"/>
                <w:color w:val="auto"/>
              </w:rPr>
            </w:pPr>
            <w:r>
              <w:rPr>
                <w:rFonts w:ascii="Arial" w:cs="Arial" w:eastAsia="Arial" w:hAnsi="Arial"/>
                <w:sz w:val="16"/>
                <w:szCs w:val="16"/>
                <w:color w:val="auto"/>
              </w:rPr>
              <w:t>Net interest-earning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970,613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20" w:type="dxa"/>
            <w:vAlign w:val="bottom"/>
            <w:gridSpan w:val="3"/>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1,127,036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Non-accrual loans are included in average loan balances.</w:t>
      </w:r>
    </w:p>
    <w:p>
      <w:pPr>
        <w:spacing w:after="0" w:line="109"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Loan fees are included in the calculation of interest income.</w:t>
      </w:r>
    </w:p>
    <w:p>
      <w:pPr>
        <w:spacing w:after="0" w:line="122"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Yields and interest income on tax-exempt assets are computed on a taxable-equivalent basis assuming a 21% tax rate.</w:t>
      </w:r>
    </w:p>
    <w:p>
      <w:pPr>
        <w:spacing w:after="0" w:line="122" w:lineRule="exact"/>
        <w:rPr>
          <w:rFonts w:ascii="Arial" w:cs="Arial" w:eastAsia="Arial" w:hAnsi="Arial"/>
          <w:sz w:val="14"/>
          <w:szCs w:val="14"/>
          <w:color w:val="auto"/>
        </w:rPr>
      </w:pPr>
    </w:p>
    <w:p>
      <w:pPr>
        <w:ind w:left="660" w:hanging="328"/>
        <w:spacing w:after="0" w:line="293"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interest rate spread represents the difference between the fully taxable-equivalent weighted-average yield on interest-earning assets and the weighted-average cost of interest-bearing liabilities for the period.</w:t>
      </w:r>
    </w:p>
    <w:p>
      <w:pPr>
        <w:spacing w:after="0" w:line="65" w:lineRule="exact"/>
        <w:rPr>
          <w:rFonts w:ascii="Arial" w:cs="Arial" w:eastAsia="Arial" w:hAnsi="Arial"/>
          <w:sz w:val="14"/>
          <w:szCs w:val="14"/>
          <w:color w:val="auto"/>
        </w:rPr>
      </w:pPr>
    </w:p>
    <w:p>
      <w:pPr>
        <w:ind w:left="660" w:hanging="328"/>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net interest margin represents fully taxable-equivalent net interest income as a percent of average interest-earning assets for the period.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interest margin as presented above is calculated by dividing fully tax-equivalent (“FTE”) net interest income by total average earning assets. Net interest income, on an FTE basis, is a non-GAAP financial measure that the Company believes to provide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income. FTE net interest income is calculated by adding the tax benefit on certain financial interest earning assets, whose interest is tax-exempt, to total interest income then subtracting total interest expense. As a non-GAAP measure, FTE interest income should not be considered as a substitute for the nearest comparable GAAP measure, net interest income. The following table reconciles net interest income to FTE net interest income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 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 2022</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Financial Measurements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Income - Loans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22,760</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16,450</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 Securities taxable</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5,358</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Income - Securities tax-exempt</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2,426</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 Other interest income</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7500" w:type="dxa"/>
            <w:vAlign w:val="bottom"/>
          </w:tcPr>
          <w:p>
            <w:pPr>
              <w:ind w:left="240"/>
              <w:spacing w:after="0"/>
              <w:rPr>
                <w:sz w:val="20"/>
                <w:szCs w:val="20"/>
                <w:color w:val="auto"/>
              </w:rPr>
            </w:pPr>
            <w:r>
              <w:rPr>
                <w:rFonts w:ascii="Arial" w:cs="Arial" w:eastAsia="Arial" w:hAnsi="Arial"/>
                <w:sz w:val="16"/>
                <w:szCs w:val="16"/>
                <w:color w:val="auto"/>
              </w:rPr>
              <w:t>Interest Expense - Deposits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5,401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9"/>
        </w:trPr>
        <w:tc>
          <w:tcPr>
            <w:tcW w:w="7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Expense - Borrowed funds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13"/>
        </w:trPr>
        <w:tc>
          <w:tcPr>
            <w:tcW w:w="7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Interest Expense - Other</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Interest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24,774</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23,471</w:t>
            </w:r>
          </w:p>
        </w:tc>
      </w:tr>
      <w:tr>
        <w:trPr>
          <w:trHeight w:val="253"/>
        </w:trPr>
        <w:tc>
          <w:tcPr>
            <w:tcW w:w="75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Non-GAAP Financial Measurements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7500" w:type="dxa"/>
            <w:vAlign w:val="bottom"/>
          </w:tcPr>
          <w:p>
            <w:pPr>
              <w:ind w:left="240"/>
              <w:spacing w:after="0"/>
              <w:rPr>
                <w:sz w:val="20"/>
                <w:szCs w:val="20"/>
                <w:color w:val="auto"/>
              </w:rPr>
            </w:pPr>
            <w:r>
              <w:rPr>
                <w:rFonts w:ascii="Arial" w:cs="Arial" w:eastAsia="Arial" w:hAnsi="Arial"/>
                <w:sz w:val="16"/>
                <w:szCs w:val="16"/>
                <w:color w:val="auto"/>
              </w:rPr>
              <w:t>Add: Tax Benefit on Tax-Exempt Interest Income - Securities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387</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645</w:t>
            </w:r>
          </w:p>
        </w:tc>
      </w:tr>
      <w:tr>
        <w:trPr>
          <w:trHeight w:val="210"/>
        </w:trPr>
        <w:tc>
          <w:tcPr>
            <w:tcW w:w="750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Total Tax Benefit on Tax-Exempt Interest Income </w:t>
            </w:r>
            <w:r>
              <w:rPr>
                <w:rFonts w:ascii="Arial" w:cs="Arial" w:eastAsia="Arial" w:hAnsi="Arial"/>
                <w:sz w:val="21"/>
                <w:szCs w:val="21"/>
                <w:color w:val="auto"/>
                <w:vertAlign w:val="superscript"/>
              </w:rPr>
              <w:t>(1)</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r>
      <w:tr>
        <w:trPr>
          <w:trHeight w:val="209"/>
        </w:trPr>
        <w:tc>
          <w:tcPr>
            <w:tcW w:w="7500" w:type="dxa"/>
            <w:vAlign w:val="bottom"/>
          </w:tcPr>
          <w:p>
            <w:pPr>
              <w:ind w:left="20"/>
              <w:spacing w:after="0"/>
              <w:rPr>
                <w:sz w:val="20"/>
                <w:szCs w:val="20"/>
                <w:color w:val="auto"/>
              </w:rPr>
            </w:pPr>
            <w:r>
              <w:rPr>
                <w:rFonts w:ascii="Arial" w:cs="Arial" w:eastAsia="Arial" w:hAnsi="Arial"/>
                <w:sz w:val="16"/>
                <w:szCs w:val="16"/>
                <w:color w:val="auto"/>
              </w:rPr>
              <w:t>Tax-Equivalent Net Interest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24,116</w:t>
            </w:r>
          </w:p>
        </w:tc>
      </w:tr>
    </w:tbl>
    <w:p>
      <w:pPr>
        <w:spacing w:after="0" w:line="18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Tax benefit was calculated using the federal statutory tax rate of 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Rate/Volume Analysis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spacing w:after="0" w:line="159" w:lineRule="exact"/>
        <w:rPr>
          <w:sz w:val="20"/>
          <w:szCs w:val="20"/>
          <w:color w:val="auto"/>
        </w:rPr>
      </w:pPr>
    </w:p>
    <w:p>
      <w:pPr>
        <w:jc w:val="center"/>
        <w:ind w:left="6580"/>
        <w:spacing w:after="0"/>
        <w:rPr>
          <w:sz w:val="20"/>
          <w:szCs w:val="20"/>
          <w:color w:val="auto"/>
        </w:rPr>
      </w:pPr>
      <w:r>
        <w:rPr>
          <w:rFonts w:ascii="Arial" w:cs="Arial" w:eastAsia="Arial" w:hAnsi="Arial"/>
          <w:sz w:val="16"/>
          <w:szCs w:val="16"/>
          <w:b w:val="1"/>
          <w:bCs w:val="1"/>
          <w:color w:val="auto"/>
        </w:rPr>
        <w:t>Three Months Ended March 31, 2023, compared to March 31,</w:t>
      </w:r>
    </w:p>
    <w:p>
      <w:pPr>
        <w:jc w:val="center"/>
        <w:ind w:left="6580"/>
        <w:spacing w:after="0"/>
        <w:rPr>
          <w:sz w:val="20"/>
          <w:szCs w:val="20"/>
          <w:color w:val="auto"/>
        </w:rPr>
      </w:pPr>
      <w:r>
        <w:rPr>
          <w:rFonts w:ascii="Arial" w:cs="Arial" w:eastAsia="Arial" w:hAnsi="Arial"/>
          <w:sz w:val="16"/>
          <w:szCs w:val="16"/>
          <w:b w:val="1"/>
          <w:bCs w:val="1"/>
          <w:color w:val="auto"/>
        </w:rPr>
        <w:t>2022</w:t>
      </w:r>
    </w:p>
    <w:p>
      <w:pPr>
        <w:spacing w:after="0" w:line="14"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Dollar Increase (Decrease) Due to Change in: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Average Volume</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Average Rate</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Net Change</w:t>
            </w:r>
          </w:p>
        </w:tc>
      </w:tr>
      <w:tr>
        <w:trPr>
          <w:trHeight w:val="212"/>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the interest-earning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6600" w:type="dxa"/>
            <w:vAlign w:val="bottom"/>
          </w:tcPr>
          <w:p>
            <w:pPr>
              <w:ind w:left="240"/>
              <w:spacing w:after="0"/>
              <w:rPr>
                <w:sz w:val="20"/>
                <w:szCs w:val="20"/>
                <w:color w:val="auto"/>
              </w:rPr>
            </w:pPr>
            <w:r>
              <w:rPr>
                <w:rFonts w:ascii="Arial" w:cs="Arial" w:eastAsia="Arial" w:hAnsi="Arial"/>
                <w:sz w:val="16"/>
                <w:szCs w:val="16"/>
                <w:color w:val="auto"/>
              </w:rPr>
              <w:t>Loans, gross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7,548</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18,041</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25,589</w:t>
            </w:r>
          </w:p>
        </w:tc>
      </w:tr>
      <w:tr>
        <w:trPr>
          <w:trHeight w:val="219"/>
        </w:trPr>
        <w:tc>
          <w:tcPr>
            <w:tcW w:w="660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Securities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13,060</w:t>
            </w:r>
          </w:p>
        </w:tc>
      </w:tr>
      <w:tr>
        <w:trPr>
          <w:trHeight w:val="213"/>
        </w:trPr>
        <w:tc>
          <w:tcPr>
            <w:tcW w:w="66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Interest-bearing deposits and fed funds sold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w:t>
            </w:r>
          </w:p>
        </w:tc>
      </w:tr>
      <w:tr>
        <w:trPr>
          <w:trHeight w:val="213"/>
        </w:trPr>
        <w:tc>
          <w:tcPr>
            <w:tcW w:w="6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interest income on interest-earning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39,642</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39,820</w:t>
            </w:r>
          </w:p>
        </w:tc>
      </w:tr>
      <w:tr>
        <w:trPr>
          <w:trHeight w:val="193"/>
        </w:trPr>
        <w:tc>
          <w:tcPr>
            <w:tcW w:w="6600" w:type="dxa"/>
            <w:vAlign w:val="bottom"/>
          </w:tcPr>
          <w:p>
            <w:pPr>
              <w:ind w:left="20"/>
              <w:spacing w:after="0"/>
              <w:rPr>
                <w:sz w:val="20"/>
                <w:szCs w:val="20"/>
                <w:color w:val="auto"/>
              </w:rPr>
            </w:pPr>
            <w:r>
              <w:rPr>
                <w:rFonts w:ascii="Arial" w:cs="Arial" w:eastAsia="Arial" w:hAnsi="Arial"/>
                <w:sz w:val="16"/>
                <w:szCs w:val="16"/>
                <w:color w:val="auto"/>
              </w:rPr>
              <w:t>Expense from the interest-bearing liabilities:</w:t>
            </w: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219"/>
        </w:trPr>
        <w:tc>
          <w:tcPr>
            <w:tcW w:w="6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Interest-bearing demand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r>
      <w:tr>
        <w:trPr>
          <w:trHeight w:val="213"/>
        </w:trPr>
        <w:tc>
          <w:tcPr>
            <w:tcW w:w="6600" w:type="dxa"/>
            <w:vAlign w:val="bottom"/>
          </w:tcPr>
          <w:p>
            <w:pPr>
              <w:ind w:left="240"/>
              <w:spacing w:after="0"/>
              <w:rPr>
                <w:sz w:val="20"/>
                <w:szCs w:val="20"/>
                <w:color w:val="auto"/>
              </w:rPr>
            </w:pPr>
            <w:r>
              <w:rPr>
                <w:rFonts w:ascii="Arial" w:cs="Arial" w:eastAsia="Arial" w:hAnsi="Arial"/>
                <w:sz w:val="16"/>
                <w:szCs w:val="16"/>
                <w:color w:val="auto"/>
              </w:rPr>
              <w:t>Savings deposits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10,065</w:t>
            </w:r>
          </w:p>
        </w:tc>
      </w:tr>
      <w:tr>
        <w:trPr>
          <w:trHeight w:val="219"/>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Time</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9,556</w:t>
            </w:r>
          </w:p>
        </w:tc>
      </w:tr>
      <w:tr>
        <w:trPr>
          <w:trHeight w:val="210"/>
        </w:trPr>
        <w:tc>
          <w:tcPr>
            <w:tcW w:w="6600" w:type="dxa"/>
            <w:vAlign w:val="bottom"/>
          </w:tcPr>
          <w:p>
            <w:pPr>
              <w:ind w:left="460"/>
              <w:spacing w:after="0"/>
              <w:rPr>
                <w:sz w:val="20"/>
                <w:szCs w:val="20"/>
                <w:color w:val="auto"/>
              </w:rPr>
            </w:pPr>
            <w:r>
              <w:rPr>
                <w:rFonts w:ascii="Arial" w:cs="Arial" w:eastAsia="Arial" w:hAnsi="Arial"/>
                <w:sz w:val="16"/>
                <w:szCs w:val="16"/>
                <w:color w:val="auto"/>
              </w:rPr>
              <w:t>Total interest expense on interest-bearing deposits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20,284</w:t>
            </w:r>
          </w:p>
        </w:tc>
      </w:tr>
      <w:tr>
        <w:trPr>
          <w:trHeight w:val="21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15,296</w:t>
            </w:r>
          </w:p>
        </w:tc>
      </w:tr>
      <w:tr>
        <w:trPr>
          <w:trHeight w:val="210"/>
        </w:trPr>
        <w:tc>
          <w:tcPr>
            <w:tcW w:w="6600" w:type="dxa"/>
            <w:vAlign w:val="bottom"/>
          </w:tcPr>
          <w:p>
            <w:pPr>
              <w:ind w:left="680"/>
              <w:spacing w:after="0"/>
              <w:rPr>
                <w:sz w:val="20"/>
                <w:szCs w:val="20"/>
                <w:color w:val="auto"/>
              </w:rPr>
            </w:pPr>
            <w:r>
              <w:rPr>
                <w:rFonts w:ascii="Arial" w:cs="Arial" w:eastAsia="Arial" w:hAnsi="Arial"/>
                <w:sz w:val="16"/>
                <w:szCs w:val="16"/>
                <w:b w:val="1"/>
                <w:bCs w:val="1"/>
                <w:color w:val="auto"/>
              </w:rPr>
              <w:t>Taxable-equivalent net interest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4,240</w:t>
            </w:r>
          </w:p>
        </w:tc>
      </w:tr>
    </w:tbl>
    <w:p>
      <w:pPr>
        <w:spacing w:after="0" w:line="18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Yields and interest income on tax-exempt securities have been computed on a taxable-equivalent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interest income was $34.3 million for the three months ended March 31, 2023, compared to $24.3 million for the three months ended March 31, 2022, an increase of 41.2%. The increase in interest income was primarily driven by an increase in both rates and volume for the loan portfolio along with rates increasing for the securities portfolio. Interest income on loans and securities increased by $6.3 million and $3.5 million, respectively.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interest expense was $9.6 million for the three months ended March 31, 2023, compared to $0.8 million for three months ended March 31, 2022. The increase in interest expense was primarily driven by increasing rates for both deposits and borrowed funds. The average interest-bearing balances also increased, but primarily, the increase in interest rate expense was due to higher rates. Interest expense on interest-bearing deposits and borrowed funds increased by $5.0 million and $3.8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(Recapture of) Credit Losses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provision for credit losses was $0.5 million for the three months ended March 31, 2023, compared to a recapture of $2.6 million for the three months ended March 31, 2022. The increased provision expense was primarily due to the Company estimating credit losses using an expected life-time model versus an incurred model. Additionally, loan balances have risen significantly for the three months ended March 31, 2023, versus the three months ended March 31, 2022. See </w:t>
      </w:r>
      <w:r>
        <w:rPr>
          <w:rFonts w:ascii="Arial" w:cs="Arial" w:eastAsia="Arial" w:hAnsi="Arial"/>
          <w:sz w:val="17"/>
          <w:szCs w:val="17"/>
          <w:u w:val="single" w:color="auto"/>
          <w:color w:val="0000FF"/>
        </w:rPr>
        <w:t>Note 4 - Allowance for Credit Losses</w:t>
      </w:r>
      <w:r>
        <w:rPr>
          <w:rFonts w:ascii="Arial" w:cs="Arial" w:eastAsia="Arial" w:hAnsi="Arial"/>
          <w:sz w:val="17"/>
          <w:szCs w:val="17"/>
          <w:color w:val="auto"/>
        </w:rPr>
        <w:t xml:space="preserve"> in Notes to Consolidated Financial Statements for further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various components of our non-interest income for the periods indicated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302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Increase (Decrease)</w:t>
            </w:r>
          </w:p>
        </w:tc>
      </w:tr>
      <w:tr>
        <w:trPr>
          <w:trHeight w:val="210"/>
        </w:trPr>
        <w:tc>
          <w:tcPr>
            <w:tcW w:w="49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Percent</w:t>
            </w:r>
          </w:p>
        </w:tc>
      </w:tr>
      <w:tr>
        <w:trPr>
          <w:trHeight w:val="212"/>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Fiduciary and wealth management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42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Service charges and fees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0.1</w:t>
            </w: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gains (losses) on securities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Income from Company-owned life insurance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4.3</w:t>
            </w:r>
          </w:p>
        </w:tc>
      </w:tr>
      <w:tr>
        <w:trPr>
          <w:trHeight w:val="21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27.2</w:t>
            </w:r>
          </w:p>
        </w:tc>
      </w:tr>
      <w:tr>
        <w:trPr>
          <w:trHeight w:val="209"/>
        </w:trPr>
        <w:tc>
          <w:tcPr>
            <w:tcW w:w="4960" w:type="dxa"/>
            <w:vAlign w:val="bottom"/>
          </w:tcPr>
          <w:p>
            <w:pPr>
              <w:ind w:left="2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increased 2.4% for the three months ended March 31, 2023, compared to the three months ended March 31, 2022. The increase was primarily driven by an increase in other non-interest income of $146 thousand and an increase in fiduciary and wealth management income of $32 thousand when compared to the three months ended March 31, 2022. The increase was partially offset by a decrease in net gains from securities of $104 thousand when compared to the prior year quarter.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various components of our non-interest expense for the periods indicated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302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Increase (Decrease)</w:t>
            </w:r>
          </w:p>
        </w:tc>
      </w:tr>
      <w:tr>
        <w:trPr>
          <w:trHeight w:val="210"/>
        </w:trPr>
        <w:tc>
          <w:tcPr>
            <w:tcW w:w="49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Percent</w:t>
            </w:r>
          </w:p>
        </w:tc>
      </w:tr>
      <w:tr>
        <w:trPr>
          <w:trHeight w:val="212"/>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and wages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9,494</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9,529</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68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w w:val="93"/>
              </w:rPr>
              <w:t>(0.4)%</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Pensions and other employee benefits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429</w:t>
            </w:r>
          </w:p>
        </w:tc>
        <w:tc>
          <w:tcPr>
            <w:tcW w:w="1680" w:type="dxa"/>
            <w:vAlign w:val="bottom"/>
            <w:gridSpan w:val="2"/>
          </w:tcPr>
          <w:p>
            <w:pPr>
              <w:jc w:val="right"/>
              <w:ind w:right="119"/>
              <w:spacing w:after="0"/>
              <w:rPr>
                <w:sz w:val="20"/>
                <w:szCs w:val="20"/>
                <w:color w:val="auto"/>
              </w:rPr>
            </w:pPr>
            <w:r>
              <w:rPr>
                <w:rFonts w:ascii="Arial" w:cs="Arial" w:eastAsia="Arial" w:hAnsi="Arial"/>
                <w:sz w:val="16"/>
                <w:szCs w:val="16"/>
                <w:color w:val="auto"/>
              </w:rPr>
              <w:t>21.0</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680" w:type="dxa"/>
            <w:vAlign w:val="bottom"/>
            <w:gridSpan w:val="2"/>
            <w:shd w:val="clear" w:color="auto" w:fill="CCEEFF"/>
          </w:tcPr>
          <w:p>
            <w:pPr>
              <w:ind w:left="1220"/>
              <w:spacing w:after="0"/>
              <w:rPr>
                <w:sz w:val="20"/>
                <w:szCs w:val="20"/>
                <w:color w:val="auto"/>
              </w:rPr>
            </w:pPr>
            <w:r>
              <w:rPr>
                <w:rFonts w:ascii="Arial" w:cs="Arial" w:eastAsia="Arial" w:hAnsi="Arial"/>
                <w:sz w:val="16"/>
                <w:szCs w:val="16"/>
                <w:color w:val="auto"/>
              </w:rPr>
              <w:t>(5.8)</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Equipment rentals, depreciation and maintenance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c>
          <w:tcPr>
            <w:tcW w:w="1680" w:type="dxa"/>
            <w:vAlign w:val="bottom"/>
            <w:gridSpan w:val="2"/>
          </w:tcPr>
          <w:p>
            <w:pPr>
              <w:ind w:left="1220"/>
              <w:spacing w:after="0"/>
              <w:rPr>
                <w:sz w:val="20"/>
                <w:szCs w:val="20"/>
                <w:color w:val="auto"/>
              </w:rPr>
            </w:pPr>
            <w:r>
              <w:rPr>
                <w:rFonts w:ascii="Arial" w:cs="Arial" w:eastAsia="Arial" w:hAnsi="Arial"/>
                <w:sz w:val="16"/>
                <w:szCs w:val="16"/>
                <w:color w:val="auto"/>
              </w:rPr>
              <w:t>(2.9)</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20.0</w:t>
            </w:r>
          </w:p>
        </w:tc>
      </w:tr>
      <w:tr>
        <w:trPr>
          <w:trHeight w:val="206"/>
        </w:trPr>
        <w:tc>
          <w:tcPr>
            <w:tcW w:w="4980" w:type="dxa"/>
            <w:vAlign w:val="bottom"/>
          </w:tcPr>
          <w:p>
            <w:pPr>
              <w:ind w:left="24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20,365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6.3 %</w:t>
            </w: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Non-interest expense increased 6.3% for the year ended March 31, 2023, compared to March 31, 2022. The main drivers for this increase included pensions and other employee benefits which increased by $429 thousand and an increase of $935 thousand in other non-interest expense. The increase was partially offset by decreases in occupancy of $89 thousand, a decrease in salaries and wages of $35 thousand, and a decrease in equipment rentals, depreciation and maintenance of $40 thousand. Additionally, the Company incurred legal and consulting expenses associated with filing its Registration Statement and other required SEC filings. See </w:t>
      </w:r>
      <w:r>
        <w:rPr>
          <w:rFonts w:ascii="Arial" w:cs="Arial" w:eastAsia="Arial" w:hAnsi="Arial"/>
          <w:sz w:val="18"/>
          <w:szCs w:val="18"/>
          <w:u w:val="single" w:color="auto"/>
          <w:color w:val="0000FF"/>
        </w:rPr>
        <w:t>Note 13 —Other Operating Expenses</w:t>
      </w:r>
      <w:r>
        <w:rPr>
          <w:rFonts w:ascii="Arial" w:cs="Arial" w:eastAsia="Arial" w:hAnsi="Arial"/>
          <w:sz w:val="18"/>
          <w:szCs w:val="18"/>
          <w:color w:val="auto"/>
        </w:rPr>
        <w:t xml:space="preserve"> in Notes to Consolidated Financial Statements for further information on “Other” non-interest expense.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was $0.6 million for the three months ended March 31, 2023, a decrease of $1.3 million from the tax provision for the three months ended March 31, 2022. The decrease was due to the Company being able to utilize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tax credits for the three months ended March 31, 2023. For the three months ended March 31, 2023, and March 31, 2022, our effective tax rates were 7.2% and 17.5%,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for the Period Ended March 31, 2023 and December 31, 2022</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Assets increased by $108 million to $3.67 billion as of March 31, 2023, compared to $3.56 billion as of December 31, 2022. Loans increased by $60 million from $1.87 billion as of December 31, 2022, to $1.93 billion as of March 31, 2023. Deposits increased by $112 million and amounted to $3.03 billion at March 31, 2023, compared to $2.92 billion at December 31, 2022. This increase in deposits was partially offset by a decrease in borrowed funds of $21.4 million as of March 31, 2023, compared to December 31,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AFS.</w:t>
      </w:r>
    </w:p>
    <w:p>
      <w:pPr>
        <w:spacing w:after="0" w:line="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modified to match changes in the loan and deposit portfolios. The majority of our AFS investment portfolio is comprised of obligations of states and municipalities and residential mortgage-backed securities. During the three months ended March 31, 2023, the unrealized losses on our holdings decreased from December 31, 2022, as the decrease in long-term interest rates had a positive impact on the value of our AFS portfolio.</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2023, the Company adopted the new CECL standard in accordance with ASU 2016-13, which changed the accounting framework by replacing the other-than-temporary impairment (“OTTI”) assessment with the recognition of an ACL. The Company determined that the declines in market value were due to increases in interest rates and market movements and not due to credit factors. Therefore, the Company has concluded that the unrealized losses for the AFS securities do not require an ACL at March 31, 2023. Under the prior OTTI framework, the Company did not record any cumulative OTTI expense as of December 31, 2022.</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sufficient access to liquidity such that management does not believe it would be necessary to sell any of its investment securities at a loss to offset any unexpected deposit outflows. Management believes the structure of the Bank’s investment portfolio is appropriately aligned with the rest of the balance sheet to protect against significant and unexpected charges against earnings and capital.</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reflect the amortized cost and fair market values for the total portfolio for each category of investment for March 31,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March 31, 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4"/>
              </w:rPr>
              <w:t>Amortized 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Gains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Securities Available-for-Sale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U.S. Treasuries and government agencies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197,875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19,456</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178,419</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Obligations of states and municipalities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547,896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468,362</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Residential mortgage backed - agency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56,991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52,670</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 backed - non-agency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349,123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321,150</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Commercial mortgage backed - agency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59,409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57,832</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mortgage backed - non-agency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183,225</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Asset backed</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95,317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92,599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8,528</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1,506,653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144,200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1,362,785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4"/>
              </w:rPr>
              <w:t>Amortized 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Gains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Securities Available-for-Sale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U.S. Treasuries and government agencies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198,154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23,161</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174,993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Obligations of states and municipalities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550,590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453,907</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Residential mortgage backed - agency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57,883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53,061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 backed - non-agency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365,983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339,295</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Commercial mortgage backed - agency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61,810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59,933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mortgage backed - non-agency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183,299</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Arial" w:cs="Arial" w:eastAsia="Arial" w:hAnsi="Arial"/>
                <w:sz w:val="16"/>
                <w:szCs w:val="16"/>
                <w:color w:val="auto"/>
              </w:rPr>
              <w:t>Asset backed</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101,791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98,626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8,643</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1,537,420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165,825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1,371,757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investment maturity table below summarizes contractual maturities for our investment securities at March 31, 2023. The actual timing of principal payments may differ from remaining contractual maturities because obligors may have the right to repay certain obligations with or without penalties. The overall weighted average duration of the Company’s investment portfolio is 4.0 years at March 31, 2023. The weighted-average yield below represents the effective yield for the investment securities and is calculated based on the amortized cost of each security (dollars in thousands). Interest on securities below excludes tax-equivalent adjustments.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center"/>
              <w:ind w:right="146"/>
              <w:spacing w:after="0"/>
              <w:rPr>
                <w:sz w:val="20"/>
                <w:szCs w:val="20"/>
                <w:color w:val="auto"/>
              </w:rPr>
            </w:pPr>
            <w:r>
              <w:rPr>
                <w:rFonts w:ascii="Arial" w:cs="Arial" w:eastAsia="Arial" w:hAnsi="Arial"/>
                <w:sz w:val="11"/>
                <w:szCs w:val="11"/>
                <w:b w:val="1"/>
                <w:bCs w:val="1"/>
                <w:color w:val="auto"/>
                <w:w w:val="89"/>
              </w:rPr>
              <w:t>March 31, 2023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jc w:val="right"/>
              <w:ind w:right="406"/>
              <w:spacing w:after="0"/>
              <w:rPr>
                <w:sz w:val="20"/>
                <w:szCs w:val="20"/>
                <w:color w:val="auto"/>
              </w:rPr>
            </w:pPr>
            <w:r>
              <w:rPr>
                <w:rFonts w:ascii="Arial" w:cs="Arial" w:eastAsia="Arial" w:hAnsi="Arial"/>
                <w:sz w:val="11"/>
                <w:szCs w:val="11"/>
                <w:b w:val="1"/>
                <w:bCs w:val="1"/>
                <w:color w:val="auto"/>
              </w:rPr>
              <w:t>One Year or Less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3"/>
          </w:tcPr>
          <w:p>
            <w:pPr>
              <w:jc w:val="right"/>
              <w:ind w:right="386"/>
              <w:spacing w:after="0"/>
              <w:rPr>
                <w:sz w:val="20"/>
                <w:szCs w:val="20"/>
                <w:color w:val="auto"/>
              </w:rPr>
            </w:pPr>
            <w:r>
              <w:rPr>
                <w:rFonts w:ascii="Arial" w:cs="Arial" w:eastAsia="Arial" w:hAnsi="Arial"/>
                <w:sz w:val="11"/>
                <w:szCs w:val="11"/>
                <w:b w:val="1"/>
                <w:bCs w:val="1"/>
                <w:color w:val="auto"/>
              </w:rPr>
              <w:t>One to Five Years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3"/>
          </w:tcPr>
          <w:p>
            <w:pPr>
              <w:jc w:val="center"/>
              <w:ind w:right="146"/>
              <w:spacing w:after="0"/>
              <w:rPr>
                <w:sz w:val="20"/>
                <w:szCs w:val="20"/>
                <w:color w:val="auto"/>
              </w:rPr>
            </w:pPr>
            <w:r>
              <w:rPr>
                <w:rFonts w:ascii="Arial" w:cs="Arial" w:eastAsia="Arial" w:hAnsi="Arial"/>
                <w:sz w:val="11"/>
                <w:szCs w:val="11"/>
                <w:b w:val="1"/>
                <w:bCs w:val="1"/>
                <w:color w:val="auto"/>
                <w:w w:val="85"/>
              </w:rPr>
              <w:t>Five to Ten Years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3"/>
          </w:tcPr>
          <w:p>
            <w:pPr>
              <w:jc w:val="right"/>
              <w:ind w:right="426"/>
              <w:spacing w:after="0"/>
              <w:rPr>
                <w:sz w:val="20"/>
                <w:szCs w:val="20"/>
                <w:color w:val="auto"/>
              </w:rPr>
            </w:pPr>
            <w:r>
              <w:rPr>
                <w:rFonts w:ascii="Arial" w:cs="Arial" w:eastAsia="Arial" w:hAnsi="Arial"/>
                <w:sz w:val="11"/>
                <w:szCs w:val="11"/>
                <w:b w:val="1"/>
                <w:bCs w:val="1"/>
                <w:color w:val="auto"/>
              </w:rPr>
              <w:t>After Ten Years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3"/>
          </w:tcPr>
          <w:p>
            <w:pPr>
              <w:ind w:left="56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0"/>
              </w:rPr>
              <w:t>Amortized Cost</w:t>
            </w:r>
          </w:p>
        </w:tc>
        <w:tc>
          <w:tcPr>
            <w:tcW w:w="80" w:type="dxa"/>
            <w:vAlign w:val="bottom"/>
          </w:tcPr>
          <w:p>
            <w:pPr>
              <w:spacing w:after="0"/>
              <w:rPr>
                <w:sz w:val="8"/>
                <w:szCs w:val="8"/>
                <w:color w:val="auto"/>
              </w:rPr>
            </w:pPr>
          </w:p>
        </w:tc>
        <w:tc>
          <w:tcPr>
            <w:tcW w:w="840" w:type="dxa"/>
            <w:vAlign w:val="bottom"/>
          </w:tcPr>
          <w:p>
            <w:pPr>
              <w:jc w:val="right"/>
              <w:ind w:right="146"/>
              <w:spacing w:after="0" w:line="102" w:lineRule="exact"/>
              <w:rPr>
                <w:sz w:val="20"/>
                <w:szCs w:val="20"/>
                <w:color w:val="auto"/>
              </w:rPr>
            </w:pPr>
            <w:r>
              <w:rPr>
                <w:rFonts w:ascii="Arial" w:cs="Arial" w:eastAsia="Arial" w:hAnsi="Arial"/>
                <w:sz w:val="11"/>
                <w:szCs w:val="11"/>
                <w:b w:val="1"/>
                <w:bCs w:val="1"/>
                <w:color w:val="auto"/>
              </w:rPr>
              <w:t>Weighted</w:t>
            </w:r>
          </w:p>
        </w:tc>
        <w:tc>
          <w:tcPr>
            <w:tcW w:w="80" w:type="dxa"/>
            <w:vAlign w:val="bottom"/>
          </w:tcPr>
          <w:p>
            <w:pPr>
              <w:spacing w:after="0"/>
              <w:rPr>
                <w:sz w:val="8"/>
                <w:szCs w:val="8"/>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88"/>
              </w:rPr>
              <w:t>Amortized Cost</w:t>
            </w:r>
          </w:p>
        </w:tc>
        <w:tc>
          <w:tcPr>
            <w:tcW w:w="100" w:type="dxa"/>
            <w:vAlign w:val="bottom"/>
          </w:tcPr>
          <w:p>
            <w:pPr>
              <w:spacing w:after="0"/>
              <w:rPr>
                <w:sz w:val="8"/>
                <w:szCs w:val="8"/>
                <w:color w:val="auto"/>
              </w:rPr>
            </w:pPr>
          </w:p>
        </w:tc>
        <w:tc>
          <w:tcPr>
            <w:tcW w:w="820" w:type="dxa"/>
            <w:vAlign w:val="bottom"/>
          </w:tcPr>
          <w:p>
            <w:pPr>
              <w:jc w:val="right"/>
              <w:ind w:right="146"/>
              <w:spacing w:after="0" w:line="102" w:lineRule="exact"/>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8"/>
                <w:szCs w:val="8"/>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0"/>
              </w:rPr>
              <w:t>Amortized Cost</w:t>
            </w:r>
          </w:p>
        </w:tc>
        <w:tc>
          <w:tcPr>
            <w:tcW w:w="80" w:type="dxa"/>
            <w:vAlign w:val="bottom"/>
          </w:tcPr>
          <w:p>
            <w:pPr>
              <w:spacing w:after="0"/>
              <w:rPr>
                <w:sz w:val="8"/>
                <w:szCs w:val="8"/>
                <w:color w:val="auto"/>
              </w:rPr>
            </w:pPr>
          </w:p>
        </w:tc>
        <w:tc>
          <w:tcPr>
            <w:tcW w:w="8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8"/>
                <w:szCs w:val="8"/>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0"/>
              </w:rPr>
              <w:t>Amortized Cost</w:t>
            </w:r>
          </w:p>
        </w:tc>
        <w:tc>
          <w:tcPr>
            <w:tcW w:w="100" w:type="dxa"/>
            <w:vAlign w:val="bottom"/>
          </w:tcPr>
          <w:p>
            <w:pPr>
              <w:spacing w:after="0"/>
              <w:rPr>
                <w:sz w:val="8"/>
                <w:szCs w:val="8"/>
                <w:color w:val="auto"/>
              </w:rPr>
            </w:pPr>
          </w:p>
        </w:tc>
        <w:tc>
          <w:tcPr>
            <w:tcW w:w="820" w:type="dxa"/>
            <w:vAlign w:val="bottom"/>
          </w:tcPr>
          <w:p>
            <w:pPr>
              <w:jc w:val="right"/>
              <w:ind w:right="146"/>
              <w:spacing w:after="0" w:line="102" w:lineRule="exact"/>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8"/>
                <w:szCs w:val="8"/>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88"/>
              </w:rPr>
              <w:t>Amortized Cost</w:t>
            </w:r>
          </w:p>
        </w:tc>
        <w:tc>
          <w:tcPr>
            <w:tcW w:w="100" w:type="dxa"/>
            <w:vAlign w:val="bottom"/>
          </w:tcPr>
          <w:p>
            <w:pPr>
              <w:spacing w:after="0"/>
              <w:rPr>
                <w:sz w:val="8"/>
                <w:szCs w:val="8"/>
                <w:color w:val="auto"/>
              </w:rPr>
            </w:pPr>
          </w:p>
        </w:tc>
        <w:tc>
          <w:tcPr>
            <w:tcW w:w="8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8"/>
              </w:rPr>
              <w:t>Weighted</w:t>
            </w: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b w:val="1"/>
                <w:bCs w:val="1"/>
                <w:color w:val="auto"/>
                <w:w w:val="98"/>
              </w:rPr>
              <w:t>Average Yield</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6"/>
              <w:spacing w:after="0"/>
              <w:rPr>
                <w:sz w:val="20"/>
                <w:szCs w:val="20"/>
                <w:color w:val="auto"/>
              </w:rPr>
            </w:pPr>
            <w:r>
              <w:rPr>
                <w:rFonts w:ascii="Arial" w:cs="Arial" w:eastAsia="Arial" w:hAnsi="Arial"/>
                <w:sz w:val="11"/>
                <w:szCs w:val="11"/>
                <w:b w:val="1"/>
                <w:bCs w:val="1"/>
                <w:color w:val="auto"/>
                <w:w w:val="98"/>
              </w:rPr>
              <w:t>Average Yield</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87"/>
              </w:rPr>
              <w:t>Average Yield</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b w:val="1"/>
                <w:bCs w:val="1"/>
                <w:color w:val="auto"/>
                <w:w w:val="96"/>
              </w:rPr>
              <w:t>Average Yield</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87"/>
              </w:rPr>
              <w:t>Average Yield</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Securities Available-for-Sale</w:t>
            </w:r>
          </w:p>
        </w:tc>
        <w:tc>
          <w:tcPr>
            <w:tcW w:w="2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U.S. Treasuries and government agencies</w:t>
            </w: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 %</w:t>
            </w:r>
          </w:p>
        </w:tc>
        <w:tc>
          <w:tcPr>
            <w:tcW w:w="3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59,546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1.33 %</w:t>
            </w:r>
          </w:p>
        </w:tc>
        <w:tc>
          <w:tcPr>
            <w:tcW w:w="32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138,329</w:t>
            </w:r>
          </w:p>
        </w:tc>
        <w:tc>
          <w:tcPr>
            <w:tcW w:w="900" w:type="dxa"/>
            <w:vAlign w:val="bottom"/>
            <w:gridSpan w:val="2"/>
          </w:tcPr>
          <w:p>
            <w:pPr>
              <w:ind w:left="580"/>
              <w:spacing w:after="0"/>
              <w:rPr>
                <w:sz w:val="20"/>
                <w:szCs w:val="20"/>
                <w:color w:val="auto"/>
              </w:rPr>
            </w:pPr>
            <w:r>
              <w:rPr>
                <w:rFonts w:ascii="Arial" w:cs="Arial" w:eastAsia="Arial" w:hAnsi="Arial"/>
                <w:sz w:val="11"/>
                <w:szCs w:val="11"/>
                <w:color w:val="auto"/>
                <w:w w:val="87"/>
              </w:rPr>
              <w:t>1.37 %</w:t>
            </w:r>
          </w:p>
        </w:tc>
        <w:tc>
          <w:tcPr>
            <w:tcW w:w="32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 %</w:t>
            </w:r>
          </w:p>
        </w:tc>
        <w:tc>
          <w:tcPr>
            <w:tcW w:w="28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197,875</w:t>
            </w:r>
          </w:p>
        </w:tc>
        <w:tc>
          <w:tcPr>
            <w:tcW w:w="940" w:type="dxa"/>
            <w:vAlign w:val="bottom"/>
            <w:gridSpan w:val="2"/>
          </w:tcPr>
          <w:p>
            <w:pPr>
              <w:ind w:left="620"/>
              <w:spacing w:after="0"/>
              <w:rPr>
                <w:sz w:val="20"/>
                <w:szCs w:val="20"/>
                <w:color w:val="auto"/>
              </w:rPr>
            </w:pPr>
            <w:r>
              <w:rPr>
                <w:rFonts w:ascii="Arial" w:cs="Arial" w:eastAsia="Arial" w:hAnsi="Arial"/>
                <w:sz w:val="11"/>
                <w:szCs w:val="11"/>
                <w:color w:val="auto"/>
                <w:w w:val="87"/>
              </w:rPr>
              <w:t>1.36 %</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Obligations of states and municipalities</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370</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4.10</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10,946</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2.88</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332,563</w:t>
            </w: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2.14</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204,017</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2.07</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547,896</w:t>
            </w: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2.13</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Residential mortgage backed - agency</w:t>
            </w:r>
          </w:p>
        </w:tc>
        <w:tc>
          <w:tcPr>
            <w:tcW w:w="24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4.38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33,445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4.96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23,504</w:t>
            </w: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1.81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56,991</w:t>
            </w:r>
          </w:p>
        </w:tc>
        <w:tc>
          <w:tcPr>
            <w:tcW w:w="940" w:type="dxa"/>
            <w:vAlign w:val="bottom"/>
            <w:gridSpan w:val="2"/>
          </w:tcPr>
          <w:p>
            <w:pPr>
              <w:ind w:left="620"/>
              <w:spacing w:after="0"/>
              <w:rPr>
                <w:sz w:val="20"/>
                <w:szCs w:val="20"/>
                <w:color w:val="auto"/>
              </w:rPr>
            </w:pPr>
            <w:r>
              <w:rPr>
                <w:rFonts w:ascii="Arial" w:cs="Arial" w:eastAsia="Arial" w:hAnsi="Arial"/>
                <w:sz w:val="11"/>
                <w:szCs w:val="11"/>
                <w:color w:val="auto"/>
              </w:rPr>
              <w:t>3.66</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Residential mortgage backed - non-agency</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32,335</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1.92</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209,368</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3.98</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92,764</w:t>
            </w: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3.57</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14,656</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4.50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349,123</w:t>
            </w: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3.71</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Commercial mortgage backed - agency</w:t>
            </w:r>
          </w:p>
        </w:tc>
        <w:tc>
          <w:tcPr>
            <w:tcW w:w="24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215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6.54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52,815</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4.90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6,379</w:t>
            </w: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4.47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59,409</w:t>
            </w:r>
          </w:p>
        </w:tc>
        <w:tc>
          <w:tcPr>
            <w:tcW w:w="940" w:type="dxa"/>
            <w:vAlign w:val="bottom"/>
            <w:gridSpan w:val="2"/>
          </w:tcPr>
          <w:p>
            <w:pPr>
              <w:ind w:left="620"/>
              <w:spacing w:after="0"/>
              <w:rPr>
                <w:sz w:val="20"/>
                <w:szCs w:val="20"/>
                <w:color w:val="auto"/>
              </w:rPr>
            </w:pPr>
            <w:r>
              <w:rPr>
                <w:rFonts w:ascii="Arial" w:cs="Arial" w:eastAsia="Arial" w:hAnsi="Arial"/>
                <w:sz w:val="11"/>
                <w:szCs w:val="11"/>
                <w:color w:val="auto"/>
              </w:rPr>
              <w:t>4.86</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w w:val="99"/>
              </w:rPr>
              <w:t>Commercial mortgage backed - non-agency</w:t>
            </w:r>
          </w:p>
        </w:tc>
        <w:tc>
          <w:tcPr>
            <w:tcW w:w="2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32,882</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6.69</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152,507</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4.32</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5,153</w:t>
            </w: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1.43</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190,542</w:t>
            </w: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4.65</w:t>
            </w:r>
          </w:p>
        </w:tc>
        <w:tc>
          <w:tcPr>
            <w:tcW w:w="0" w:type="dxa"/>
            <w:vAlign w:val="bottom"/>
          </w:tcPr>
          <w:p>
            <w:pPr>
              <w:spacing w:after="0"/>
              <w:rPr>
                <w:sz w:val="1"/>
                <w:szCs w:val="1"/>
                <w:color w:val="auto"/>
              </w:rPr>
            </w:pPr>
          </w:p>
        </w:tc>
      </w:tr>
      <w:tr>
        <w:trPr>
          <w:trHeight w:val="140"/>
        </w:trPr>
        <w:tc>
          <w:tcPr>
            <w:tcW w:w="2380" w:type="dxa"/>
            <w:vAlign w:val="bottom"/>
          </w:tcPr>
          <w:p>
            <w:pPr>
              <w:ind w:left="240"/>
              <w:spacing w:after="0"/>
              <w:rPr>
                <w:sz w:val="20"/>
                <w:szCs w:val="20"/>
                <w:color w:val="auto"/>
              </w:rPr>
            </w:pPr>
            <w:r>
              <w:rPr>
                <w:rFonts w:ascii="Arial" w:cs="Arial" w:eastAsia="Arial" w:hAnsi="Arial"/>
                <w:sz w:val="11"/>
                <w:szCs w:val="11"/>
                <w:color w:val="auto"/>
              </w:rPr>
              <w:t>Asset backed</w:t>
            </w:r>
          </w:p>
        </w:tc>
        <w:tc>
          <w:tcPr>
            <w:tcW w:w="24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2,296</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2.57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51,622</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5.46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41,399</w:t>
            </w:r>
          </w:p>
        </w:tc>
        <w:tc>
          <w:tcPr>
            <w:tcW w:w="900" w:type="dxa"/>
            <w:vAlign w:val="bottom"/>
            <w:gridSpan w:val="2"/>
          </w:tcPr>
          <w:p>
            <w:pPr>
              <w:ind w:left="580"/>
              <w:spacing w:after="0"/>
              <w:rPr>
                <w:sz w:val="20"/>
                <w:szCs w:val="20"/>
                <w:color w:val="auto"/>
              </w:rPr>
            </w:pPr>
            <w:r>
              <w:rPr>
                <w:rFonts w:ascii="Arial" w:cs="Arial" w:eastAsia="Arial" w:hAnsi="Arial"/>
                <w:sz w:val="11"/>
                <w:szCs w:val="11"/>
                <w:color w:val="auto"/>
              </w:rPr>
              <w:t>5.68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95,317</w:t>
            </w:r>
          </w:p>
        </w:tc>
        <w:tc>
          <w:tcPr>
            <w:tcW w:w="940" w:type="dxa"/>
            <w:vAlign w:val="bottom"/>
            <w:gridSpan w:val="2"/>
          </w:tcPr>
          <w:p>
            <w:pPr>
              <w:ind w:left="620"/>
              <w:spacing w:after="0"/>
              <w:rPr>
                <w:sz w:val="20"/>
                <w:szCs w:val="20"/>
                <w:color w:val="auto"/>
              </w:rPr>
            </w:pPr>
            <w:r>
              <w:rPr>
                <w:rFonts w:ascii="Arial" w:cs="Arial" w:eastAsia="Arial" w:hAnsi="Arial"/>
                <w:sz w:val="11"/>
                <w:szCs w:val="11"/>
                <w:color w:val="auto"/>
              </w:rPr>
              <w:t>5.49</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Other</w:t>
            </w:r>
          </w:p>
        </w:tc>
        <w:tc>
          <w:tcPr>
            <w:tcW w:w="2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9,500</w:t>
            </w: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4.34</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9,500</w:t>
            </w:r>
          </w:p>
        </w:tc>
        <w:tc>
          <w:tcPr>
            <w:tcW w:w="9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1"/>
                <w:szCs w:val="11"/>
                <w:color w:val="auto"/>
              </w:rPr>
              <w:t>4.34</w:t>
            </w:r>
          </w:p>
        </w:tc>
        <w:tc>
          <w:tcPr>
            <w:tcW w:w="0" w:type="dxa"/>
            <w:vAlign w:val="bottom"/>
          </w:tcPr>
          <w:p>
            <w:pPr>
              <w:spacing w:after="0"/>
              <w:rPr>
                <w:sz w:val="1"/>
                <w:szCs w:val="1"/>
                <w:color w:val="auto"/>
              </w:rPr>
            </w:pPr>
          </w:p>
        </w:tc>
      </w:tr>
      <w:tr>
        <w:trPr>
          <w:trHeight w:val="133"/>
        </w:trPr>
        <w:tc>
          <w:tcPr>
            <w:tcW w:w="2380" w:type="dxa"/>
            <w:vAlign w:val="bottom"/>
          </w:tcPr>
          <w:p>
            <w:pPr>
              <w:ind w:left="20"/>
              <w:spacing w:after="0"/>
              <w:rPr>
                <w:sz w:val="20"/>
                <w:szCs w:val="20"/>
                <w:color w:val="auto"/>
              </w:rPr>
            </w:pPr>
            <w:r>
              <w:rPr>
                <w:rFonts w:ascii="Arial" w:cs="Arial" w:eastAsia="Arial" w:hAnsi="Arial"/>
                <w:sz w:val="11"/>
                <w:szCs w:val="11"/>
                <w:color w:val="auto"/>
              </w:rPr>
              <w:t>Total</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68,140</w:t>
            </w:r>
          </w:p>
        </w:tc>
        <w:tc>
          <w:tcPr>
            <w:tcW w:w="80" w:type="dxa"/>
            <w:vAlign w:val="bottom"/>
          </w:tcPr>
          <w:p>
            <w:pPr>
              <w:spacing w:after="0"/>
              <w:rPr>
                <w:sz w:val="11"/>
                <w:szCs w:val="11"/>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4.28 %</w:t>
            </w:r>
          </w:p>
        </w:tc>
        <w:tc>
          <w:tcPr>
            <w:tcW w:w="80" w:type="dxa"/>
            <w:vAlign w:val="bottom"/>
          </w:tcPr>
          <w:p>
            <w:pPr>
              <w:spacing w:after="0"/>
              <w:rPr>
                <w:sz w:val="11"/>
                <w:szCs w:val="11"/>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570,249</w:t>
            </w:r>
          </w:p>
        </w:tc>
        <w:tc>
          <w:tcPr>
            <w:tcW w:w="100" w:type="dxa"/>
            <w:vAlign w:val="bottom"/>
          </w:tcPr>
          <w:p>
            <w:pPr>
              <w:spacing w:after="0"/>
              <w:rPr>
                <w:sz w:val="11"/>
                <w:szCs w:val="1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4.05 %</w:t>
            </w:r>
          </w:p>
        </w:tc>
        <w:tc>
          <w:tcPr>
            <w:tcW w:w="100" w:type="dxa"/>
            <w:vAlign w:val="bottom"/>
          </w:tcPr>
          <w:p>
            <w:pPr>
              <w:spacing w:after="0"/>
              <w:rPr>
                <w:sz w:val="11"/>
                <w:szCs w:val="11"/>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649,591</w:t>
            </w:r>
          </w:p>
        </w:tc>
        <w:tc>
          <w:tcPr>
            <w:tcW w:w="80" w:type="dxa"/>
            <w:vAlign w:val="bottom"/>
          </w:tcPr>
          <w:p>
            <w:pPr>
              <w:spacing w:after="0"/>
              <w:rPr>
                <w:sz w:val="11"/>
                <w:szCs w:val="11"/>
                <w:color w:val="auto"/>
              </w:rPr>
            </w:pPr>
          </w:p>
        </w:tc>
        <w:tc>
          <w:tcPr>
            <w:tcW w:w="820" w:type="dxa"/>
            <w:vAlign w:val="bottom"/>
            <w:tcBorders>
              <w:top w:val="single" w:sz="8" w:color="auto"/>
            </w:tcBorders>
          </w:tcPr>
          <w:p>
            <w:pPr>
              <w:ind w:left="500"/>
              <w:spacing w:after="0"/>
              <w:rPr>
                <w:sz w:val="20"/>
                <w:szCs w:val="20"/>
                <w:color w:val="auto"/>
              </w:rPr>
            </w:pPr>
            <w:r>
              <w:rPr>
                <w:rFonts w:ascii="Arial" w:cs="Arial" w:eastAsia="Arial" w:hAnsi="Arial"/>
                <w:sz w:val="11"/>
                <w:szCs w:val="11"/>
                <w:color w:val="auto"/>
                <w:w w:val="87"/>
              </w:rPr>
              <w:t>2.44 %</w:t>
            </w:r>
          </w:p>
        </w:tc>
        <w:tc>
          <w:tcPr>
            <w:tcW w:w="100" w:type="dxa"/>
            <w:vAlign w:val="bottom"/>
          </w:tcPr>
          <w:p>
            <w:pPr>
              <w:spacing w:after="0"/>
              <w:rPr>
                <w:sz w:val="11"/>
                <w:szCs w:val="11"/>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218,673</w:t>
            </w:r>
          </w:p>
        </w:tc>
        <w:tc>
          <w:tcPr>
            <w:tcW w:w="100" w:type="dxa"/>
            <w:vAlign w:val="bottom"/>
          </w:tcPr>
          <w:p>
            <w:pPr>
              <w:spacing w:after="0"/>
              <w:rPr>
                <w:sz w:val="11"/>
                <w:szCs w:val="1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2.23 %</w:t>
            </w:r>
          </w:p>
        </w:tc>
        <w:tc>
          <w:tcPr>
            <w:tcW w:w="100" w:type="dxa"/>
            <w:vAlign w:val="bottom"/>
          </w:tcPr>
          <w:p>
            <w:pPr>
              <w:spacing w:after="0"/>
              <w:rPr>
                <w:sz w:val="11"/>
                <w:szCs w:val="11"/>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1,506,653</w:t>
            </w:r>
          </w:p>
        </w:tc>
        <w:tc>
          <w:tcPr>
            <w:tcW w:w="100" w:type="dxa"/>
            <w:vAlign w:val="bottom"/>
          </w:tcPr>
          <w:p>
            <w:pPr>
              <w:spacing w:after="0"/>
              <w:rPr>
                <w:sz w:val="11"/>
                <w:szCs w:val="11"/>
                <w:color w:val="auto"/>
              </w:rPr>
            </w:pPr>
          </w:p>
        </w:tc>
        <w:tc>
          <w:tcPr>
            <w:tcW w:w="840" w:type="dxa"/>
            <w:vAlign w:val="bottom"/>
            <w:tcBorders>
              <w:top w:val="single" w:sz="8" w:color="auto"/>
            </w:tcBorders>
          </w:tcPr>
          <w:p>
            <w:pPr>
              <w:ind w:left="520"/>
              <w:spacing w:after="0"/>
              <w:rPr>
                <w:sz w:val="20"/>
                <w:szCs w:val="20"/>
                <w:color w:val="auto"/>
              </w:rPr>
            </w:pPr>
            <w:r>
              <w:rPr>
                <w:rFonts w:ascii="Arial" w:cs="Arial" w:eastAsia="Arial" w:hAnsi="Arial"/>
                <w:sz w:val="11"/>
                <w:szCs w:val="11"/>
                <w:color w:val="auto"/>
                <w:w w:val="87"/>
              </w:rPr>
              <w:t>3.10 %</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Lending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loan portfolio consists primarily of commercial real estate loans, but we offer a variety of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r>
        <w:rPr>
          <w:rFonts w:ascii="Arial" w:cs="Arial" w:eastAsia="Arial" w:hAnsi="Arial"/>
          <w:sz w:val="18"/>
          <w:szCs w:val="18"/>
          <w:u w:val="single" w:color="auto"/>
          <w:color w:val="0000FF"/>
        </w:rPr>
        <w:t>Note 3 — Loans</w:t>
      </w:r>
      <w:r>
        <w:rPr>
          <w:rFonts w:ascii="Arial" w:cs="Arial" w:eastAsia="Arial" w:hAnsi="Arial"/>
          <w:sz w:val="18"/>
          <w:szCs w:val="18"/>
          <w:color w:val="auto"/>
        </w:rPr>
        <w:t xml:space="preserve"> in Notes to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composition of our loan portfolio as of the dates indicated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March 31, 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December 31, 2022</w:t>
            </w:r>
          </w:p>
        </w:tc>
      </w:tr>
      <w:tr>
        <w:trPr>
          <w:trHeight w:val="233"/>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real estate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1,154,210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1,109,315</w:t>
            </w:r>
          </w:p>
        </w:tc>
      </w:tr>
      <w:tr>
        <w:trPr>
          <w:trHeight w:val="233"/>
        </w:trPr>
        <w:tc>
          <w:tcPr>
            <w:tcW w:w="7520" w:type="dxa"/>
            <w:vAlign w:val="bottom"/>
          </w:tcPr>
          <w:p>
            <w:pPr>
              <w:ind w:left="20"/>
              <w:spacing w:after="0"/>
              <w:rPr>
                <w:sz w:val="20"/>
                <w:szCs w:val="20"/>
                <w:color w:val="auto"/>
              </w:rPr>
            </w:pPr>
            <w:r>
              <w:rPr>
                <w:rFonts w:ascii="Arial" w:cs="Arial" w:eastAsia="Arial" w:hAnsi="Arial"/>
                <w:sz w:val="16"/>
                <w:szCs w:val="16"/>
                <w:color w:val="auto"/>
              </w:rPr>
              <w:t>Owner-occupied commercial real estate</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125,657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127,114</w:t>
            </w:r>
          </w:p>
        </w:tc>
      </w:tr>
      <w:tr>
        <w:trPr>
          <w:trHeight w:val="25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construction &amp; development</w:t>
            </w: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94,450</w:t>
            </w: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50,101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53,514</w:t>
            </w:r>
          </w:p>
        </w:tc>
      </w:tr>
      <w:tr>
        <w:trPr>
          <w:trHeight w:val="33"/>
        </w:trPr>
        <w:tc>
          <w:tcPr>
            <w:tcW w:w="7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Single family residential (1-4 units)</w:t>
            </w: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518,775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499,362</w:t>
            </w:r>
          </w:p>
        </w:tc>
      </w:tr>
      <w:tr>
        <w:trPr>
          <w:trHeight w:val="25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Consumer non-real estate and other</w:t>
            </w: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w:t>
            </w:r>
          </w:p>
        </w:tc>
      </w:tr>
      <w:tr>
        <w:trPr>
          <w:trHeight w:val="236"/>
        </w:trPr>
        <w:tc>
          <w:tcPr>
            <w:tcW w:w="7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1,951,738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1,887,221</w:t>
            </w:r>
          </w:p>
        </w:tc>
      </w:tr>
      <w:tr>
        <w:trPr>
          <w:trHeight w:val="226"/>
        </w:trPr>
        <w:tc>
          <w:tcPr>
            <w:tcW w:w="7520" w:type="dxa"/>
            <w:vAlign w:val="bottom"/>
          </w:tcPr>
          <w:p>
            <w:pPr>
              <w:ind w:left="20"/>
              <w:spacing w:after="0"/>
              <w:rPr>
                <w:sz w:val="20"/>
                <w:szCs w:val="20"/>
                <w:color w:val="auto"/>
              </w:rPr>
            </w:pPr>
            <w:r>
              <w:rPr>
                <w:rFonts w:ascii="Arial" w:cs="Arial" w:eastAsia="Arial" w:hAnsi="Arial"/>
                <w:sz w:val="16"/>
                <w:szCs w:val="16"/>
                <w:color w:val="auto"/>
              </w:rPr>
              <w:t>Allowance for credit losses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(21,039)</w:t>
            </w:r>
          </w:p>
        </w:tc>
      </w:tr>
      <w:tr>
        <w:trPr>
          <w:trHeight w:val="233"/>
        </w:trPr>
        <w:tc>
          <w:tcPr>
            <w:tcW w:w="7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1,926,034</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1,866,182</w:t>
            </w:r>
          </w:p>
        </w:tc>
      </w:tr>
      <w:tr>
        <w:trPr>
          <w:trHeight w:val="20"/>
        </w:trPr>
        <w:tc>
          <w:tcPr>
            <w:tcW w:w="7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loan portfolio at March 31, 2023 increased by $64.5 million primarily due to growth in our commercial and residential real estate loan production. The Company’s organic growth has occurred in both legacy and newer markets, principally in commercial real estate.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shows the maturity distribution for total loans outstanding as of March 31, 2023. The maturity distribution is grouped by remaining scheduled principal payments that are due in the following periods. The principal balance of loans are indicated by both fixed and floating rate categories in the table below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March 31, 2023</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3"/>
                <w:szCs w:val="13"/>
                <w:b w:val="1"/>
                <w:bCs w:val="1"/>
                <w:color w:val="auto"/>
              </w:rPr>
              <w:t>Within One Year</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3"/>
                <w:szCs w:val="13"/>
                <w:b w:val="1"/>
                <w:bCs w:val="1"/>
                <w:color w:val="auto"/>
                <w:w w:val="98"/>
              </w:rPr>
              <w:t>One Year to Five Years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3"/>
                <w:szCs w:val="13"/>
                <w:b w:val="1"/>
                <w:bCs w:val="1"/>
                <w:color w:val="auto"/>
                <w:w w:val="99"/>
              </w:rPr>
              <w:t>Five Years to 15 Years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3"/>
                <w:szCs w:val="13"/>
                <w:b w:val="1"/>
                <w:bCs w:val="1"/>
                <w:color w:val="auto"/>
              </w:rPr>
              <w:t>After 15 Years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84"/>
              </w:rPr>
              <w:t>Fixed Rates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70"/>
              <w:spacing w:after="0" w:line="121" w:lineRule="exact"/>
              <w:rPr>
                <w:sz w:val="20"/>
                <w:szCs w:val="20"/>
                <w:color w:val="auto"/>
              </w:rPr>
            </w:pPr>
            <w:r>
              <w:rPr>
                <w:rFonts w:ascii="Arial" w:cs="Arial" w:eastAsia="Arial" w:hAnsi="Arial"/>
                <w:sz w:val="13"/>
                <w:szCs w:val="13"/>
                <w:b w:val="1"/>
                <w:bCs w:val="1"/>
                <w:color w:val="auto"/>
                <w:w w:val="87"/>
              </w:rPr>
              <w:t>Adjustable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84"/>
              </w:rPr>
              <w:t>Fixed Rates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90"/>
              <w:spacing w:after="0" w:line="121" w:lineRule="exact"/>
              <w:rPr>
                <w:sz w:val="20"/>
                <w:szCs w:val="20"/>
                <w:color w:val="auto"/>
              </w:rPr>
            </w:pPr>
            <w:r>
              <w:rPr>
                <w:rFonts w:ascii="Arial" w:cs="Arial" w:eastAsia="Arial" w:hAnsi="Arial"/>
                <w:sz w:val="13"/>
                <w:szCs w:val="13"/>
                <w:b w:val="1"/>
                <w:bCs w:val="1"/>
                <w:color w:val="auto"/>
                <w:w w:val="87"/>
              </w:rPr>
              <w:t>Adjustable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Fixed Rates</w:t>
            </w:r>
          </w:p>
        </w:tc>
        <w:tc>
          <w:tcPr>
            <w:tcW w:w="120" w:type="dxa"/>
            <w:vAlign w:val="bottom"/>
          </w:tcPr>
          <w:p>
            <w:pPr>
              <w:spacing w:after="0"/>
              <w:rPr>
                <w:sz w:val="10"/>
                <w:szCs w:val="10"/>
                <w:color w:val="auto"/>
              </w:rPr>
            </w:pPr>
          </w:p>
        </w:tc>
        <w:tc>
          <w:tcPr>
            <w:tcW w:w="760" w:type="dxa"/>
            <w:vAlign w:val="bottom"/>
          </w:tcPr>
          <w:p>
            <w:pPr>
              <w:jc w:val="right"/>
              <w:ind w:right="90"/>
              <w:spacing w:after="0" w:line="121" w:lineRule="exact"/>
              <w:rPr>
                <w:sz w:val="20"/>
                <w:szCs w:val="20"/>
                <w:color w:val="auto"/>
              </w:rPr>
            </w:pPr>
            <w:r>
              <w:rPr>
                <w:rFonts w:ascii="Arial" w:cs="Arial" w:eastAsia="Arial" w:hAnsi="Arial"/>
                <w:sz w:val="13"/>
                <w:szCs w:val="13"/>
                <w:b w:val="1"/>
                <w:bCs w:val="1"/>
                <w:color w:val="auto"/>
                <w:w w:val="87"/>
              </w:rPr>
              <w:t>Adjustable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84"/>
              </w:rPr>
              <w:t>Fixed Rates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70"/>
              <w:spacing w:after="0" w:line="121" w:lineRule="exact"/>
              <w:rPr>
                <w:sz w:val="20"/>
                <w:szCs w:val="20"/>
                <w:color w:val="auto"/>
              </w:rPr>
            </w:pPr>
            <w:r>
              <w:rPr>
                <w:rFonts w:ascii="Arial" w:cs="Arial" w:eastAsia="Arial" w:hAnsi="Arial"/>
                <w:sz w:val="13"/>
                <w:szCs w:val="13"/>
                <w:b w:val="1"/>
                <w:bCs w:val="1"/>
                <w:color w:val="auto"/>
                <w:w w:val="90"/>
              </w:rPr>
              <w:t>Adjustable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2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10"/>
              <w:spacing w:after="0"/>
              <w:rPr>
                <w:sz w:val="20"/>
                <w:szCs w:val="20"/>
                <w:color w:val="auto"/>
              </w:rPr>
            </w:pPr>
            <w:r>
              <w:rPr>
                <w:rFonts w:ascii="Arial" w:cs="Arial" w:eastAsia="Arial" w:hAnsi="Arial"/>
                <w:sz w:val="13"/>
                <w:szCs w:val="13"/>
                <w:b w:val="1"/>
                <w:bCs w:val="1"/>
                <w:color w:val="auto"/>
              </w:rPr>
              <w:t>Rates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30"/>
              <w:spacing w:after="0"/>
              <w:rPr>
                <w:sz w:val="20"/>
                <w:szCs w:val="20"/>
                <w:color w:val="auto"/>
              </w:rPr>
            </w:pPr>
            <w:r>
              <w:rPr>
                <w:rFonts w:ascii="Arial" w:cs="Arial" w:eastAsia="Arial" w:hAnsi="Arial"/>
                <w:sz w:val="13"/>
                <w:szCs w:val="13"/>
                <w:b w:val="1"/>
                <w:bCs w:val="1"/>
                <w:color w:val="auto"/>
              </w:rPr>
              <w:t>Rates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30"/>
              <w:spacing w:after="0"/>
              <w:rPr>
                <w:sz w:val="20"/>
                <w:szCs w:val="20"/>
                <w:color w:val="auto"/>
              </w:rPr>
            </w:pPr>
            <w:r>
              <w:rPr>
                <w:rFonts w:ascii="Arial" w:cs="Arial" w:eastAsia="Arial" w:hAnsi="Arial"/>
                <w:sz w:val="13"/>
                <w:szCs w:val="13"/>
                <w:b w:val="1"/>
                <w:bCs w:val="1"/>
                <w:color w:val="auto"/>
              </w:rPr>
              <w:t>Rates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30"/>
              <w:spacing w:after="0"/>
              <w:rPr>
                <w:sz w:val="20"/>
                <w:szCs w:val="20"/>
                <w:color w:val="auto"/>
              </w:rPr>
            </w:pPr>
            <w:r>
              <w:rPr>
                <w:rFonts w:ascii="Arial" w:cs="Arial" w:eastAsia="Arial" w:hAnsi="Arial"/>
                <w:sz w:val="13"/>
                <w:szCs w:val="13"/>
                <w:b w:val="1"/>
                <w:bCs w:val="1"/>
                <w:color w:val="auto"/>
              </w:rPr>
              <w:t>Rates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w:t>
            </w: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40" w:type="dxa"/>
            <w:vAlign w:val="bottom"/>
          </w:tcPr>
          <w:p>
            <w:pPr>
              <w:ind w:left="240"/>
              <w:spacing w:after="0"/>
              <w:rPr>
                <w:sz w:val="20"/>
                <w:szCs w:val="20"/>
                <w:color w:val="auto"/>
              </w:rPr>
            </w:pPr>
            <w:r>
              <w:rPr>
                <w:rFonts w:ascii="Arial" w:cs="Arial" w:eastAsia="Arial" w:hAnsi="Arial"/>
                <w:sz w:val="14"/>
                <w:szCs w:val="14"/>
                <w:color w:val="auto"/>
              </w:rPr>
              <w:t>Commercial real estate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51,191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28,045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543,662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74,984</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391,397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64,223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708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1,154,210</w:t>
            </w:r>
          </w:p>
        </w:tc>
        <w:tc>
          <w:tcPr>
            <w:tcW w:w="0" w:type="dxa"/>
            <w:vAlign w:val="bottom"/>
          </w:tcPr>
          <w:p>
            <w:pPr>
              <w:spacing w:after="0"/>
              <w:rPr>
                <w:sz w:val="1"/>
                <w:szCs w:val="1"/>
                <w:color w:val="auto"/>
              </w:rPr>
            </w:pPr>
          </w:p>
        </w:tc>
      </w:tr>
      <w:tr>
        <w:trPr>
          <w:trHeight w:val="147"/>
        </w:trPr>
        <w:tc>
          <w:tcPr>
            <w:tcW w:w="2540" w:type="dxa"/>
            <w:vAlign w:val="bottom"/>
            <w:shd w:val="clear" w:color="auto" w:fill="CCEEFF"/>
          </w:tcPr>
          <w:p>
            <w:pPr>
              <w:ind w:left="240"/>
              <w:spacing w:after="0" w:line="147" w:lineRule="exact"/>
              <w:rPr>
                <w:sz w:val="20"/>
                <w:szCs w:val="20"/>
                <w:color w:val="auto"/>
              </w:rPr>
            </w:pPr>
            <w:r>
              <w:rPr>
                <w:rFonts w:ascii="Arial" w:cs="Arial" w:eastAsia="Arial" w:hAnsi="Arial"/>
                <w:sz w:val="14"/>
                <w:szCs w:val="14"/>
                <w:color w:val="auto"/>
              </w:rPr>
              <w:t>Owner-occupied commercial real</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5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estate</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9,975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53,726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4,565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55,634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592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125,657</w:t>
            </w:r>
          </w:p>
        </w:tc>
        <w:tc>
          <w:tcPr>
            <w:tcW w:w="0" w:type="dxa"/>
            <w:vAlign w:val="bottom"/>
          </w:tcPr>
          <w:p>
            <w:pPr>
              <w:spacing w:after="0"/>
              <w:rPr>
                <w:sz w:val="1"/>
                <w:szCs w:val="1"/>
                <w:color w:val="auto"/>
              </w:rPr>
            </w:pPr>
          </w:p>
        </w:tc>
      </w:tr>
      <w:tr>
        <w:trPr>
          <w:trHeight w:val="135"/>
        </w:trPr>
        <w:tc>
          <w:tcPr>
            <w:tcW w:w="2540" w:type="dxa"/>
            <w:vAlign w:val="bottom"/>
          </w:tcPr>
          <w:p>
            <w:pPr>
              <w:ind w:left="240"/>
              <w:spacing w:after="0" w:line="135" w:lineRule="exact"/>
              <w:rPr>
                <w:sz w:val="20"/>
                <w:szCs w:val="20"/>
                <w:color w:val="auto"/>
              </w:rPr>
            </w:pPr>
            <w:r>
              <w:rPr>
                <w:rFonts w:ascii="Arial" w:cs="Arial" w:eastAsia="Arial" w:hAnsi="Arial"/>
                <w:sz w:val="14"/>
                <w:szCs w:val="14"/>
                <w:color w:val="auto"/>
              </w:rPr>
              <w:t>Acquisition, construction &amp;</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22,366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20,778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47,780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6,034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99,886</w:t>
            </w:r>
          </w:p>
        </w:tc>
        <w:tc>
          <w:tcPr>
            <w:tcW w:w="0" w:type="dxa"/>
            <w:vAlign w:val="bottom"/>
          </w:tcPr>
          <w:p>
            <w:pPr>
              <w:spacing w:after="0"/>
              <w:rPr>
                <w:sz w:val="1"/>
                <w:szCs w:val="1"/>
                <w:color w:val="auto"/>
              </w:rPr>
            </w:pPr>
          </w:p>
        </w:tc>
      </w:tr>
      <w:tr>
        <w:trPr>
          <w:trHeight w:val="182"/>
        </w:trPr>
        <w:tc>
          <w:tcPr>
            <w:tcW w:w="2540" w:type="dxa"/>
            <w:vAlign w:val="bottom"/>
          </w:tcPr>
          <w:p>
            <w:pPr>
              <w:ind w:left="400"/>
              <w:spacing w:after="0"/>
              <w:rPr>
                <w:sz w:val="20"/>
                <w:szCs w:val="20"/>
                <w:color w:val="auto"/>
              </w:rPr>
            </w:pPr>
            <w:r>
              <w:rPr>
                <w:rFonts w:ascii="Arial" w:cs="Arial" w:eastAsia="Arial" w:hAnsi="Arial"/>
                <w:sz w:val="14"/>
                <w:szCs w:val="14"/>
                <w:color w:val="auto"/>
              </w:rPr>
              <w:t>development</w:t>
            </w: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Commercial &amp; industrial</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35,044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9,106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50,101</w:t>
            </w:r>
          </w:p>
        </w:tc>
        <w:tc>
          <w:tcPr>
            <w:tcW w:w="0" w:type="dxa"/>
            <w:vAlign w:val="bottom"/>
          </w:tcPr>
          <w:p>
            <w:pPr>
              <w:spacing w:after="0"/>
              <w:rPr>
                <w:sz w:val="1"/>
                <w:szCs w:val="1"/>
                <w:color w:val="auto"/>
              </w:rPr>
            </w:pPr>
          </w:p>
        </w:tc>
      </w:tr>
      <w:tr>
        <w:trPr>
          <w:trHeight w:val="179"/>
        </w:trPr>
        <w:tc>
          <w:tcPr>
            <w:tcW w:w="2540" w:type="dxa"/>
            <w:vAlign w:val="bottom"/>
          </w:tcPr>
          <w:p>
            <w:pPr>
              <w:ind w:left="460"/>
              <w:spacing w:after="0"/>
              <w:rPr>
                <w:sz w:val="20"/>
                <w:szCs w:val="20"/>
                <w:color w:val="auto"/>
              </w:rPr>
            </w:pPr>
            <w:r>
              <w:rPr>
                <w:rFonts w:ascii="Arial" w:cs="Arial" w:eastAsia="Arial" w:hAnsi="Arial"/>
                <w:sz w:val="14"/>
                <w:szCs w:val="14"/>
                <w:color w:val="auto"/>
              </w:rPr>
              <w:t>Total commercial loans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83,906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51,387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634,761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136,435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455,498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65,994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1,429,854</w:t>
            </w:r>
          </w:p>
        </w:tc>
        <w:tc>
          <w:tcPr>
            <w:tcW w:w="0" w:type="dxa"/>
            <w:vAlign w:val="bottom"/>
          </w:tcPr>
          <w:p>
            <w:pPr>
              <w:spacing w:after="0"/>
              <w:rPr>
                <w:sz w:val="1"/>
                <w:szCs w:val="1"/>
                <w:color w:val="auto"/>
              </w:rPr>
            </w:pPr>
          </w:p>
        </w:tc>
      </w:tr>
      <w:tr>
        <w:trPr>
          <w:trHeight w:val="186"/>
        </w:trPr>
        <w:tc>
          <w:tcPr>
            <w:tcW w:w="2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Single family residential (1-4 units)</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13,090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12,484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17,774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19,231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10,218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260,227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182,680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518,775</w:t>
            </w:r>
          </w:p>
        </w:tc>
        <w:tc>
          <w:tcPr>
            <w:tcW w:w="0" w:type="dxa"/>
            <w:vAlign w:val="bottom"/>
          </w:tcPr>
          <w:p>
            <w:pPr>
              <w:spacing w:after="0"/>
              <w:rPr>
                <w:sz w:val="1"/>
                <w:szCs w:val="1"/>
                <w:color w:val="auto"/>
              </w:rPr>
            </w:pPr>
          </w:p>
        </w:tc>
      </w:tr>
      <w:tr>
        <w:trPr>
          <w:trHeight w:val="197"/>
        </w:trPr>
        <w:tc>
          <w:tcPr>
            <w:tcW w:w="25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Consumer non-real estate and other</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766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3,109</w:t>
            </w:r>
          </w:p>
        </w:tc>
        <w:tc>
          <w:tcPr>
            <w:tcW w:w="0" w:type="dxa"/>
            <w:vAlign w:val="bottom"/>
          </w:tcPr>
          <w:p>
            <w:pPr>
              <w:spacing w:after="0"/>
              <w:rPr>
                <w:sz w:val="1"/>
                <w:szCs w:val="1"/>
                <w:color w:val="auto"/>
              </w:rPr>
            </w:pPr>
          </w:p>
        </w:tc>
      </w:tr>
      <w:tr>
        <w:trPr>
          <w:trHeight w:val="185"/>
        </w:trPr>
        <w:tc>
          <w:tcPr>
            <w:tcW w:w="2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loans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87,275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64,558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648,364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154,975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475,178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76,212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260,956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184,220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1,951,738</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loan is placed on non-accrual status when (i) the Company is advised by the borrower that scheduled principal or interest payments cannot be met, (ii) when management’s best judgment indicates that payment in full of principal and interest can no longer be expected, or (iii) when any such loan or obligation becomes delinquent for 90 days, unless it is both well-secured and in the process of collection.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asset quality remained stable through the first quarter of 2023. The Company’s non-performing assets, which includes non-performing loans consisting of non-accrual loans, loans that are more than 90 days past due and still accruing, and other real estate owned as of March 31, 2023, totaled $3.2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non-performing assets as of March 31, 2023, and December 31, 2022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March 31, 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December 31, 2022</w:t>
            </w:r>
          </w:p>
        </w:tc>
      </w:tr>
      <w:tr>
        <w:trPr>
          <w:trHeight w:val="21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Non-accrual loans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5,497</w:t>
            </w:r>
          </w:p>
        </w:tc>
      </w:tr>
      <w:tr>
        <w:trPr>
          <w:trHeight w:val="216"/>
        </w:trPr>
        <w:tc>
          <w:tcPr>
            <w:tcW w:w="7500" w:type="dxa"/>
            <w:vAlign w:val="bottom"/>
          </w:tcPr>
          <w:p>
            <w:pPr>
              <w:ind w:left="20"/>
              <w:spacing w:after="0"/>
              <w:rPr>
                <w:sz w:val="20"/>
                <w:szCs w:val="20"/>
                <w:color w:val="auto"/>
              </w:rPr>
            </w:pPr>
            <w:r>
              <w:rPr>
                <w:rFonts w:ascii="Arial" w:cs="Arial" w:eastAsia="Arial" w:hAnsi="Arial"/>
                <w:sz w:val="16"/>
                <w:szCs w:val="16"/>
                <w:color w:val="auto"/>
              </w:rPr>
              <w:t>90 days past due and still accruing</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non-performing loans</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5,497</w:t>
            </w:r>
          </w:p>
        </w:tc>
      </w:tr>
      <w:tr>
        <w:trPr>
          <w:trHeight w:val="270"/>
        </w:trPr>
        <w:tc>
          <w:tcPr>
            <w:tcW w:w="7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1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real estate owned</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7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r>
      <w:tr>
        <w:trPr>
          <w:trHeight w:val="21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non-performing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the discussion in </w:t>
      </w:r>
      <w:r>
        <w:rPr>
          <w:rFonts w:ascii="Arial" w:cs="Arial" w:eastAsia="Arial" w:hAnsi="Arial"/>
          <w:sz w:val="18"/>
          <w:szCs w:val="18"/>
          <w:u w:val="single" w:color="auto"/>
          <w:color w:val="0000FF"/>
        </w:rPr>
        <w:t>Note 1. Nature of Business Activities and Significant Accounting Policies</w:t>
      </w:r>
      <w:r>
        <w:rPr>
          <w:rFonts w:ascii="Arial" w:cs="Arial" w:eastAsia="Arial" w:hAnsi="Arial"/>
          <w:sz w:val="18"/>
          <w:szCs w:val="18"/>
          <w:color w:val="auto"/>
        </w:rPr>
        <w:t xml:space="preserve"> in Notes to Consolidated Financial Statements for management’s approach to estimating the ACL.</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maintains the ACL at a level deemed adequate by management for expected credit losses. As disclosed in </w:t>
      </w:r>
      <w:r>
        <w:rPr>
          <w:rFonts w:ascii="Arial" w:cs="Arial" w:eastAsia="Arial" w:hAnsi="Arial"/>
          <w:sz w:val="18"/>
          <w:szCs w:val="18"/>
          <w:u w:val="single" w:color="auto"/>
          <w:color w:val="0000FF"/>
        </w:rPr>
        <w:t>Note 1</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4</w:t>
      </w:r>
      <w:r>
        <w:rPr>
          <w:rFonts w:ascii="Arial" w:cs="Arial" w:eastAsia="Arial" w:hAnsi="Arial"/>
          <w:sz w:val="18"/>
          <w:szCs w:val="18"/>
          <w:color w:val="auto"/>
        </w:rPr>
        <w:t>, on January 1, 2023, the Company implemented CECL and increased the ACL, previously the allowance for credit losses, with a cumulative-effect adjustment to the ACL for credit losses of $4.4 million, which included 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cumulative-effect adjustment to the ACL for off-balance sheet exposures of $274.8 thousand. The Company’s ACL is calculated quarterly with any adjustment recorded to the provision for credit losses in the consolidated Statement of Income. Management evaluates the adequacy of the ACL utilizing a defined methodology to determine if it properly addresses the current and expected risks in the loan portfolio, which considers the performance of borrowers and specific evaluation of individually evaluated loans including historical loss experiences, trends in delinquencies, non-performing loans and other risk assets, and qualitative factors. Risk factors are continuously reviewed and adjusted, as needed, by management when conditions support a change. Management believes its approach properly addresses relevant accounting and bank regulatory guidance for loans both collectively and individually evaluated.</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charged-off loans were $17 thousand and $69 thousand for the three months ended March 31, 2023, and March 31, 2022, respectively. Gross recoveries totaled $34 thousand and $59 thousand for the three months ended March 31, 2023, and March 31, 2022, respectively. The ACL as a percentage of gross loans, net of unearned income, was 1.32% and 1.65% as of March 31, 2023, and March 31, 2022, respectively. The decrease in the allowance coverage ratio was due to one specific credit that increased the coverage ratio for the three months ended March 31, 2022.</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recorded a provision of $0.5 million and a provision recapture of $2.6 million for the three months ended March 31, 2023, and March 31, 2022, respectively. The provision recapture for the three months ended March 31, 2022, was as a result of removing COVID-19 qualitative factors compared to the provision for credit losses for the three months ended March 31, 2023, resulting from the adoption of CECL.</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Company’s credit loss experience by portfolio as of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March 31, 2022</w:t>
            </w:r>
          </w:p>
        </w:tc>
      </w:tr>
      <w:tr>
        <w:trPr>
          <w:trHeight w:val="213"/>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outstanding at end of period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1,951,738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1,760,308</w:t>
            </w: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Balance of allowance at beginning of year</w:t>
            </w:r>
          </w:p>
        </w:tc>
        <w:tc>
          <w:tcPr>
            <w:tcW w:w="260" w:type="dxa"/>
            <w:vAlign w:val="bottom"/>
          </w:tcPr>
          <w:p>
            <w:pPr>
              <w:spacing w:after="0"/>
              <w:rPr>
                <w:sz w:val="18"/>
                <w:szCs w:val="18"/>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(21,039)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(31,709)</w:t>
            </w: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the adoption of CECL</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Loans charged-off</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7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Commercial real estate</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r>
      <w:tr>
        <w:trPr>
          <w:trHeight w:val="213"/>
        </w:trPr>
        <w:tc>
          <w:tcPr>
            <w:tcW w:w="7320" w:type="dxa"/>
            <w:vAlign w:val="bottom"/>
          </w:tcPr>
          <w:p>
            <w:pPr>
              <w:ind w:left="240"/>
              <w:spacing w:after="0"/>
              <w:rPr>
                <w:sz w:val="20"/>
                <w:szCs w:val="20"/>
                <w:color w:val="auto"/>
              </w:rPr>
            </w:pPr>
            <w:r>
              <w:rPr>
                <w:rFonts w:ascii="Arial" w:cs="Arial" w:eastAsia="Arial" w:hAnsi="Arial"/>
                <w:sz w:val="16"/>
                <w:szCs w:val="16"/>
                <w:color w:val="auto"/>
              </w:rPr>
              <w:t>Owner-occupied commercial real estate</w:t>
            </w:r>
          </w:p>
        </w:tc>
        <w:tc>
          <w:tcPr>
            <w:tcW w:w="26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7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 construction &amp; development</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7320" w:type="dxa"/>
            <w:vAlign w:val="bottom"/>
          </w:tcPr>
          <w:p>
            <w:pPr>
              <w:ind w:left="240"/>
              <w:spacing w:after="0"/>
              <w:rPr>
                <w:sz w:val="20"/>
                <w:szCs w:val="20"/>
                <w:color w:val="auto"/>
              </w:rPr>
            </w:pPr>
            <w:r>
              <w:rPr>
                <w:rFonts w:ascii="Arial" w:cs="Arial" w:eastAsia="Arial" w:hAnsi="Arial"/>
                <w:sz w:val="16"/>
                <w:szCs w:val="16"/>
                <w:color w:val="auto"/>
              </w:rPr>
              <w:t>Commercial &amp; industrial</w:t>
            </w:r>
          </w:p>
        </w:tc>
        <w:tc>
          <w:tcPr>
            <w:tcW w:w="26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20</w:t>
            </w:r>
          </w:p>
        </w:tc>
      </w:tr>
      <w:tr>
        <w:trPr>
          <w:trHeight w:val="219"/>
        </w:trPr>
        <w:tc>
          <w:tcPr>
            <w:tcW w:w="7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7320" w:type="dxa"/>
            <w:vAlign w:val="bottom"/>
          </w:tcPr>
          <w:p>
            <w:pPr>
              <w:ind w:left="240"/>
              <w:spacing w:after="0"/>
              <w:rPr>
                <w:sz w:val="20"/>
                <w:szCs w:val="20"/>
                <w:color w:val="auto"/>
              </w:rPr>
            </w:pPr>
            <w:r>
              <w:rPr>
                <w:rFonts w:ascii="Arial" w:cs="Arial" w:eastAsia="Arial" w:hAnsi="Arial"/>
                <w:sz w:val="16"/>
                <w:szCs w:val="16"/>
                <w:color w:val="auto"/>
              </w:rPr>
              <w:t>Consumer non-real estate and other</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w:t>
            </w:r>
          </w:p>
        </w:tc>
      </w:tr>
      <w:tr>
        <w:trPr>
          <w:trHeight w:val="209"/>
        </w:trPr>
        <w:tc>
          <w:tcPr>
            <w:tcW w:w="7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loans charged-off</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Recoveries of loans charged-off</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real estate</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Owner-occupied commercial real estate</w:t>
            </w:r>
          </w:p>
        </w:tc>
        <w:tc>
          <w:tcPr>
            <w:tcW w:w="26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construction &amp; development</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Commercial &amp; industrial</w:t>
            </w:r>
          </w:p>
        </w:tc>
        <w:tc>
          <w:tcPr>
            <w:tcW w:w="26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color w:val="auto"/>
              </w:rPr>
              <w:t>Consumer non-real estate and other</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w:t>
            </w:r>
          </w:p>
        </w:tc>
      </w:tr>
      <w:tr>
        <w:trPr>
          <w:trHeight w:val="21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recoveries of loans charged-off</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w:t>
            </w:r>
          </w:p>
        </w:tc>
      </w:tr>
      <w:tr>
        <w:trPr>
          <w:trHeight w:val="206"/>
        </w:trPr>
        <w:tc>
          <w:tcPr>
            <w:tcW w:w="7320" w:type="dxa"/>
            <w:vAlign w:val="bottom"/>
          </w:tcPr>
          <w:p>
            <w:pPr>
              <w:ind w:left="20"/>
              <w:spacing w:after="0"/>
              <w:rPr>
                <w:sz w:val="20"/>
                <w:szCs w:val="20"/>
                <w:color w:val="auto"/>
              </w:rPr>
            </w:pPr>
            <w:r>
              <w:rPr>
                <w:rFonts w:ascii="Arial" w:cs="Arial" w:eastAsia="Arial" w:hAnsi="Arial"/>
                <w:sz w:val="16"/>
                <w:szCs w:val="16"/>
                <w:color w:val="auto"/>
              </w:rPr>
              <w:t>Net loan charge-offs (recoveries)</w:t>
            </w:r>
          </w:p>
        </w:tc>
        <w:tc>
          <w:tcPr>
            <w:tcW w:w="260" w:type="dxa"/>
            <w:vAlign w:val="bottom"/>
          </w:tcPr>
          <w:p>
            <w:pPr>
              <w:spacing w:after="0"/>
              <w:rPr>
                <w:sz w:val="17"/>
                <w:szCs w:val="17"/>
                <w:color w:val="auto"/>
              </w:rPr>
            </w:pP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10</w:t>
            </w:r>
          </w:p>
        </w:tc>
      </w:tr>
      <w:tr>
        <w:trPr>
          <w:trHeight w:val="219"/>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(recapture of) credit losses for the period</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(2,638)</w:t>
            </w:r>
          </w:p>
        </w:tc>
      </w:tr>
      <w:tr>
        <w:trPr>
          <w:trHeight w:val="210"/>
        </w:trPr>
        <w:tc>
          <w:tcPr>
            <w:tcW w:w="7320" w:type="dxa"/>
            <w:vAlign w:val="bottom"/>
          </w:tcPr>
          <w:p>
            <w:pPr>
              <w:ind w:left="20"/>
              <w:spacing w:after="0"/>
              <w:rPr>
                <w:sz w:val="20"/>
                <w:szCs w:val="20"/>
                <w:color w:val="auto"/>
              </w:rPr>
            </w:pPr>
            <w:r>
              <w:rPr>
                <w:rFonts w:ascii="Arial" w:cs="Arial" w:eastAsia="Arial" w:hAnsi="Arial"/>
                <w:sz w:val="16"/>
                <w:szCs w:val="16"/>
                <w:color w:val="auto"/>
              </w:rPr>
              <w:t>Ending allowance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(25,704)</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79"/>
              <w:spacing w:after="0"/>
              <w:rPr>
                <w:sz w:val="20"/>
                <w:szCs w:val="20"/>
                <w:color w:val="auto"/>
              </w:rPr>
            </w:pPr>
            <w:r>
              <w:rPr>
                <w:rFonts w:ascii="Arial" w:cs="Arial" w:eastAsia="Arial" w:hAnsi="Arial"/>
                <w:sz w:val="16"/>
                <w:szCs w:val="16"/>
                <w:color w:val="auto"/>
              </w:rPr>
              <w:t>(29,061)</w:t>
            </w:r>
          </w:p>
        </w:tc>
      </w:tr>
      <w:tr>
        <w:trPr>
          <w:trHeight w:val="263"/>
        </w:trPr>
        <w:tc>
          <w:tcPr>
            <w:tcW w:w="7320" w:type="dxa"/>
            <w:vAlign w:val="bottom"/>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spacing w:after="0"/>
              <w:rPr>
                <w:sz w:val="22"/>
                <w:szCs w:val="22"/>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Average loans outstanding during the period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1,919,678</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1,756,461</w:t>
            </w:r>
          </w:p>
        </w:tc>
      </w:tr>
      <w:tr>
        <w:trPr>
          <w:trHeight w:val="219"/>
        </w:trPr>
        <w:tc>
          <w:tcPr>
            <w:tcW w:w="73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Allowance coverage ratio</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w:t>
            </w:r>
          </w:p>
        </w:tc>
      </w:tr>
      <w:tr>
        <w:trPr>
          <w:trHeight w:val="216"/>
        </w:trPr>
        <w:tc>
          <w:tcPr>
            <w:tcW w:w="7320" w:type="dxa"/>
            <w:vAlign w:val="bottom"/>
          </w:tcPr>
          <w:p>
            <w:pPr>
              <w:ind w:left="20"/>
              <w:spacing w:after="0" w:line="216" w:lineRule="exact"/>
              <w:rPr>
                <w:sz w:val="20"/>
                <w:szCs w:val="20"/>
                <w:color w:val="auto"/>
              </w:rPr>
            </w:pPr>
            <w:r>
              <w:rPr>
                <w:rFonts w:ascii="Arial" w:cs="Arial" w:eastAsia="Arial" w:hAnsi="Arial"/>
                <w:sz w:val="16"/>
                <w:szCs w:val="16"/>
                <w:color w:val="auto"/>
              </w:rPr>
              <w:t>Net charge-offs to average outstanding loans during the period</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0.00 %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0.00 %</w:t>
            </w:r>
          </w:p>
        </w:tc>
      </w:tr>
      <w:tr>
        <w:trPr>
          <w:trHeight w:val="216"/>
        </w:trPr>
        <w:tc>
          <w:tcPr>
            <w:tcW w:w="73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Allowance for credit losses as a percentage of non-performing loans</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791.87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113.81</w:t>
            </w:r>
          </w:p>
        </w:tc>
      </w:tr>
    </w:tbl>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allowance coverage ratio is calculated by dividing the ACL at the end of the period by gross loans, net of unearned income at the end of the period.</w:t>
      </w:r>
    </w:p>
    <w:p>
      <w:pPr>
        <w:spacing w:after="0" w:line="122" w:lineRule="exact"/>
        <w:rPr>
          <w:rFonts w:ascii="Arial" w:cs="Arial" w:eastAsia="Arial" w:hAnsi="Arial"/>
          <w:sz w:val="14"/>
          <w:szCs w:val="14"/>
          <w:color w:val="auto"/>
        </w:rPr>
      </w:pPr>
    </w:p>
    <w:p>
      <w:pPr>
        <w:ind w:left="660" w:hanging="328"/>
        <w:spacing w:after="0" w:line="293"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Net charge-offs to average outstanding loans during the period is calculated by dividing total net loan charge-offs (recoveries) during the year by average gross loans outstanding during the year.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Allowance for credit losses as a percentage of non-performing loans ratio is calculated by dividing the ACL at the end of the period by non-accrual loans at the end of the period.</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ACL and the allowance for credit losses by portfolio with a comparison of the percentage composition in relation to total ACL and allowance for credit losses and total loans as of March 31, 2023, and December 31, 2022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2023</w:t>
            </w: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140" w:type="dxa"/>
            <w:vAlign w:val="bottom"/>
          </w:tcPr>
          <w:p>
            <w:pPr>
              <w:spacing w:after="0"/>
              <w:rPr>
                <w:sz w:val="13"/>
                <w:szCs w:val="13"/>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Allowance for credit</w:t>
            </w:r>
          </w:p>
        </w:tc>
        <w:tc>
          <w:tcPr>
            <w:tcW w:w="12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9"/>
              </w:rPr>
              <w:t>Percent of Allowance in</w:t>
            </w:r>
          </w:p>
        </w:tc>
        <w:tc>
          <w:tcPr>
            <w:tcW w:w="8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Percent of Loans in</w:t>
            </w: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Each Category to Total</w:t>
            </w:r>
          </w:p>
        </w:tc>
        <w:tc>
          <w:tcPr>
            <w:tcW w:w="8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Each Category to Total</w:t>
            </w:r>
          </w:p>
        </w:tc>
        <w:tc>
          <w:tcPr>
            <w:tcW w:w="0" w:type="dxa"/>
            <w:vAlign w:val="bottom"/>
          </w:tcPr>
          <w:p>
            <w:pPr>
              <w:spacing w:after="0"/>
              <w:rPr>
                <w:sz w:val="1"/>
                <w:szCs w:val="1"/>
                <w:color w:val="auto"/>
              </w:rPr>
            </w:pPr>
          </w:p>
        </w:tc>
      </w:tr>
      <w:tr>
        <w:trPr>
          <w:trHeight w:val="213"/>
        </w:trPr>
        <w:tc>
          <w:tcPr>
            <w:tcW w:w="6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76"/>
              </w:rPr>
              <w:t>losses</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Allocated ACL</w:t>
            </w:r>
          </w:p>
        </w:tc>
        <w:tc>
          <w:tcPr>
            <w:tcW w:w="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Loans</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real estate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18,409</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71.62 %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59.14 %</w:t>
            </w:r>
          </w:p>
        </w:tc>
        <w:tc>
          <w:tcPr>
            <w:tcW w:w="0" w:type="dxa"/>
            <w:vAlign w:val="bottom"/>
          </w:tcPr>
          <w:p>
            <w:pPr>
              <w:spacing w:after="0"/>
              <w:rPr>
                <w:sz w:val="1"/>
                <w:szCs w:val="1"/>
                <w:color w:val="auto"/>
              </w:rPr>
            </w:pP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Owner-occupied commercial real estate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556</w:t>
            </w:r>
          </w:p>
        </w:tc>
        <w:tc>
          <w:tcPr>
            <w:tcW w:w="1800" w:type="dxa"/>
            <w:vAlign w:val="bottom"/>
            <w:gridSpan w:val="2"/>
          </w:tcPr>
          <w:p>
            <w:pPr>
              <w:jc w:val="right"/>
              <w:ind w:right="119"/>
              <w:spacing w:after="0"/>
              <w:rPr>
                <w:sz w:val="20"/>
                <w:szCs w:val="20"/>
                <w:color w:val="auto"/>
              </w:rPr>
            </w:pPr>
            <w:r>
              <w:rPr>
                <w:rFonts w:ascii="Arial" w:cs="Arial" w:eastAsia="Arial" w:hAnsi="Arial"/>
                <w:sz w:val="16"/>
                <w:szCs w:val="16"/>
                <w:color w:val="auto"/>
              </w:rPr>
              <w:t>2.16</w:t>
            </w:r>
          </w:p>
        </w:tc>
        <w:tc>
          <w:tcPr>
            <w:tcW w:w="1760" w:type="dxa"/>
            <w:vAlign w:val="bottom"/>
            <w:gridSpan w:val="2"/>
          </w:tcPr>
          <w:p>
            <w:pPr>
              <w:jc w:val="right"/>
              <w:ind w:right="119"/>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1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7.21</w:t>
            </w:r>
          </w:p>
        </w:tc>
        <w:tc>
          <w:tcPr>
            <w:tcW w:w="17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Commercial &amp; industrial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700</w:t>
            </w:r>
          </w:p>
        </w:tc>
        <w:tc>
          <w:tcPr>
            <w:tcW w:w="1800" w:type="dxa"/>
            <w:vAlign w:val="bottom"/>
            <w:gridSpan w:val="2"/>
          </w:tcPr>
          <w:p>
            <w:pPr>
              <w:jc w:val="right"/>
              <w:ind w:right="119"/>
              <w:spacing w:after="0"/>
              <w:rPr>
                <w:sz w:val="20"/>
                <w:szCs w:val="20"/>
                <w:color w:val="auto"/>
              </w:rPr>
            </w:pPr>
            <w:r>
              <w:rPr>
                <w:rFonts w:ascii="Arial" w:cs="Arial" w:eastAsia="Arial" w:hAnsi="Arial"/>
                <w:sz w:val="16"/>
                <w:szCs w:val="16"/>
                <w:color w:val="auto"/>
              </w:rPr>
              <w:t>2.72</w:t>
            </w:r>
          </w:p>
        </w:tc>
        <w:tc>
          <w:tcPr>
            <w:tcW w:w="1760" w:type="dxa"/>
            <w:vAlign w:val="bottom"/>
            <w:gridSpan w:val="2"/>
          </w:tcPr>
          <w:p>
            <w:pPr>
              <w:jc w:val="right"/>
              <w:ind w:right="119"/>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4,030</w:t>
            </w:r>
          </w:p>
        </w:tc>
        <w:tc>
          <w:tcPr>
            <w:tcW w:w="1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15.68</w:t>
            </w:r>
          </w:p>
        </w:tc>
        <w:tc>
          <w:tcPr>
            <w:tcW w:w="17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26.58</w:t>
            </w:r>
          </w:p>
        </w:tc>
        <w:tc>
          <w:tcPr>
            <w:tcW w:w="0" w:type="dxa"/>
            <w:vAlign w:val="bottom"/>
          </w:tcPr>
          <w:p>
            <w:pPr>
              <w:spacing w:after="0"/>
              <w:rPr>
                <w:sz w:val="1"/>
                <w:szCs w:val="1"/>
                <w:color w:val="auto"/>
              </w:rPr>
            </w:pPr>
          </w:p>
        </w:tc>
      </w:tr>
      <w:tr>
        <w:trPr>
          <w:trHeight w:val="213"/>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0.61</w:t>
            </w:r>
          </w:p>
        </w:tc>
        <w:tc>
          <w:tcPr>
            <w:tcW w:w="8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479"/>
        </w:trPr>
        <w:tc>
          <w:tcPr>
            <w:tcW w:w="614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31, 2022</w:t>
            </w:r>
          </w:p>
        </w:tc>
        <w:tc>
          <w:tcPr>
            <w:tcW w:w="80" w:type="dxa"/>
            <w:vAlign w:val="bottom"/>
            <w:tcBorders>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140" w:type="dxa"/>
            <w:vAlign w:val="bottom"/>
          </w:tcPr>
          <w:p>
            <w:pPr>
              <w:spacing w:after="0"/>
              <w:rPr>
                <w:sz w:val="13"/>
                <w:szCs w:val="13"/>
                <w:color w:val="auto"/>
              </w:rPr>
            </w:pPr>
          </w:p>
        </w:tc>
        <w:tc>
          <w:tcPr>
            <w:tcW w:w="15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Allowance for credit</w:t>
            </w:r>
          </w:p>
        </w:tc>
        <w:tc>
          <w:tcPr>
            <w:tcW w:w="12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9"/>
              </w:rPr>
              <w:t>Percent of Allowance in</w:t>
            </w:r>
          </w:p>
        </w:tc>
        <w:tc>
          <w:tcPr>
            <w:tcW w:w="80" w:type="dxa"/>
            <w:vAlign w:val="bottom"/>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Percent of Loans in</w:t>
            </w: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Each Category to Total</w:t>
            </w:r>
          </w:p>
        </w:tc>
        <w:tc>
          <w:tcPr>
            <w:tcW w:w="8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Each Category to Total</w:t>
            </w:r>
          </w:p>
        </w:tc>
        <w:tc>
          <w:tcPr>
            <w:tcW w:w="0" w:type="dxa"/>
            <w:vAlign w:val="bottom"/>
          </w:tcPr>
          <w:p>
            <w:pPr>
              <w:spacing w:after="0"/>
              <w:rPr>
                <w:sz w:val="1"/>
                <w:szCs w:val="1"/>
                <w:color w:val="auto"/>
              </w:rPr>
            </w:pPr>
          </w:p>
        </w:tc>
      </w:tr>
      <w:tr>
        <w:trPr>
          <w:trHeight w:val="213"/>
        </w:trPr>
        <w:tc>
          <w:tcPr>
            <w:tcW w:w="6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76"/>
              </w:rPr>
              <w:t>losses</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Allocated Allowance</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Loans</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real estate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15,477</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73.56 %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58.78 %</w:t>
            </w:r>
          </w:p>
        </w:tc>
        <w:tc>
          <w:tcPr>
            <w:tcW w:w="0" w:type="dxa"/>
            <w:vAlign w:val="bottom"/>
          </w:tcPr>
          <w:p>
            <w:pPr>
              <w:spacing w:after="0"/>
              <w:rPr>
                <w:sz w:val="1"/>
                <w:szCs w:val="1"/>
                <w:color w:val="auto"/>
              </w:rPr>
            </w:pP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Owner-occupied commercial real estate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635</w:t>
            </w:r>
          </w:p>
        </w:tc>
        <w:tc>
          <w:tcPr>
            <w:tcW w:w="1800" w:type="dxa"/>
            <w:vAlign w:val="bottom"/>
            <w:gridSpan w:val="2"/>
          </w:tcPr>
          <w:p>
            <w:pPr>
              <w:jc w:val="right"/>
              <w:ind w:right="119"/>
              <w:spacing w:after="0"/>
              <w:rPr>
                <w:sz w:val="20"/>
                <w:szCs w:val="20"/>
                <w:color w:val="auto"/>
              </w:rPr>
            </w:pPr>
            <w:r>
              <w:rPr>
                <w:rFonts w:ascii="Arial" w:cs="Arial" w:eastAsia="Arial" w:hAnsi="Arial"/>
                <w:sz w:val="16"/>
                <w:szCs w:val="16"/>
                <w:color w:val="auto"/>
              </w:rPr>
              <w:t>3.02</w:t>
            </w:r>
          </w:p>
        </w:tc>
        <w:tc>
          <w:tcPr>
            <w:tcW w:w="1760" w:type="dxa"/>
            <w:vAlign w:val="bottom"/>
            <w:gridSpan w:val="2"/>
          </w:tcPr>
          <w:p>
            <w:pPr>
              <w:jc w:val="right"/>
              <w:ind w:right="11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construction &amp; development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w:t>
            </w:r>
          </w:p>
        </w:tc>
        <w:tc>
          <w:tcPr>
            <w:tcW w:w="1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9.90</w:t>
            </w:r>
          </w:p>
        </w:tc>
        <w:tc>
          <w:tcPr>
            <w:tcW w:w="17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3"/>
        </w:trPr>
        <w:tc>
          <w:tcPr>
            <w:tcW w:w="6140" w:type="dxa"/>
            <w:vAlign w:val="bottom"/>
          </w:tcPr>
          <w:p>
            <w:pPr>
              <w:ind w:left="20"/>
              <w:spacing w:after="0"/>
              <w:rPr>
                <w:sz w:val="20"/>
                <w:szCs w:val="20"/>
                <w:color w:val="auto"/>
              </w:rPr>
            </w:pPr>
            <w:r>
              <w:rPr>
                <w:rFonts w:ascii="Arial" w:cs="Arial" w:eastAsia="Arial" w:hAnsi="Arial"/>
                <w:sz w:val="16"/>
                <w:szCs w:val="16"/>
                <w:color w:val="auto"/>
              </w:rPr>
              <w:t>Commercial &amp; industrial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438</w:t>
            </w:r>
          </w:p>
        </w:tc>
        <w:tc>
          <w:tcPr>
            <w:tcW w:w="1800" w:type="dxa"/>
            <w:vAlign w:val="bottom"/>
            <w:gridSpan w:val="2"/>
          </w:tcPr>
          <w:p>
            <w:pPr>
              <w:jc w:val="right"/>
              <w:ind w:right="119"/>
              <w:spacing w:after="0"/>
              <w:rPr>
                <w:sz w:val="20"/>
                <w:szCs w:val="20"/>
                <w:color w:val="auto"/>
              </w:rPr>
            </w:pPr>
            <w:r>
              <w:rPr>
                <w:rFonts w:ascii="Arial" w:cs="Arial" w:eastAsia="Arial" w:hAnsi="Arial"/>
                <w:sz w:val="16"/>
                <w:szCs w:val="16"/>
                <w:color w:val="auto"/>
              </w:rPr>
              <w:t>2.08</w:t>
            </w:r>
          </w:p>
        </w:tc>
        <w:tc>
          <w:tcPr>
            <w:tcW w:w="1760" w:type="dxa"/>
            <w:vAlign w:val="bottom"/>
            <w:gridSpan w:val="2"/>
          </w:tcPr>
          <w:p>
            <w:pPr>
              <w:jc w:val="right"/>
              <w:ind w:right="1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9"/>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w:t>
            </w:r>
          </w:p>
        </w:tc>
        <w:tc>
          <w:tcPr>
            <w:tcW w:w="18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11.31</w:t>
            </w:r>
          </w:p>
        </w:tc>
        <w:tc>
          <w:tcPr>
            <w:tcW w:w="17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Arial" w:cs="Arial" w:eastAsia="Arial" w:hAnsi="Arial"/>
                <w:sz w:val="16"/>
                <w:szCs w:val="16"/>
                <w:color w:val="auto"/>
              </w:rPr>
              <w:t>Consumer non-real estate and other</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0.13</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21,039</w:t>
            </w: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utilizes interest rate swap agreements as part of its asset/liability management strategy to help manage its interest rate risk position. The Company recognizes derivative financial instruments at fair value as either other assets or other liabilities on the Consolidated Balance Sheets. The Company’s use of derivative financial instruments are described more fully in </w:t>
      </w:r>
      <w:r>
        <w:rPr>
          <w:rFonts w:ascii="Arial" w:cs="Arial" w:eastAsia="Arial" w:hAnsi="Arial"/>
          <w:sz w:val="16"/>
          <w:szCs w:val="16"/>
          <w:u w:val="single" w:color="auto"/>
          <w:color w:val="0000FF"/>
        </w:rPr>
        <w:t>Note 9 — Derivatives</w:t>
      </w:r>
      <w:r>
        <w:rPr>
          <w:rFonts w:ascii="Arial" w:cs="Arial" w:eastAsia="Arial" w:hAnsi="Arial"/>
          <w:sz w:val="16"/>
          <w:szCs w:val="16"/>
          <w:color w:val="auto"/>
        </w:rPr>
        <w:t xml:space="preserve"> in Notes to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r>
        <w:rPr>
          <w:rFonts w:ascii="Arial" w:cs="Arial" w:eastAsia="Arial" w:hAnsi="Arial"/>
          <w:sz w:val="16"/>
          <w:szCs w:val="16"/>
          <w:u w:val="single" w:color="auto"/>
          <w:color w:val="0000FF"/>
        </w:rPr>
        <w:t>Note 10— Commitments and Contingencies</w:t>
      </w:r>
      <w:r>
        <w:rPr>
          <w:rFonts w:ascii="Arial" w:cs="Arial" w:eastAsia="Arial" w:hAnsi="Arial"/>
          <w:sz w:val="16"/>
          <w:szCs w:val="16"/>
          <w:color w:val="auto"/>
        </w:rPr>
        <w:t xml:space="preserve"> 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Activities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funding activities are monitored and governed through the Company’s asset/liability management process. Deposits are the primary source of funds for lending and investing activities; however, the Company will use borrowings to meet liquidity needs and for temporary funding. Sources of borrowings include advances from the FHLB of Atlanta,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from correspondent banks and the Fed Discount Window. The Company also utilizes brokered time deposits. For more discussion of brokered time deposits, see the Deposits heading below this section.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2023, the Company has available unused borrowing capacity of $809.1 million through its available lines of credit with the FHLB of Atlanta and unsecured federal fund lines of credit from correspondent banking relationships. Advances on credit lines are secured by both securities and loans.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certain information regarding borrowings as of the three months ended March 31, 2023, and December 31, 2022, respectively (dollars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March 31, 2023</w:t>
            </w:r>
          </w:p>
        </w:tc>
        <w:tc>
          <w:tcPr>
            <w:tcW w:w="200" w:type="dxa"/>
            <w:vAlign w:val="bottom"/>
          </w:tcPr>
          <w:p>
            <w:pPr>
              <w:spacing w:after="0"/>
              <w:rPr>
                <w:sz w:val="18"/>
                <w:szCs w:val="18"/>
                <w:color w:val="auto"/>
              </w:rPr>
            </w:pPr>
          </w:p>
        </w:tc>
        <w:tc>
          <w:tcPr>
            <w:tcW w:w="1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321,700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343,100</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Weighted average interest rate at end of period</w:t>
            </w:r>
          </w:p>
        </w:tc>
        <w:tc>
          <w:tcPr>
            <w:tcW w:w="2280" w:type="dxa"/>
            <w:vAlign w:val="bottom"/>
          </w:tcPr>
          <w:p>
            <w:pPr>
              <w:spacing w:after="0"/>
              <w:rPr>
                <w:sz w:val="18"/>
                <w:szCs w:val="18"/>
                <w:color w:val="auto"/>
              </w:rPr>
            </w:pPr>
          </w:p>
        </w:tc>
        <w:tc>
          <w:tcPr>
            <w:tcW w:w="1800" w:type="dxa"/>
            <w:vAlign w:val="bottom"/>
          </w:tcPr>
          <w:p>
            <w:pPr>
              <w:jc w:val="right"/>
              <w:ind w:right="99"/>
              <w:spacing w:after="0"/>
              <w:rPr>
                <w:sz w:val="20"/>
                <w:szCs w:val="20"/>
                <w:color w:val="auto"/>
              </w:rPr>
            </w:pPr>
            <w:r>
              <w:rPr>
                <w:rFonts w:ascii="Arial" w:cs="Arial" w:eastAsia="Arial" w:hAnsi="Arial"/>
                <w:sz w:val="16"/>
                <w:szCs w:val="16"/>
                <w:color w:val="auto"/>
              </w:rPr>
              <w:t>4.63%</w:t>
            </w:r>
          </w:p>
        </w:tc>
        <w:tc>
          <w:tcPr>
            <w:tcW w:w="200" w:type="dxa"/>
            <w:vAlign w:val="bottom"/>
          </w:tcPr>
          <w:p>
            <w:pPr>
              <w:spacing w:after="0"/>
              <w:rPr>
                <w:sz w:val="18"/>
                <w:szCs w:val="18"/>
                <w:color w:val="auto"/>
              </w:rPr>
            </w:pPr>
          </w:p>
        </w:tc>
        <w:tc>
          <w:tcPr>
            <w:tcW w:w="1800" w:type="dxa"/>
            <w:vAlign w:val="bottom"/>
          </w:tcPr>
          <w:p>
            <w:pPr>
              <w:jc w:val="right"/>
              <w:ind w:right="99"/>
              <w:spacing w:after="0"/>
              <w:rPr>
                <w:sz w:val="20"/>
                <w:szCs w:val="20"/>
                <w:color w:val="auto"/>
              </w:rPr>
            </w:pPr>
            <w:r>
              <w:rPr>
                <w:rFonts w:ascii="Arial" w:cs="Arial" w:eastAsia="Arial" w:hAnsi="Arial"/>
                <w:sz w:val="16"/>
                <w:szCs w:val="16"/>
                <w:color w:val="auto"/>
              </w:rPr>
              <w:t>4.42%</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deposits increased by $112.0 million from December 31, 2022, to March 31, 2023, due to an increase in the balance of brokered time deposits. The Company issued brokered time deposits that amounted to $389.2 million at March 31, 2023, and $100.3 million at December 31, 2022, which are included in the table below. The following table sets forth the balance of each category of deposits as of the dates indicated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 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4"/>
              </w:rPr>
              <w:t>December 31, 2022</w:t>
            </w:r>
          </w:p>
        </w:tc>
      </w:tr>
      <w:tr>
        <w:trPr>
          <w:trHeight w:val="210"/>
        </w:trPr>
        <w:tc>
          <w:tcPr>
            <w:tcW w:w="74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Balance</w:t>
            </w: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Demand, non-interest-bearing</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906,723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960,692</w:t>
            </w: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Demand, interest-bearing</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538,673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616,665</w:t>
            </w: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and savings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1,044,152</w:t>
            </w: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Time deposits, other</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588,182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298,891</w:t>
            </w: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interest-bearing</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2,125,668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1,959,708</w:t>
            </w:r>
          </w:p>
        </w:tc>
      </w:tr>
      <w:tr>
        <w:trPr>
          <w:trHeight w:val="206"/>
        </w:trPr>
        <w:tc>
          <w:tcPr>
            <w:tcW w:w="7480" w:type="dxa"/>
            <w:vAlign w:val="bottom"/>
          </w:tcPr>
          <w:p>
            <w:pPr>
              <w:ind w:left="20"/>
              <w:spacing w:after="0"/>
              <w:rPr>
                <w:sz w:val="20"/>
                <w:szCs w:val="20"/>
                <w:color w:val="auto"/>
              </w:rPr>
            </w:pPr>
            <w:r>
              <w:rPr>
                <w:rFonts w:ascii="Arial" w:cs="Arial" w:eastAsia="Arial" w:hAnsi="Arial"/>
                <w:sz w:val="16"/>
                <w:szCs w:val="16"/>
                <w:color w:val="auto"/>
              </w:rPr>
              <w:t>Total Deposits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3,032,391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2,920,400</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deposits that meet or exceed the FDIC insurance limit of $250,000 in the amounts of $715.1 million and $843.4 million at March 31, 2023, and December 31, 2022,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maturity ranges of time deposits as of March 31, 2023, that meet or exceed the FDIC insurance limit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 2023</w:t>
            </w:r>
          </w:p>
        </w:tc>
      </w:tr>
      <w:tr>
        <w:trPr>
          <w:trHeight w:val="213"/>
        </w:trPr>
        <w:tc>
          <w:tcPr>
            <w:tcW w:w="9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within 3 months or less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6,296</w:t>
            </w:r>
          </w:p>
        </w:tc>
      </w:tr>
      <w:tr>
        <w:trPr>
          <w:trHeight w:val="213"/>
        </w:trPr>
        <w:tc>
          <w:tcPr>
            <w:tcW w:w="9420" w:type="dxa"/>
            <w:vAlign w:val="bottom"/>
          </w:tcPr>
          <w:p>
            <w:pPr>
              <w:ind w:left="20"/>
              <w:spacing w:after="0"/>
              <w:rPr>
                <w:sz w:val="20"/>
                <w:szCs w:val="20"/>
                <w:color w:val="auto"/>
              </w:rPr>
            </w:pPr>
            <w:r>
              <w:rPr>
                <w:rFonts w:ascii="Arial" w:cs="Arial" w:eastAsia="Arial" w:hAnsi="Arial"/>
                <w:sz w:val="16"/>
                <w:szCs w:val="16"/>
                <w:color w:val="auto"/>
              </w:rPr>
              <w:t>Due after 3 months and within 6 months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6,084</w:t>
            </w:r>
          </w:p>
        </w:tc>
      </w:tr>
      <w:tr>
        <w:trPr>
          <w:trHeight w:val="219"/>
        </w:trPr>
        <w:tc>
          <w:tcPr>
            <w:tcW w:w="9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6 months and within 12 months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15,106</w:t>
            </w:r>
          </w:p>
        </w:tc>
      </w:tr>
      <w:tr>
        <w:trPr>
          <w:trHeight w:val="216"/>
        </w:trPr>
        <w:tc>
          <w:tcPr>
            <w:tcW w:w="9420" w:type="dxa"/>
            <w:vAlign w:val="bottom"/>
          </w:tcPr>
          <w:p>
            <w:pPr>
              <w:ind w:left="20"/>
              <w:spacing w:after="0"/>
              <w:rPr>
                <w:sz w:val="20"/>
                <w:szCs w:val="20"/>
                <w:color w:val="auto"/>
              </w:rPr>
            </w:pPr>
            <w:r>
              <w:rPr>
                <w:rFonts w:ascii="Arial" w:cs="Arial" w:eastAsia="Arial" w:hAnsi="Arial"/>
                <w:sz w:val="16"/>
                <w:szCs w:val="16"/>
                <w:color w:val="auto"/>
              </w:rPr>
              <w:t>Due after 12 months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8,181</w:t>
            </w:r>
          </w:p>
        </w:tc>
      </w:tr>
      <w:tr>
        <w:trPr>
          <w:trHeight w:val="21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uninsured, time deposits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35,667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Equity</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shareholders’ equity at March 31, 2023, was $289.8 million, compared to $273.5 million at December 31, 2022. Shareholders’ equity increased by $16.3 million in part due to a decrease in unrealized losses in the AFS securities portfolio since December 31, 2022. Accumulated other comprehensive income increased $15.7 million, primarily as a result of a decrease in unrealized losses on AFS investment securities.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and on at least a quarterly basis, in conjunction with the Company’s Asset/Liability meetings, reports its findings to the ALCO and to the Board. From time to time, management may change the frequency of such testing or update certain inputs as a result of abnormal market conditions.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 See </w:t>
      </w:r>
      <w:r>
        <w:rPr>
          <w:rFonts w:ascii="Arial" w:cs="Arial" w:eastAsia="Arial" w:hAnsi="Arial"/>
          <w:sz w:val="17"/>
          <w:szCs w:val="17"/>
          <w:u w:val="single" w:color="auto"/>
          <w:color w:val="0000FF"/>
        </w:rPr>
        <w:t>Item 2, Management’s Discussion and Analysis of Financial Condition and Results of Operations</w:t>
      </w:r>
      <w:r>
        <w:rPr>
          <w:rFonts w:ascii="Arial" w:cs="Arial" w:eastAsia="Arial" w:hAnsi="Arial"/>
          <w:sz w:val="17"/>
          <w:szCs w:val="17"/>
          <w:color w:val="auto"/>
        </w:rPr>
        <w:t>, Recent Events in the Financial Services Industry.</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do so will be successful. See </w:t>
      </w:r>
      <w:r>
        <w:rPr>
          <w:rFonts w:ascii="Arial" w:cs="Arial" w:eastAsia="Arial" w:hAnsi="Arial"/>
          <w:sz w:val="18"/>
          <w:szCs w:val="18"/>
          <w:u w:val="single" w:color="auto"/>
          <w:color w:val="0000FF"/>
        </w:rPr>
        <w:t>Note 9 -</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Derivatives</w:t>
      </w:r>
      <w:r>
        <w:rPr>
          <w:rFonts w:ascii="Arial" w:cs="Arial" w:eastAsia="Arial" w:hAnsi="Arial"/>
          <w:sz w:val="18"/>
          <w:szCs w:val="18"/>
          <w:color w:val="0000FF"/>
        </w:rPr>
        <w:t xml:space="preserve"> </w:t>
      </w:r>
      <w:r>
        <w:rPr>
          <w:rFonts w:ascii="Arial" w:cs="Arial" w:eastAsia="Arial" w:hAnsi="Arial"/>
          <w:sz w:val="18"/>
          <w:szCs w:val="18"/>
          <w:color w:val="000000"/>
        </w:rPr>
        <w:t>in Notes to Consolidated Financial Statements for a discussion of our hedging activity.</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 and through wholesale funding. Wholesale funding consists of, but is not limited to, borrowings with the FHLB, federal funds purchased, and brokered time deposits.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uses several tools to manage its interest rate risk, including interest rate sensitivity analysis, or gap analysis, market value of portfolio equity analysis, interest rate simulations under various rate scenarios, and net interest margin reports. The results of these reports are compared to limits established by the Company’s ALCO policies, and appropriate adjustments are made if the results are outside the established limits.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which is to facilitate meaningful strategy development and implementation.</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tables demonstrate the annualized result of an interest rate simulation and the estimated effect that a parallel interest rate shift, or “shock”, in the yield curve and subjective adjustments in deposit pricing might have on the Company’s projected net interest income over the next 12 months. This simulation assumes that there is no growth in interest-earning assets or interest-bearing liabilities over the next 12 months.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tcPr>
          <w:p>
            <w:pPr>
              <w:jc w:val="right"/>
              <w:ind w:right="1128"/>
              <w:spacing w:after="0"/>
              <w:rPr>
                <w:sz w:val="20"/>
                <w:szCs w:val="20"/>
                <w:color w:val="auto"/>
              </w:rPr>
            </w:pPr>
            <w:r>
              <w:rPr>
                <w:rFonts w:ascii="Arial" w:cs="Arial" w:eastAsia="Arial" w:hAnsi="Arial"/>
                <w:sz w:val="14"/>
                <w:szCs w:val="14"/>
                <w:b w:val="1"/>
                <w:bCs w:val="1"/>
                <w:color w:val="auto"/>
              </w:rPr>
              <w:t>As of March 31, 2023</w:t>
            </w:r>
          </w:p>
        </w:tc>
        <w:tc>
          <w:tcPr>
            <w:tcW w:w="10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As of December 31, 2022</w:t>
            </w:r>
          </w:p>
        </w:tc>
      </w:tr>
      <w:tr>
        <w:trPr>
          <w:trHeight w:val="209"/>
        </w:trPr>
        <w:tc>
          <w:tcPr>
            <w:tcW w:w="35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Change in Interest Rates (in Basis Points)</w:t>
            </w:r>
          </w:p>
        </w:tc>
        <w:tc>
          <w:tcPr>
            <w:tcW w:w="100" w:type="dxa"/>
            <w:vAlign w:val="bottom"/>
          </w:tcPr>
          <w:p>
            <w:pPr>
              <w:spacing w:after="0"/>
              <w:rPr>
                <w:sz w:val="18"/>
                <w:szCs w:val="18"/>
                <w:color w:val="auto"/>
              </w:rPr>
            </w:pPr>
          </w:p>
        </w:tc>
        <w:tc>
          <w:tcPr>
            <w:tcW w:w="37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Percentage Change in Net Interest Income</w:t>
            </w:r>
          </w:p>
        </w:tc>
        <w:tc>
          <w:tcPr>
            <w:tcW w:w="100" w:type="dxa"/>
            <w:vAlign w:val="bottom"/>
          </w:tcPr>
          <w:p>
            <w:pPr>
              <w:spacing w:after="0"/>
              <w:rPr>
                <w:sz w:val="18"/>
                <w:szCs w:val="18"/>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Percentage Change in Net Interest Income</w:t>
            </w:r>
          </w:p>
        </w:tc>
      </w:tr>
      <w:tr>
        <w:trPr>
          <w:trHeight w:val="243"/>
        </w:trPr>
        <w:tc>
          <w:tcPr>
            <w:tcW w:w="3580" w:type="dxa"/>
            <w:vAlign w:val="bottom"/>
            <w:shd w:val="clear" w:color="auto" w:fill="CCEEFF"/>
          </w:tcPr>
          <w:p>
            <w:pPr>
              <w:jc w:val="center"/>
              <w:ind w:left="3073"/>
              <w:spacing w:after="0"/>
              <w:rPr>
                <w:sz w:val="20"/>
                <w:szCs w:val="20"/>
                <w:color w:val="auto"/>
              </w:rPr>
            </w:pPr>
            <w:r>
              <w:rPr>
                <w:rFonts w:ascii="Arial" w:cs="Arial" w:eastAsia="Arial" w:hAnsi="Arial"/>
                <w:sz w:val="18"/>
                <w:szCs w:val="18"/>
                <w:color w:val="auto"/>
                <w:w w:val="86"/>
              </w:rPr>
              <w:t>300</w:t>
            </w:r>
          </w:p>
        </w:tc>
        <w:tc>
          <w:tcPr>
            <w:tcW w:w="3820" w:type="dxa"/>
            <w:vAlign w:val="bottom"/>
            <w:gridSpan w:val="2"/>
            <w:shd w:val="clear" w:color="auto" w:fill="CCEEFF"/>
          </w:tcPr>
          <w:p>
            <w:pPr>
              <w:ind w:left="3380"/>
              <w:spacing w:after="0"/>
              <w:rPr>
                <w:sz w:val="20"/>
                <w:szCs w:val="20"/>
                <w:color w:val="auto"/>
              </w:rPr>
            </w:pPr>
            <w:r>
              <w:rPr>
                <w:rFonts w:ascii="Arial" w:cs="Arial" w:eastAsia="Arial" w:hAnsi="Arial"/>
                <w:sz w:val="18"/>
                <w:szCs w:val="18"/>
                <w:color w:val="auto"/>
                <w:w w:val="91"/>
              </w:rPr>
              <w:t>6.8 %</w:t>
            </w:r>
          </w:p>
        </w:tc>
        <w:tc>
          <w:tcPr>
            <w:tcW w:w="38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w w:val="94"/>
              </w:rPr>
              <w:t>(9.2)%</w:t>
            </w:r>
          </w:p>
        </w:tc>
      </w:tr>
      <w:tr>
        <w:trPr>
          <w:trHeight w:val="229"/>
        </w:trPr>
        <w:tc>
          <w:tcPr>
            <w:tcW w:w="3580" w:type="dxa"/>
            <w:vAlign w:val="bottom"/>
          </w:tcPr>
          <w:p>
            <w:pPr>
              <w:jc w:val="center"/>
              <w:ind w:left="3073"/>
              <w:spacing w:after="0"/>
              <w:rPr>
                <w:sz w:val="20"/>
                <w:szCs w:val="20"/>
                <w:color w:val="auto"/>
              </w:rPr>
            </w:pPr>
            <w:r>
              <w:rPr>
                <w:rFonts w:ascii="Arial" w:cs="Arial" w:eastAsia="Arial" w:hAnsi="Arial"/>
                <w:sz w:val="18"/>
                <w:szCs w:val="18"/>
                <w:color w:val="auto"/>
                <w:w w:val="86"/>
              </w:rPr>
              <w:t>200</w:t>
            </w:r>
          </w:p>
        </w:tc>
        <w:tc>
          <w:tcPr>
            <w:tcW w:w="3820" w:type="dxa"/>
            <w:vAlign w:val="bottom"/>
            <w:gridSpan w:val="2"/>
          </w:tcPr>
          <w:p>
            <w:pPr>
              <w:ind w:left="3380"/>
              <w:spacing w:after="0"/>
              <w:rPr>
                <w:sz w:val="20"/>
                <w:szCs w:val="20"/>
                <w:color w:val="auto"/>
              </w:rPr>
            </w:pPr>
            <w:r>
              <w:rPr>
                <w:rFonts w:ascii="Arial" w:cs="Arial" w:eastAsia="Arial" w:hAnsi="Arial"/>
                <w:sz w:val="18"/>
                <w:szCs w:val="18"/>
                <w:color w:val="auto"/>
              </w:rPr>
              <w:t>4.5</w:t>
            </w:r>
          </w:p>
        </w:tc>
        <w:tc>
          <w:tcPr>
            <w:tcW w:w="3820" w:type="dxa"/>
            <w:vAlign w:val="bottom"/>
            <w:gridSpan w:val="2"/>
          </w:tcPr>
          <w:p>
            <w:pPr>
              <w:ind w:left="3300"/>
              <w:spacing w:after="0"/>
              <w:rPr>
                <w:sz w:val="20"/>
                <w:szCs w:val="20"/>
                <w:color w:val="auto"/>
              </w:rPr>
            </w:pPr>
            <w:r>
              <w:rPr>
                <w:rFonts w:ascii="Arial" w:cs="Arial" w:eastAsia="Arial" w:hAnsi="Arial"/>
                <w:sz w:val="18"/>
                <w:szCs w:val="18"/>
                <w:color w:val="auto"/>
              </w:rPr>
              <w:t>(6.2)</w:t>
            </w:r>
          </w:p>
        </w:tc>
      </w:tr>
      <w:tr>
        <w:trPr>
          <w:trHeight w:val="229"/>
        </w:trPr>
        <w:tc>
          <w:tcPr>
            <w:tcW w:w="3580" w:type="dxa"/>
            <w:vAlign w:val="bottom"/>
            <w:shd w:val="clear" w:color="auto" w:fill="CCEEFF"/>
          </w:tcPr>
          <w:p>
            <w:pPr>
              <w:jc w:val="center"/>
              <w:ind w:left="3073"/>
              <w:spacing w:after="0"/>
              <w:rPr>
                <w:sz w:val="20"/>
                <w:szCs w:val="20"/>
                <w:color w:val="auto"/>
              </w:rPr>
            </w:pPr>
            <w:r>
              <w:rPr>
                <w:rFonts w:ascii="Arial" w:cs="Arial" w:eastAsia="Arial" w:hAnsi="Arial"/>
                <w:sz w:val="18"/>
                <w:szCs w:val="18"/>
                <w:color w:val="auto"/>
                <w:w w:val="86"/>
              </w:rPr>
              <w:t>100</w:t>
            </w:r>
          </w:p>
        </w:tc>
        <w:tc>
          <w:tcPr>
            <w:tcW w:w="3820" w:type="dxa"/>
            <w:vAlign w:val="bottom"/>
            <w:gridSpan w:val="2"/>
            <w:shd w:val="clear" w:color="auto" w:fill="CCEEFF"/>
          </w:tcPr>
          <w:p>
            <w:pPr>
              <w:ind w:left="3380"/>
              <w:spacing w:after="0"/>
              <w:rPr>
                <w:sz w:val="20"/>
                <w:szCs w:val="20"/>
                <w:color w:val="auto"/>
              </w:rPr>
            </w:pPr>
            <w:r>
              <w:rPr>
                <w:rFonts w:ascii="Arial" w:cs="Arial" w:eastAsia="Arial" w:hAnsi="Arial"/>
                <w:sz w:val="18"/>
                <w:szCs w:val="18"/>
                <w:color w:val="auto"/>
              </w:rPr>
              <w:t>2.5</w:t>
            </w:r>
          </w:p>
        </w:tc>
        <w:tc>
          <w:tcPr>
            <w:tcW w:w="38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(3.0)</w:t>
            </w:r>
          </w:p>
        </w:tc>
      </w:tr>
      <w:tr>
        <w:trPr>
          <w:trHeight w:val="237"/>
        </w:trPr>
        <w:tc>
          <w:tcPr>
            <w:tcW w:w="3580" w:type="dxa"/>
            <w:vAlign w:val="bottom"/>
          </w:tcPr>
          <w:p>
            <w:pPr>
              <w:jc w:val="center"/>
              <w:ind w:left="3053"/>
              <w:spacing w:after="0"/>
              <w:rPr>
                <w:sz w:val="20"/>
                <w:szCs w:val="20"/>
                <w:color w:val="auto"/>
              </w:rPr>
            </w:pPr>
            <w:r>
              <w:rPr>
                <w:rFonts w:ascii="Arial" w:cs="Arial" w:eastAsia="Arial" w:hAnsi="Arial"/>
                <w:sz w:val="18"/>
                <w:szCs w:val="18"/>
                <w:color w:val="auto"/>
                <w:w w:val="95"/>
              </w:rPr>
              <w:t>(100)</w:t>
            </w:r>
          </w:p>
        </w:tc>
        <w:tc>
          <w:tcPr>
            <w:tcW w:w="3820" w:type="dxa"/>
            <w:vAlign w:val="bottom"/>
            <w:gridSpan w:val="2"/>
          </w:tcPr>
          <w:p>
            <w:pPr>
              <w:jc w:val="right"/>
              <w:ind w:right="108"/>
              <w:spacing w:after="0"/>
              <w:rPr>
                <w:sz w:val="20"/>
                <w:szCs w:val="20"/>
                <w:color w:val="auto"/>
              </w:rPr>
            </w:pPr>
            <w:r>
              <w:rPr>
                <w:rFonts w:ascii="Arial" w:cs="Arial" w:eastAsia="Arial" w:hAnsi="Arial"/>
                <w:sz w:val="18"/>
                <w:szCs w:val="18"/>
                <w:color w:val="auto"/>
              </w:rPr>
              <w:t>(5.1)</w:t>
            </w:r>
          </w:p>
        </w:tc>
        <w:tc>
          <w:tcPr>
            <w:tcW w:w="3820" w:type="dxa"/>
            <w:vAlign w:val="bottom"/>
            <w:gridSpan w:val="2"/>
          </w:tcPr>
          <w:p>
            <w:pPr>
              <w:ind w:left="3300"/>
              <w:spacing w:after="0"/>
              <w:rPr>
                <w:sz w:val="20"/>
                <w:szCs w:val="20"/>
                <w:color w:val="auto"/>
              </w:rPr>
            </w:pPr>
            <w:r>
              <w:rPr>
                <w:rFonts w:ascii="Arial" w:cs="Arial" w:eastAsia="Arial" w:hAnsi="Arial"/>
                <w:sz w:val="18"/>
                <w:szCs w:val="18"/>
                <w:color w:val="auto"/>
              </w:rPr>
              <w:t>(2.0)</w:t>
            </w:r>
          </w:p>
        </w:tc>
      </w:tr>
      <w:tr>
        <w:trPr>
          <w:trHeight w:val="236"/>
        </w:trPr>
        <w:tc>
          <w:tcPr>
            <w:tcW w:w="3580" w:type="dxa"/>
            <w:vAlign w:val="bottom"/>
            <w:shd w:val="clear" w:color="auto" w:fill="CCEEFF"/>
          </w:tcPr>
          <w:p>
            <w:pPr>
              <w:jc w:val="center"/>
              <w:ind w:left="3053"/>
              <w:spacing w:after="0"/>
              <w:rPr>
                <w:sz w:val="20"/>
                <w:szCs w:val="20"/>
                <w:color w:val="auto"/>
              </w:rPr>
            </w:pPr>
            <w:r>
              <w:rPr>
                <w:rFonts w:ascii="Arial" w:cs="Arial" w:eastAsia="Arial" w:hAnsi="Arial"/>
                <w:sz w:val="18"/>
                <w:szCs w:val="18"/>
                <w:color w:val="auto"/>
                <w:w w:val="95"/>
              </w:rPr>
              <w:t>(200)</w:t>
            </w:r>
          </w:p>
        </w:tc>
        <w:tc>
          <w:tcPr>
            <w:tcW w:w="38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(9.7)</w:t>
            </w:r>
          </w:p>
        </w:tc>
        <w:tc>
          <w:tcPr>
            <w:tcW w:w="38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(5.8)</w:t>
            </w:r>
          </w:p>
        </w:tc>
      </w:tr>
    </w:tbl>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Economic Value of Equity Analysis (“EVE”). </w:t>
      </w:r>
      <w:r>
        <w:rPr>
          <w:rFonts w:ascii="Arial" w:cs="Arial" w:eastAsia="Arial" w:hAnsi="Arial"/>
          <w:sz w:val="18"/>
          <w:szCs w:val="18"/>
          <w:color w:val="auto"/>
        </w:rPr>
        <w:t>We analyze the sensitivity of our financial condition to changes in interest rates through our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March 31,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tcPr>
          <w:p>
            <w:pPr>
              <w:jc w:val="right"/>
              <w:ind w:right="1122"/>
              <w:spacing w:after="0"/>
              <w:rPr>
                <w:sz w:val="20"/>
                <w:szCs w:val="20"/>
                <w:color w:val="auto"/>
              </w:rPr>
            </w:pPr>
            <w:r>
              <w:rPr>
                <w:rFonts w:ascii="Arial" w:cs="Arial" w:eastAsia="Arial" w:hAnsi="Arial"/>
                <w:sz w:val="14"/>
                <w:szCs w:val="14"/>
                <w:b w:val="1"/>
                <w:bCs w:val="1"/>
                <w:color w:val="auto"/>
              </w:rPr>
              <w:t>As of March 31, 2023</w:t>
            </w:r>
          </w:p>
        </w:tc>
        <w:tc>
          <w:tcPr>
            <w:tcW w:w="100" w:type="dxa"/>
            <w:vAlign w:val="bottom"/>
          </w:tcPr>
          <w:p>
            <w:pPr>
              <w:spacing w:after="0"/>
              <w:rPr>
                <w:sz w:val="16"/>
                <w:szCs w:val="16"/>
                <w:color w:val="auto"/>
              </w:rPr>
            </w:pPr>
          </w:p>
        </w:tc>
        <w:tc>
          <w:tcPr>
            <w:tcW w:w="3720" w:type="dxa"/>
            <w:vAlign w:val="bottom"/>
          </w:tcPr>
          <w:p>
            <w:pPr>
              <w:jc w:val="right"/>
              <w:ind w:right="1022"/>
              <w:spacing w:after="0"/>
              <w:rPr>
                <w:sz w:val="20"/>
                <w:szCs w:val="20"/>
                <w:color w:val="auto"/>
              </w:rPr>
            </w:pPr>
            <w:r>
              <w:rPr>
                <w:rFonts w:ascii="Arial" w:cs="Arial" w:eastAsia="Arial" w:hAnsi="Arial"/>
                <w:sz w:val="14"/>
                <w:szCs w:val="14"/>
                <w:b w:val="1"/>
                <w:bCs w:val="1"/>
                <w:color w:val="auto"/>
              </w:rPr>
              <w:t>As of December 31, 2022</w:t>
            </w:r>
          </w:p>
        </w:tc>
      </w:tr>
      <w:tr>
        <w:trPr>
          <w:trHeight w:val="189"/>
        </w:trPr>
        <w:tc>
          <w:tcPr>
            <w:tcW w:w="3580" w:type="dxa"/>
            <w:vAlign w:val="bottom"/>
          </w:tcPr>
          <w:p>
            <w:pPr>
              <w:ind w:left="520"/>
              <w:spacing w:after="0"/>
              <w:rPr>
                <w:sz w:val="20"/>
                <w:szCs w:val="20"/>
                <w:color w:val="auto"/>
              </w:rPr>
            </w:pPr>
            <w:r>
              <w:rPr>
                <w:rFonts w:ascii="Arial" w:cs="Arial" w:eastAsia="Arial" w:hAnsi="Arial"/>
                <w:sz w:val="14"/>
                <w:szCs w:val="14"/>
                <w:b w:val="1"/>
                <w:bCs w:val="1"/>
                <w:color w:val="auto"/>
              </w:rPr>
              <w:t>Change in Interest Rates (in Basis Points)</w:t>
            </w:r>
          </w:p>
        </w:tc>
        <w:tc>
          <w:tcPr>
            <w:tcW w:w="100" w:type="dxa"/>
            <w:vAlign w:val="bottom"/>
          </w:tcPr>
          <w:p>
            <w:pPr>
              <w:spacing w:after="0"/>
              <w:rPr>
                <w:sz w:val="16"/>
                <w:szCs w:val="16"/>
                <w:color w:val="auto"/>
              </w:rPr>
            </w:pPr>
          </w:p>
        </w:tc>
        <w:tc>
          <w:tcPr>
            <w:tcW w:w="3720" w:type="dxa"/>
            <w:vAlign w:val="bottom"/>
          </w:tcPr>
          <w:p>
            <w:pPr>
              <w:jc w:val="right"/>
              <w:ind w:right="942"/>
              <w:spacing w:after="0"/>
              <w:rPr>
                <w:sz w:val="20"/>
                <w:szCs w:val="20"/>
                <w:color w:val="auto"/>
              </w:rPr>
            </w:pPr>
            <w:r>
              <w:rPr>
                <w:rFonts w:ascii="Arial" w:cs="Arial" w:eastAsia="Arial" w:hAnsi="Arial"/>
                <w:sz w:val="14"/>
                <w:szCs w:val="14"/>
                <w:b w:val="1"/>
                <w:bCs w:val="1"/>
                <w:color w:val="auto"/>
              </w:rPr>
              <w:t>Percentage Change in EVE</w:t>
            </w:r>
          </w:p>
        </w:tc>
        <w:tc>
          <w:tcPr>
            <w:tcW w:w="100" w:type="dxa"/>
            <w:vAlign w:val="bottom"/>
          </w:tcPr>
          <w:p>
            <w:pPr>
              <w:spacing w:after="0"/>
              <w:rPr>
                <w:sz w:val="16"/>
                <w:szCs w:val="16"/>
                <w:color w:val="auto"/>
              </w:rPr>
            </w:pPr>
          </w:p>
        </w:tc>
        <w:tc>
          <w:tcPr>
            <w:tcW w:w="3720" w:type="dxa"/>
            <w:vAlign w:val="bottom"/>
          </w:tcPr>
          <w:p>
            <w:pPr>
              <w:jc w:val="right"/>
              <w:ind w:right="942"/>
              <w:spacing w:after="0"/>
              <w:rPr>
                <w:sz w:val="20"/>
                <w:szCs w:val="20"/>
                <w:color w:val="auto"/>
              </w:rPr>
            </w:pPr>
            <w:r>
              <w:rPr>
                <w:rFonts w:ascii="Arial" w:cs="Arial" w:eastAsia="Arial" w:hAnsi="Arial"/>
                <w:sz w:val="14"/>
                <w:szCs w:val="14"/>
                <w:b w:val="1"/>
                <w:bCs w:val="1"/>
                <w:color w:val="auto"/>
              </w:rPr>
              <w:t>Percentage Change in EVE</w:t>
            </w:r>
          </w:p>
        </w:tc>
      </w:tr>
      <w:tr>
        <w:trPr>
          <w:trHeight w:val="25"/>
        </w:trPr>
        <w:tc>
          <w:tcPr>
            <w:tcW w:w="3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23"/>
        </w:trPr>
        <w:tc>
          <w:tcPr>
            <w:tcW w:w="3580" w:type="dxa"/>
            <w:vAlign w:val="bottom"/>
            <w:shd w:val="clear" w:color="auto" w:fill="CCEEFF"/>
          </w:tcPr>
          <w:p>
            <w:pPr>
              <w:jc w:val="center"/>
              <w:ind w:left="3073"/>
              <w:spacing w:after="0"/>
              <w:rPr>
                <w:sz w:val="20"/>
                <w:szCs w:val="20"/>
                <w:color w:val="auto"/>
              </w:rPr>
            </w:pPr>
            <w:r>
              <w:rPr>
                <w:rFonts w:ascii="Arial" w:cs="Arial" w:eastAsia="Arial" w:hAnsi="Arial"/>
                <w:sz w:val="18"/>
                <w:szCs w:val="18"/>
                <w:color w:val="auto"/>
                <w:w w:val="86"/>
              </w:rPr>
              <w:t>300</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37"/>
        </w:trPr>
        <w:tc>
          <w:tcPr>
            <w:tcW w:w="3580" w:type="dxa"/>
            <w:vAlign w:val="bottom"/>
          </w:tcPr>
          <w:p>
            <w:pPr>
              <w:jc w:val="center"/>
              <w:ind w:left="3073"/>
              <w:spacing w:after="0"/>
              <w:rPr>
                <w:sz w:val="20"/>
                <w:szCs w:val="20"/>
                <w:color w:val="auto"/>
              </w:rPr>
            </w:pPr>
            <w:r>
              <w:rPr>
                <w:rFonts w:ascii="Arial" w:cs="Arial" w:eastAsia="Arial" w:hAnsi="Arial"/>
                <w:sz w:val="18"/>
                <w:szCs w:val="18"/>
                <w:color w:val="auto"/>
                <w:w w:val="86"/>
              </w:rPr>
              <w:t>200</w:t>
            </w:r>
          </w:p>
        </w:tc>
        <w:tc>
          <w:tcPr>
            <w:tcW w:w="3820" w:type="dxa"/>
            <w:vAlign w:val="bottom"/>
            <w:gridSpan w:val="2"/>
          </w:tcPr>
          <w:p>
            <w:pPr>
              <w:jc w:val="right"/>
              <w:ind w:right="102"/>
              <w:spacing w:after="0"/>
              <w:rPr>
                <w:sz w:val="20"/>
                <w:szCs w:val="20"/>
                <w:color w:val="auto"/>
              </w:rPr>
            </w:pPr>
            <w:r>
              <w:rPr>
                <w:rFonts w:ascii="Arial" w:cs="Arial" w:eastAsia="Arial" w:hAnsi="Arial"/>
                <w:sz w:val="18"/>
                <w:szCs w:val="18"/>
                <w:color w:val="auto"/>
              </w:rPr>
              <w:t>(7.1)</w:t>
            </w:r>
          </w:p>
        </w:tc>
        <w:tc>
          <w:tcPr>
            <w:tcW w:w="3820" w:type="dxa"/>
            <w:vAlign w:val="bottom"/>
            <w:gridSpan w:val="2"/>
          </w:tcPr>
          <w:p>
            <w:pPr>
              <w:jc w:val="right"/>
              <w:ind w:right="82"/>
              <w:spacing w:after="0"/>
              <w:rPr>
                <w:sz w:val="20"/>
                <w:szCs w:val="20"/>
                <w:color w:val="auto"/>
              </w:rPr>
            </w:pPr>
            <w:r>
              <w:rPr>
                <w:rFonts w:ascii="Arial" w:cs="Arial" w:eastAsia="Arial" w:hAnsi="Arial"/>
                <w:sz w:val="18"/>
                <w:szCs w:val="18"/>
                <w:color w:val="auto"/>
              </w:rPr>
              <w:t>(10.5)</w:t>
            </w:r>
          </w:p>
        </w:tc>
      </w:tr>
      <w:tr>
        <w:trPr>
          <w:trHeight w:val="236"/>
        </w:trPr>
        <w:tc>
          <w:tcPr>
            <w:tcW w:w="3580" w:type="dxa"/>
            <w:vAlign w:val="bottom"/>
            <w:shd w:val="clear" w:color="auto" w:fill="CCEEFF"/>
          </w:tcPr>
          <w:p>
            <w:pPr>
              <w:jc w:val="center"/>
              <w:ind w:left="3073"/>
              <w:spacing w:after="0"/>
              <w:rPr>
                <w:sz w:val="20"/>
                <w:szCs w:val="20"/>
                <w:color w:val="auto"/>
              </w:rPr>
            </w:pPr>
            <w:r>
              <w:rPr>
                <w:rFonts w:ascii="Arial" w:cs="Arial" w:eastAsia="Arial" w:hAnsi="Arial"/>
                <w:sz w:val="18"/>
                <w:szCs w:val="18"/>
                <w:color w:val="auto"/>
                <w:w w:val="86"/>
              </w:rPr>
              <w:t>100</w:t>
            </w:r>
          </w:p>
        </w:tc>
        <w:tc>
          <w:tcPr>
            <w:tcW w:w="38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(3.1)</w:t>
            </w:r>
          </w:p>
        </w:tc>
        <w:tc>
          <w:tcPr>
            <w:tcW w:w="38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(4.7)</w:t>
            </w:r>
          </w:p>
        </w:tc>
      </w:tr>
      <w:tr>
        <w:trPr>
          <w:trHeight w:val="229"/>
        </w:trPr>
        <w:tc>
          <w:tcPr>
            <w:tcW w:w="3580" w:type="dxa"/>
            <w:vAlign w:val="bottom"/>
          </w:tcPr>
          <w:p>
            <w:pPr>
              <w:jc w:val="center"/>
              <w:ind w:left="3053"/>
              <w:spacing w:after="0"/>
              <w:rPr>
                <w:sz w:val="20"/>
                <w:szCs w:val="20"/>
                <w:color w:val="auto"/>
              </w:rPr>
            </w:pPr>
            <w:r>
              <w:rPr>
                <w:rFonts w:ascii="Arial" w:cs="Arial" w:eastAsia="Arial" w:hAnsi="Arial"/>
                <w:sz w:val="18"/>
                <w:szCs w:val="18"/>
                <w:color w:val="auto"/>
                <w:w w:val="95"/>
              </w:rPr>
              <w:t>(100)</w:t>
            </w:r>
          </w:p>
        </w:tc>
        <w:tc>
          <w:tcPr>
            <w:tcW w:w="3820" w:type="dxa"/>
            <w:vAlign w:val="bottom"/>
            <w:gridSpan w:val="2"/>
          </w:tcPr>
          <w:p>
            <w:pPr>
              <w:jc w:val="right"/>
              <w:ind w:right="102"/>
              <w:spacing w:after="0"/>
              <w:rPr>
                <w:sz w:val="20"/>
                <w:szCs w:val="20"/>
                <w:color w:val="auto"/>
              </w:rPr>
            </w:pPr>
            <w:r>
              <w:rPr>
                <w:rFonts w:ascii="Arial" w:cs="Arial" w:eastAsia="Arial" w:hAnsi="Arial"/>
                <w:sz w:val="18"/>
                <w:szCs w:val="18"/>
                <w:color w:val="auto"/>
              </w:rPr>
              <w:t>(0.1)</w:t>
            </w:r>
          </w:p>
        </w:tc>
        <w:tc>
          <w:tcPr>
            <w:tcW w:w="3820" w:type="dxa"/>
            <w:vAlign w:val="bottom"/>
            <w:gridSpan w:val="2"/>
          </w:tcPr>
          <w:p>
            <w:pPr>
              <w:jc w:val="right"/>
              <w:ind w:right="142"/>
              <w:spacing w:after="0"/>
              <w:rPr>
                <w:sz w:val="20"/>
                <w:szCs w:val="20"/>
                <w:color w:val="auto"/>
              </w:rPr>
            </w:pPr>
            <w:r>
              <w:rPr>
                <w:rFonts w:ascii="Arial" w:cs="Arial" w:eastAsia="Arial" w:hAnsi="Arial"/>
                <w:sz w:val="18"/>
                <w:szCs w:val="18"/>
                <w:color w:val="auto"/>
              </w:rPr>
              <w:t>0.1</w:t>
            </w:r>
          </w:p>
        </w:tc>
      </w:tr>
      <w:tr>
        <w:trPr>
          <w:trHeight w:val="243"/>
        </w:trPr>
        <w:tc>
          <w:tcPr>
            <w:tcW w:w="3580" w:type="dxa"/>
            <w:vAlign w:val="bottom"/>
            <w:shd w:val="clear" w:color="auto" w:fill="CCEEFF"/>
          </w:tcPr>
          <w:p>
            <w:pPr>
              <w:jc w:val="center"/>
              <w:ind w:left="3053"/>
              <w:spacing w:after="0"/>
              <w:rPr>
                <w:sz w:val="20"/>
                <w:szCs w:val="20"/>
                <w:color w:val="auto"/>
              </w:rPr>
            </w:pPr>
            <w:r>
              <w:rPr>
                <w:rFonts w:ascii="Arial" w:cs="Arial" w:eastAsia="Arial" w:hAnsi="Arial"/>
                <w:sz w:val="18"/>
                <w:szCs w:val="18"/>
                <w:color w:val="auto"/>
                <w:w w:val="95"/>
              </w:rPr>
              <w:t>(200)</w:t>
            </w:r>
          </w:p>
        </w:tc>
        <w:tc>
          <w:tcPr>
            <w:tcW w:w="38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(3.0)</w:t>
            </w:r>
          </w:p>
        </w:tc>
        <w:tc>
          <w:tcPr>
            <w:tcW w:w="38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(3.2)</w:t>
            </w:r>
          </w:p>
        </w:tc>
      </w:tr>
    </w:tbl>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March 31, 2023. Based on their evaluation of the Company’s disclosure controls and procedures, the Company’s Chief Executive Officer and Chief Financial Officer have concluded that our disclosure controls and procedures are designed to ensure that information required to be disclosed by the Company in reports that it files or submits under the Exchange Act is recorded, processed, summarized and reported within the time periods specified in the SEC rules and regulations are designed and operating in an effective manner.</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2023, the Company adopted ASC 326, Financial Instruments — Credit Losses. Related to adoption of the standard, the Company modified certain internal controls and designed and implemented certain new internal controls over the measurement of the allowance for credit losses on loans and the reserve for unfunded commitments and related disclosures. New internal controls related primarily to the modeling of expected credit losses on loans, including controls over critical data and other inputs and model results. There were no other changes in our internal control over financial reporting that occurred during the quarter ended March 31, 2023, that have materially affected, or are reasonably likely to materially affect, our internal control over financial reporting.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our operations, and from time-to-time, the Company and its subsidiary are parties to various legal claims, lawsuits and proceedings incidental to the ordinary nature of the Company’s business. Currently, we are not party to any material legal proceedings, and no such proceedings are, to management’s knowledge, threatened against us. Although the ultimate outcome of any pending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 or otherwise require disclosure under the federal securities laws.</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changes in the risk factors that were disclosed in Item 1A, under the caption “Risk Factors” in our Registration Statement on Form 10 filed with the SEC on February 28, 2023, and as amended on April 4, 2023, April 20, 2023, and April 21, 2023, and declared as effective by the SEC on April 21, 2023.</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1160" w:type="dxa"/>
            <w:vAlign w:val="bottom"/>
          </w:tcPr>
          <w:p>
            <w:pPr>
              <w:ind w:left="40"/>
              <w:spacing w:after="0"/>
              <w:rPr>
                <w:sz w:val="20"/>
                <w:szCs w:val="20"/>
                <w:color w:val="auto"/>
              </w:rPr>
            </w:pPr>
            <w:r>
              <w:rPr>
                <w:rFonts w:ascii="Arial" w:cs="Arial" w:eastAsia="Arial" w:hAnsi="Arial"/>
                <w:sz w:val="14"/>
                <w:szCs w:val="14"/>
                <w:b w:val="1"/>
                <w:bCs w:val="1"/>
                <w:color w:val="auto"/>
              </w:rPr>
              <w:t>Exhibit No.</w:t>
            </w:r>
          </w:p>
        </w:tc>
        <w:tc>
          <w:tcPr>
            <w:tcW w:w="1000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8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vMerge w:val="continue"/>
          </w:tcPr>
          <w:p>
            <w:pPr>
              <w:spacing w:after="0"/>
              <w:rPr>
                <w:sz w:val="18"/>
                <w:szCs w:val="18"/>
                <w:color w:val="auto"/>
              </w:rPr>
            </w:pPr>
          </w:p>
        </w:tc>
        <w:tc>
          <w:tcPr>
            <w:tcW w:w="11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10.1</w:t>
            </w:r>
          </w:p>
        </w:tc>
        <w:tc>
          <w:tcPr>
            <w:tcW w:w="376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90"/>
              </w:rPr>
              <w:t>Form of RSU Award Agreement under the 2023 SIP</w:t>
            </w:r>
          </w:p>
        </w:tc>
        <w:tc>
          <w:tcPr>
            <w:tcW w:w="6160" w:type="dxa"/>
            <w:vAlign w:val="bottom"/>
            <w:tcBorders>
              <w:bottom w:val="single" w:sz="8" w:color="CCEEFF"/>
            </w:tcBorders>
            <w:gridSpan w:val="4"/>
            <w:shd w:val="clear" w:color="auto" w:fill="CCEEFF"/>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160" w:type="dxa"/>
            <w:vAlign w:val="bottom"/>
          </w:tcPr>
          <w:p>
            <w:pPr>
              <w:ind w:left="40"/>
              <w:spacing w:after="0" w:line="189" w:lineRule="exact"/>
              <w:rPr>
                <w:sz w:val="20"/>
                <w:szCs w:val="20"/>
                <w:color w:val="auto"/>
              </w:rPr>
            </w:pPr>
            <w:r>
              <w:rPr>
                <w:rFonts w:ascii="Arial" w:cs="Arial" w:eastAsia="Arial" w:hAnsi="Arial"/>
                <w:sz w:val="18"/>
                <w:szCs w:val="18"/>
                <w:color w:val="auto"/>
              </w:rPr>
              <w:t>31.1</w:t>
            </w:r>
          </w:p>
        </w:tc>
        <w:tc>
          <w:tcPr>
            <w:tcW w:w="9920" w:type="dxa"/>
            <w:vAlign w:val="bottom"/>
            <w:gridSpan w:val="6"/>
          </w:tcPr>
          <w:p>
            <w:pPr>
              <w:spacing w:after="0" w:line="189" w:lineRule="exact"/>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2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vMerge w:val="continue"/>
          </w:tcPr>
          <w:p>
            <w:pPr>
              <w:spacing w:after="0"/>
              <w:rPr>
                <w:sz w:val="19"/>
                <w:szCs w:val="19"/>
                <w:color w:val="auto"/>
              </w:rPr>
            </w:pPr>
          </w:p>
        </w:tc>
        <w:tc>
          <w:tcPr>
            <w:tcW w:w="11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31.2</w:t>
            </w:r>
          </w:p>
        </w:tc>
        <w:tc>
          <w:tcPr>
            <w:tcW w:w="7140" w:type="dxa"/>
            <w:vAlign w:val="bottom"/>
            <w:tcBorders>
              <w:bottom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color w:val="0000FF"/>
                <w:w w:val="91"/>
              </w:rPr>
              <w:t>Certification of Chief Financial Officer Pursuant to Section 302 of the Sarbanes-Oxley Act of 2002</w:t>
            </w:r>
          </w:p>
        </w:tc>
        <w:tc>
          <w:tcPr>
            <w:tcW w:w="2780" w:type="dxa"/>
            <w:vAlign w:val="bottom"/>
            <w:tcBorders>
              <w:bottom w:val="single" w:sz="8" w:color="CCEEFF"/>
            </w:tcBorders>
            <w:gridSpan w:val="3"/>
            <w:shd w:val="clear" w:color="auto" w:fill="CCEEFF"/>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160" w:type="dxa"/>
            <w:vAlign w:val="bottom"/>
          </w:tcPr>
          <w:p>
            <w:pPr>
              <w:ind w:left="40"/>
              <w:spacing w:after="0" w:line="189" w:lineRule="exact"/>
              <w:rPr>
                <w:sz w:val="20"/>
                <w:szCs w:val="20"/>
                <w:color w:val="auto"/>
              </w:rPr>
            </w:pPr>
            <w:r>
              <w:rPr>
                <w:rFonts w:ascii="Arial" w:cs="Arial" w:eastAsia="Arial" w:hAnsi="Arial"/>
                <w:sz w:val="18"/>
                <w:szCs w:val="18"/>
                <w:color w:val="auto"/>
              </w:rPr>
              <w:t>32.1</w:t>
            </w:r>
          </w:p>
        </w:tc>
        <w:tc>
          <w:tcPr>
            <w:tcW w:w="9920" w:type="dxa"/>
            <w:vAlign w:val="bottom"/>
            <w:gridSpan w:val="6"/>
          </w:tcPr>
          <w:p>
            <w:pPr>
              <w:spacing w:after="0" w:line="189" w:lineRule="exact"/>
              <w:rPr>
                <w:sz w:val="20"/>
                <w:szCs w:val="20"/>
                <w:color w:val="auto"/>
              </w:rPr>
            </w:pPr>
            <w:r>
              <w:rPr>
                <w:rFonts w:ascii="Arial" w:cs="Arial" w:eastAsia="Arial" w:hAnsi="Arial"/>
                <w:sz w:val="18"/>
                <w:szCs w:val="18"/>
                <w:color w:val="0000FF"/>
                <w:w w:val="92"/>
              </w:rPr>
              <w:t>Certification of Chief Executive Officer and Chief Financial Officer Pursuant to 18 U.S.C. Section 1350, as adopted pursuant to Section</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80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906 of the Sarbanes-Oxley Act of 2002</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925"/>
        </w:trPr>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20" w:type="dxa"/>
            <w:vAlign w:val="bottom"/>
            <w:tcBorders>
              <w:top w:val="single" w:sz="8" w:color="0000FF"/>
            </w:tcBorders>
          </w:tcPr>
          <w:p>
            <w:pPr>
              <w:spacing w:after="0"/>
              <w:rPr>
                <w:sz w:val="24"/>
                <w:szCs w:val="24"/>
                <w:color w:val="auto"/>
              </w:rPr>
            </w:pPr>
          </w:p>
        </w:tc>
        <w:tc>
          <w:tcPr>
            <w:tcW w:w="4320" w:type="dxa"/>
            <w:vAlign w:val="bottom"/>
            <w:gridSpan w:val="2"/>
          </w:tcPr>
          <w:p>
            <w:pPr>
              <w:jc w:val="right"/>
              <w:ind w:right="266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Date: May 31, 2023</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Burke &amp; Herbert Financial Services Corp.</w:t>
      </w:r>
    </w:p>
    <w:p>
      <w:pPr>
        <w:spacing w:after="0" w:line="337" w:lineRule="exact"/>
        <w:rPr>
          <w:sz w:val="20"/>
          <w:szCs w:val="20"/>
          <w:color w:val="auto"/>
        </w:rPr>
      </w:pPr>
    </w:p>
    <w:tbl>
      <w:tblPr>
        <w:tblLayout w:type="fixed"/>
        <w:tblInd w:w="5960" w:type="dxa"/>
        <w:tblCellMar>
          <w:top w:w="0" w:type="dxa"/>
          <w:left w:w="0" w:type="dxa"/>
          <w:bottom w:w="0" w:type="dxa"/>
          <w:right w:w="0" w:type="dxa"/>
        </w:tblCellMar>
      </w:tblPr>
      <w:tr>
        <w:trPr>
          <w:trHeight w:val="251"/>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P. Boyle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ind w:left="20"/>
              <w:spacing w:after="0"/>
              <w:rPr>
                <w:sz w:val="20"/>
                <w:szCs w:val="20"/>
                <w:color w:val="auto"/>
              </w:rPr>
            </w:pPr>
            <w:r>
              <w:rPr>
                <w:rFonts w:ascii="Arial" w:cs="Arial" w:eastAsia="Arial" w:hAnsi="Arial"/>
                <w:sz w:val="18"/>
                <w:szCs w:val="18"/>
                <w:color w:val="auto"/>
              </w:rPr>
              <w:t>David P. Boyle</w:t>
            </w:r>
          </w:p>
        </w:tc>
      </w:tr>
      <w:tr>
        <w:trPr>
          <w:trHeight w:val="242"/>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rPr>
                <w:sz w:val="20"/>
                <w:szCs w:val="20"/>
                <w:color w:val="auto"/>
              </w:rPr>
            </w:pPr>
            <w:r>
              <w:rPr>
                <w:rFonts w:ascii="Arial" w:cs="Arial" w:eastAsia="Arial" w:hAnsi="Arial"/>
                <w:sz w:val="18"/>
                <w:szCs w:val="18"/>
                <w:color w:val="auto"/>
              </w:rPr>
              <w:t>President &amp; Chief Executive Officer</w:t>
            </w:r>
          </w:p>
        </w:tc>
      </w:tr>
      <w:tr>
        <w:trPr>
          <w:trHeight w:val="56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Roy E. Halyama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ind w:left="20"/>
              <w:spacing w:after="0"/>
              <w:rPr>
                <w:sz w:val="20"/>
                <w:szCs w:val="20"/>
                <w:color w:val="auto"/>
              </w:rPr>
            </w:pPr>
            <w:r>
              <w:rPr>
                <w:rFonts w:ascii="Arial" w:cs="Arial" w:eastAsia="Arial" w:hAnsi="Arial"/>
                <w:sz w:val="18"/>
                <w:szCs w:val="18"/>
                <w:color w:val="auto"/>
              </w:rPr>
              <w:t>Roy E. Halyama</w:t>
            </w:r>
          </w:p>
        </w:tc>
      </w:tr>
      <w:tr>
        <w:trPr>
          <w:trHeight w:val="25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5"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auto"/>
        </w:rPr>
        <w:t>BURKE &amp; HERBERT FINANCIAL SERVICES CORP.</w:t>
      </w:r>
    </w:p>
    <w:p>
      <w:pPr>
        <w:jc w:val="center"/>
        <w:spacing w:after="0"/>
        <w:rPr>
          <w:sz w:val="20"/>
          <w:szCs w:val="20"/>
          <w:color w:val="auto"/>
        </w:rPr>
      </w:pPr>
      <w:r>
        <w:rPr>
          <w:rFonts w:ascii="Arial" w:cs="Arial" w:eastAsia="Arial" w:hAnsi="Arial"/>
          <w:sz w:val="20"/>
          <w:szCs w:val="20"/>
          <w:b w:val="1"/>
          <w:bCs w:val="1"/>
          <w:color w:val="auto"/>
        </w:rPr>
        <w:t>2023 STOCK INCENTIVE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GRANT OF TIME-BASED RESTRICTED STOCK UNITS AWARD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Burke &amp; Herbert Financial Services Corp., pursuant to its 2023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highlight w:val="white"/>
        </w:rPr>
        <w:t>”), hereby grants to the individual listed below</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w:t>
      </w:r>
      <w:r>
        <w:rPr>
          <w:rFonts w:ascii="Arial" w:cs="Arial" w:eastAsia="Arial" w:hAnsi="Arial"/>
          <w:sz w:val="19"/>
          <w:szCs w:val="19"/>
          <w:color w:val="auto"/>
          <w:highlight w:val="white"/>
        </w:rPr>
        <w:t>”)</w:t>
      </w:r>
      <w:r>
        <w:rPr>
          <w:rFonts w:ascii="Arial" w:cs="Arial" w:eastAsia="Arial" w:hAnsi="Arial"/>
          <w:sz w:val="19"/>
          <w:szCs w:val="19"/>
          <w:color w:val="auto"/>
        </w:rPr>
        <w:t xml:space="preserve"> this award of Restricted Stock Units. </w:t>
      </w:r>
      <w:r>
        <w:rPr>
          <w:rFonts w:ascii="Arial" w:cs="Arial" w:eastAsia="Arial" w:hAnsi="Arial"/>
          <w:sz w:val="19"/>
          <w:szCs w:val="19"/>
          <w:color w:val="auto"/>
          <w:highlight w:val="white"/>
        </w:rPr>
        <w:t>The Restricted Stock Units described in this</w:t>
      </w:r>
      <w:r>
        <w:rPr>
          <w:rFonts w:ascii="Arial" w:cs="Arial" w:eastAsia="Arial" w:hAnsi="Arial"/>
          <w:sz w:val="19"/>
          <w:szCs w:val="19"/>
          <w:color w:val="auto"/>
        </w:rPr>
        <w:t xml:space="preserve"> Notice of Grant of Time-Based Restricted Stock Units Award </w:t>
      </w:r>
      <w:r>
        <w:rPr>
          <w:rFonts w:ascii="Arial" w:cs="Arial" w:eastAsia="Arial" w:hAnsi="Arial"/>
          <w:sz w:val="19"/>
          <w:szCs w:val="19"/>
          <w:color w:val="auto"/>
          <w:highlight w:val="white"/>
        </w:rPr>
        <w:t>(the “</w:t>
      </w:r>
      <w:r>
        <w:rPr>
          <w:rFonts w:ascii="Arial" w:cs="Arial" w:eastAsia="Arial" w:hAnsi="Arial"/>
          <w:sz w:val="19"/>
          <w:szCs w:val="19"/>
          <w:u w:val="single" w:color="auto"/>
          <w:color w:val="auto"/>
          <w:highlight w:val="white"/>
        </w:rPr>
        <w:t>Notice</w:t>
      </w:r>
      <w:r>
        <w:rPr>
          <w:rFonts w:ascii="Arial" w:cs="Arial" w:eastAsia="Arial" w:hAnsi="Arial"/>
          <w:sz w:val="19"/>
          <w:szCs w:val="19"/>
          <w:color w:val="auto"/>
          <w:highlight w:val="white"/>
        </w:rPr>
        <w:t>”) are subject to the terms and conditions set forth in the Award Agreement attached hereto</w:t>
      </w:r>
    </w:p>
    <w:p>
      <w:pPr>
        <w:spacing w:after="0" w:line="227" w:lineRule="auto"/>
        <w:rPr>
          <w:sz w:val="20"/>
          <w:szCs w:val="20"/>
          <w:color w:val="auto"/>
        </w:rPr>
      </w:pPr>
      <w:r>
        <w:rPr>
          <w:rFonts w:ascii="Arial" w:cs="Arial" w:eastAsia="Arial" w:hAnsi="Arial"/>
          <w:sz w:val="20"/>
          <w:szCs w:val="20"/>
          <w:color w:val="auto"/>
        </w:rPr>
        <w:t xml:space="preserve">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Agreement</w:t>
      </w:r>
      <w:r>
        <w:rPr>
          <w:rFonts w:ascii="Arial" w:cs="Arial" w:eastAsia="Arial" w:hAnsi="Arial"/>
          <w:sz w:val="20"/>
          <w:szCs w:val="20"/>
          <w:color w:val="auto"/>
          <w:highlight w:val="white"/>
        </w:rPr>
        <w:t>”) and the Plan, each of which is incorporated herein by reference. Unless otherwise defined herein, capitalized</w:t>
      </w:r>
      <w:r>
        <w:rPr>
          <w:rFonts w:ascii="Arial" w:cs="Arial" w:eastAsia="Arial" w:hAnsi="Arial"/>
          <w:sz w:val="20"/>
          <w:szCs w:val="20"/>
          <w:color w:val="auto"/>
        </w:rPr>
        <w:t xml:space="preserve"> </w:t>
      </w:r>
      <w:r>
        <w:rPr>
          <w:rFonts w:ascii="Arial" w:cs="Arial" w:eastAsia="Arial" w:hAnsi="Arial"/>
          <w:sz w:val="20"/>
          <w:szCs w:val="20"/>
          <w:color w:val="auto"/>
          <w:highlight w:val="white"/>
        </w:rPr>
        <w:t>terms used in this Notice and the Agreement will have the meanings defined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-274955</wp:posOffset>
            </wp:positionV>
            <wp:extent cx="88265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26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2433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43330"/>
                    </a:xfrm>
                    <a:prstGeom prst="rect">
                      <a:avLst/>
                    </a:prstGeom>
                    <a:noFill/>
                  </pic:spPr>
                </pic:pic>
              </a:graphicData>
            </a:graphic>
          </wp:anchor>
        </w:drawing>
      </w:r>
    </w:p>
    <w:p>
      <w:pPr>
        <w:spacing w:after="0" w:line="19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Participant: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Grant Date: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Total Number of Restricted Stock Units:</w:t>
      </w:r>
    </w:p>
    <w:p>
      <w:pPr>
        <w:sectPr>
          <w:pgSz w:w="11900" w:h="16838" w:orient="portrait"/>
          <w:cols w:equalWidth="0" w:num="1">
            <w:col w:w="11240"/>
          </w:cols>
          <w:pgMar w:left="320" w:top="1394" w:right="339" w:bottom="1440" w:gutter="0" w:footer="0" w:header="0"/>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Vesting:</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Subject to the continued service of the Participant through the applicable</w:t>
      </w:r>
    </w:p>
    <w:p>
      <w:pPr>
        <w:spacing w:after="0" w:line="32" w:lineRule="exact"/>
        <w:rPr>
          <w:sz w:val="20"/>
          <w:szCs w:val="20"/>
          <w:color w:val="auto"/>
        </w:rPr>
      </w:pPr>
    </w:p>
    <w:p>
      <w:pPr>
        <w:sectPr>
          <w:pgSz w:w="11900" w:h="16838" w:orient="portrait"/>
          <w:cols w:equalWidth="0" w:num="2">
            <w:col w:w="4140" w:space="720"/>
            <w:col w:w="6380"/>
          </w:cols>
          <w:pgMar w:left="320" w:top="1394" w:right="33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vesting date, the Restricted Stock Units shall vest as follows:</w:t>
      </w:r>
    </w:p>
    <w:p>
      <w:pPr>
        <w:sectPr>
          <w:pgSz w:w="11900" w:h="16838" w:orient="portrait"/>
          <w:cols w:equalWidth="0" w:num="1">
            <w:col w:w="11240"/>
          </w:cols>
          <w:pgMar w:left="320" w:top="139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the Participant agrees to be bound by the terms and conditions of the Plan, the Agreement, and this Notice. This document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may be executed, including by electronic means, in multiple counterparts, each of which will be deemed an original, and all of which together will be deemed a single instrument.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60" w:type="dxa"/>
            <w:vAlign w:val="bottom"/>
            <w:vMerge w:val="restart"/>
          </w:tcPr>
          <w:p>
            <w:pPr>
              <w:spacing w:after="0"/>
              <w:rPr>
                <w:sz w:val="20"/>
                <w:szCs w:val="20"/>
                <w:color w:val="auto"/>
              </w:rPr>
            </w:pPr>
            <w:r>
              <w:rPr>
                <w:rFonts w:ascii="Arial" w:cs="Arial" w:eastAsia="Arial" w:hAnsi="Arial"/>
                <w:sz w:val="20"/>
                <w:szCs w:val="20"/>
                <w:b w:val="1"/>
                <w:bCs w:val="1"/>
                <w:color w:val="auto"/>
              </w:rPr>
              <w:t>BURKE &amp; HERBERT FINANCIAL SERVICES CORP.</w:t>
            </w:r>
          </w:p>
        </w:tc>
        <w:tc>
          <w:tcPr>
            <w:tcW w:w="4120" w:type="dxa"/>
            <w:vAlign w:val="bottom"/>
          </w:tcPr>
          <w:p>
            <w:pPr>
              <w:ind w:left="580"/>
              <w:spacing w:after="0"/>
              <w:rPr>
                <w:sz w:val="20"/>
                <w:szCs w:val="20"/>
                <w:color w:val="auto"/>
              </w:rPr>
            </w:pPr>
            <w:r>
              <w:rPr>
                <w:rFonts w:ascii="Arial" w:cs="Arial" w:eastAsia="Arial" w:hAnsi="Arial"/>
                <w:sz w:val="20"/>
                <w:szCs w:val="20"/>
                <w:b w:val="1"/>
                <w:bCs w:val="1"/>
                <w:color w:val="auto"/>
              </w:rPr>
              <w:t>PARTICIPANT</w:t>
            </w:r>
          </w:p>
        </w:tc>
        <w:tc>
          <w:tcPr>
            <w:tcW w:w="0" w:type="dxa"/>
            <w:vAlign w:val="bottom"/>
          </w:tcPr>
          <w:p>
            <w:pPr>
              <w:spacing w:after="0"/>
              <w:rPr>
                <w:sz w:val="1"/>
                <w:szCs w:val="1"/>
                <w:color w:val="auto"/>
              </w:rPr>
            </w:pPr>
          </w:p>
        </w:tc>
      </w:tr>
      <w:tr>
        <w:trPr>
          <w:trHeight w:val="108"/>
        </w:trPr>
        <w:tc>
          <w:tcPr>
            <w:tcW w:w="5360" w:type="dxa"/>
            <w:vAlign w:val="bottom"/>
            <w:vMerge w:val="continue"/>
          </w:tcPr>
          <w:p>
            <w:pPr>
              <w:spacing w:after="0"/>
              <w:rPr>
                <w:sz w:val="9"/>
                <w:szCs w:val="9"/>
                <w:color w:val="auto"/>
              </w:rPr>
            </w:pPr>
          </w:p>
        </w:tc>
        <w:tc>
          <w:tcPr>
            <w:tcW w:w="4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5360" w:type="dxa"/>
            <w:vAlign w:val="bottom"/>
          </w:tcPr>
          <w:p>
            <w:pPr>
              <w:spacing w:after="0"/>
              <w:rPr>
                <w:sz w:val="20"/>
                <w:szCs w:val="20"/>
                <w:color w:val="auto"/>
              </w:rPr>
            </w:pPr>
            <w:r>
              <w:rPr>
                <w:rFonts w:ascii="Arial" w:cs="Arial" w:eastAsia="Arial" w:hAnsi="Arial"/>
                <w:sz w:val="20"/>
                <w:szCs w:val="20"/>
                <w:color w:val="auto"/>
              </w:rPr>
              <w:t>Sign: _______________________________</w:t>
            </w:r>
          </w:p>
        </w:tc>
        <w:tc>
          <w:tcPr>
            <w:tcW w:w="4120" w:type="dxa"/>
            <w:vAlign w:val="bottom"/>
            <w:vMerge w:val="restart"/>
          </w:tcPr>
          <w:p>
            <w:pPr>
              <w:ind w:left="580"/>
              <w:spacing w:after="0"/>
              <w:rPr>
                <w:sz w:val="20"/>
                <w:szCs w:val="20"/>
                <w:color w:val="auto"/>
              </w:rPr>
            </w:pPr>
            <w:r>
              <w:rPr>
                <w:rFonts w:ascii="Arial" w:cs="Arial" w:eastAsia="Arial" w:hAnsi="Arial"/>
                <w:sz w:val="20"/>
                <w:szCs w:val="20"/>
                <w:color w:val="auto"/>
                <w:w w:val="88"/>
              </w:rPr>
              <w:t>Sign: _______________________________</w:t>
            </w:r>
          </w:p>
        </w:tc>
        <w:tc>
          <w:tcPr>
            <w:tcW w:w="0" w:type="dxa"/>
            <w:vAlign w:val="bottom"/>
          </w:tcPr>
          <w:p>
            <w:pPr>
              <w:spacing w:after="0"/>
              <w:rPr>
                <w:sz w:val="1"/>
                <w:szCs w:val="1"/>
                <w:color w:val="auto"/>
              </w:rPr>
            </w:pPr>
          </w:p>
        </w:tc>
      </w:tr>
      <w:tr>
        <w:trPr>
          <w:trHeight w:val="243"/>
        </w:trPr>
        <w:tc>
          <w:tcPr>
            <w:tcW w:w="5360" w:type="dxa"/>
            <w:vAlign w:val="bottom"/>
            <w:vMerge w:val="restart"/>
          </w:tcPr>
          <w:p>
            <w:pPr>
              <w:spacing w:after="0"/>
              <w:rPr>
                <w:sz w:val="20"/>
                <w:szCs w:val="20"/>
                <w:color w:val="auto"/>
              </w:rPr>
            </w:pPr>
            <w:r>
              <w:rPr>
                <w:rFonts w:ascii="Arial" w:cs="Arial" w:eastAsia="Arial" w:hAnsi="Arial"/>
                <w:sz w:val="20"/>
                <w:szCs w:val="20"/>
                <w:color w:val="auto"/>
              </w:rPr>
              <w:t>Name: ______________________________</w:t>
            </w:r>
          </w:p>
        </w:tc>
        <w:tc>
          <w:tcPr>
            <w:tcW w:w="4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5360" w:type="dxa"/>
            <w:vAlign w:val="bottom"/>
            <w:vMerge w:val="continue"/>
          </w:tcPr>
          <w:p>
            <w:pPr>
              <w:spacing w:after="0"/>
              <w:rPr>
                <w:sz w:val="5"/>
                <w:szCs w:val="5"/>
                <w:color w:val="auto"/>
              </w:rPr>
            </w:pPr>
          </w:p>
        </w:tc>
        <w:tc>
          <w:tcPr>
            <w:tcW w:w="4120" w:type="dxa"/>
            <w:vAlign w:val="bottom"/>
            <w:vMerge w:val="restart"/>
          </w:tcPr>
          <w:p>
            <w:pPr>
              <w:ind w:left="580"/>
              <w:spacing w:after="0"/>
              <w:rPr>
                <w:sz w:val="20"/>
                <w:szCs w:val="20"/>
                <w:color w:val="auto"/>
              </w:rPr>
            </w:pPr>
            <w:r>
              <w:rPr>
                <w:rFonts w:ascii="Arial" w:cs="Arial" w:eastAsia="Arial" w:hAnsi="Arial"/>
                <w:sz w:val="20"/>
                <w:szCs w:val="20"/>
                <w:color w:val="auto"/>
                <w:w w:val="88"/>
              </w:rPr>
              <w:t>Name: ______________________________</w:t>
            </w:r>
          </w:p>
        </w:tc>
        <w:tc>
          <w:tcPr>
            <w:tcW w:w="0" w:type="dxa"/>
            <w:vAlign w:val="bottom"/>
          </w:tcPr>
          <w:p>
            <w:pPr>
              <w:spacing w:after="0"/>
              <w:rPr>
                <w:sz w:val="1"/>
                <w:szCs w:val="1"/>
                <w:color w:val="auto"/>
              </w:rPr>
            </w:pPr>
          </w:p>
        </w:tc>
      </w:tr>
      <w:tr>
        <w:trPr>
          <w:trHeight w:val="243"/>
        </w:trPr>
        <w:tc>
          <w:tcPr>
            <w:tcW w:w="5360" w:type="dxa"/>
            <w:vAlign w:val="bottom"/>
            <w:vMerge w:val="restart"/>
          </w:tcPr>
          <w:p>
            <w:pPr>
              <w:spacing w:after="0"/>
              <w:rPr>
                <w:sz w:val="20"/>
                <w:szCs w:val="20"/>
                <w:color w:val="auto"/>
              </w:rPr>
            </w:pPr>
            <w:r>
              <w:rPr>
                <w:rFonts w:ascii="Arial" w:cs="Arial" w:eastAsia="Arial" w:hAnsi="Arial"/>
                <w:sz w:val="20"/>
                <w:szCs w:val="20"/>
                <w:color w:val="auto"/>
              </w:rPr>
              <w:t>Title: _______________________________</w:t>
            </w:r>
          </w:p>
        </w:tc>
        <w:tc>
          <w:tcPr>
            <w:tcW w:w="4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5360" w:type="dxa"/>
            <w:vAlign w:val="bottom"/>
            <w:vMerge w:val="continue"/>
          </w:tcPr>
          <w:p>
            <w:pPr>
              <w:spacing w:after="0"/>
              <w:rPr>
                <w:sz w:val="5"/>
                <w:szCs w:val="5"/>
                <w:color w:val="auto"/>
              </w:rPr>
            </w:pPr>
          </w:p>
        </w:tc>
        <w:tc>
          <w:tcPr>
            <w:tcW w:w="4120" w:type="dxa"/>
            <w:vAlign w:val="bottom"/>
            <w:vMerge w:val="restart"/>
          </w:tcPr>
          <w:p>
            <w:pPr>
              <w:ind w:left="580"/>
              <w:spacing w:after="0"/>
              <w:rPr>
                <w:sz w:val="20"/>
                <w:szCs w:val="20"/>
                <w:color w:val="auto"/>
              </w:rPr>
            </w:pPr>
            <w:r>
              <w:rPr>
                <w:rFonts w:ascii="Arial" w:cs="Arial" w:eastAsia="Arial" w:hAnsi="Arial"/>
                <w:sz w:val="20"/>
                <w:szCs w:val="20"/>
                <w:color w:val="auto"/>
                <w:w w:val="88"/>
              </w:rPr>
              <w:t>Date: _______________________________</w:t>
            </w:r>
          </w:p>
        </w:tc>
        <w:tc>
          <w:tcPr>
            <w:tcW w:w="0" w:type="dxa"/>
            <w:vAlign w:val="bottom"/>
          </w:tcPr>
          <w:p>
            <w:pPr>
              <w:spacing w:after="0"/>
              <w:rPr>
                <w:sz w:val="1"/>
                <w:szCs w:val="1"/>
                <w:color w:val="auto"/>
              </w:rPr>
            </w:pPr>
          </w:p>
        </w:tc>
      </w:tr>
      <w:tr>
        <w:trPr>
          <w:trHeight w:val="297"/>
        </w:trPr>
        <w:tc>
          <w:tcPr>
            <w:tcW w:w="5360" w:type="dxa"/>
            <w:vAlign w:val="bottom"/>
          </w:tcPr>
          <w:p>
            <w:pPr>
              <w:spacing w:after="0"/>
              <w:rPr>
                <w:sz w:val="20"/>
                <w:szCs w:val="20"/>
                <w:color w:val="auto"/>
              </w:rPr>
            </w:pPr>
            <w:r>
              <w:rPr>
                <w:rFonts w:ascii="Arial" w:cs="Arial" w:eastAsia="Arial" w:hAnsi="Arial"/>
                <w:sz w:val="20"/>
                <w:szCs w:val="20"/>
                <w:color w:val="auto"/>
              </w:rPr>
              <w:t>Date: _______________________________</w:t>
            </w:r>
          </w:p>
        </w:tc>
        <w:tc>
          <w:tcPr>
            <w:tcW w:w="4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146202613v5</w:t>
      </w:r>
    </w:p>
    <w:p>
      <w:pPr>
        <w:sectPr>
          <w:pgSz w:w="11900" w:h="16838" w:orient="portrait"/>
          <w:cols w:equalWidth="0" w:num="1">
            <w:col w:w="11240"/>
          </w:cols>
          <w:pgMar w:left="320" w:top="1394" w:right="3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EXHIBIT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AWARD AGREEMENT</w:t>
      </w:r>
    </w:p>
    <w:p>
      <w:pPr>
        <w:spacing w:after="0" w:line="200" w:lineRule="exact"/>
        <w:rPr>
          <w:sz w:val="20"/>
          <w:szCs w:val="20"/>
          <w:color w:val="auto"/>
        </w:rPr>
      </w:pPr>
    </w:p>
    <w:p>
      <w:pPr>
        <w:spacing w:after="0" w:line="218" w:lineRule="exact"/>
        <w:rPr>
          <w:sz w:val="20"/>
          <w:szCs w:val="20"/>
          <w:color w:val="auto"/>
        </w:rPr>
      </w:pPr>
    </w:p>
    <w:p>
      <w:pPr>
        <w:jc w:val="both"/>
        <w:ind w:firstLine="332"/>
        <w:spacing w:after="0" w:line="221"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Grant of Award</w:t>
      </w:r>
      <w:r>
        <w:rPr>
          <w:rFonts w:ascii="Arial" w:cs="Arial" w:eastAsia="Arial" w:hAnsi="Arial"/>
          <w:sz w:val="20"/>
          <w:szCs w:val="20"/>
          <w:color w:val="auto"/>
        </w:rPr>
        <w:t>. Effective as of the Grant Date set forth in the Notice, the Company has granted to the Participant the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Units set forth in the Notice (the “</w:t>
      </w:r>
      <w:r>
        <w:rPr>
          <w:rFonts w:ascii="Arial" w:cs="Arial" w:eastAsia="Arial" w:hAnsi="Arial"/>
          <w:sz w:val="20"/>
          <w:szCs w:val="20"/>
          <w:u w:val="single" w:color="auto"/>
          <w:color w:val="auto"/>
        </w:rPr>
        <w:t>Award</w:t>
      </w:r>
      <w:r>
        <w:rPr>
          <w:rFonts w:ascii="Arial" w:cs="Arial" w:eastAsia="Arial" w:hAnsi="Arial"/>
          <w:sz w:val="20"/>
          <w:szCs w:val="20"/>
          <w:color w:val="auto"/>
        </w:rPr>
        <w:t>”), subject to the restrictions and on the terms and conditions set forth in the Notice, the Plan, and this Agreement. Each Restricted Stock Unit represents the right to receive one Share, subject to the terms and conditions set forth herein.</w:t>
      </w:r>
    </w:p>
    <w:p>
      <w:pPr>
        <w:spacing w:after="0" w:line="165" w:lineRule="exact"/>
        <w:rPr>
          <w:rFonts w:ascii="Arial" w:cs="Arial" w:eastAsia="Arial" w:hAnsi="Arial"/>
          <w:sz w:val="20"/>
          <w:szCs w:val="20"/>
          <w:color w:val="auto"/>
        </w:rPr>
      </w:pPr>
    </w:p>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Vesting of Award</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ind w:firstLine="656"/>
        <w:spacing w:after="0" w:line="229" w:lineRule="auto"/>
        <w:tabs>
          <w:tab w:leader="none" w:pos="1296" w:val="left"/>
        </w:tabs>
        <w:numPr>
          <w:ilvl w:val="1"/>
          <w:numId w:val="19"/>
        </w:numPr>
        <w:rPr>
          <w:rFonts w:ascii="Arial" w:cs="Arial" w:eastAsia="Arial" w:hAnsi="Arial"/>
          <w:sz w:val="20"/>
          <w:szCs w:val="20"/>
          <w:color w:val="auto"/>
        </w:rPr>
      </w:pPr>
      <w:r>
        <w:rPr>
          <w:rFonts w:ascii="Arial" w:cs="Arial" w:eastAsia="Arial" w:hAnsi="Arial"/>
          <w:sz w:val="20"/>
          <w:szCs w:val="20"/>
          <w:color w:val="auto"/>
        </w:rPr>
        <w:t>Subject to the continued service of the Participant with the Company through the relevant vesting date(s) or event(s), the Restricted Stock Units shall become vested in such amounts and at such times as set forth in the Notice.</w:t>
      </w:r>
    </w:p>
    <w:p>
      <w:pPr>
        <w:spacing w:after="0" w:line="168" w:lineRule="exact"/>
        <w:rPr>
          <w:rFonts w:ascii="Arial" w:cs="Arial" w:eastAsia="Arial" w:hAnsi="Arial"/>
          <w:sz w:val="20"/>
          <w:szCs w:val="20"/>
          <w:color w:val="auto"/>
        </w:rPr>
      </w:pPr>
    </w:p>
    <w:p>
      <w:pPr>
        <w:jc w:val="both"/>
        <w:ind w:firstLine="656"/>
        <w:spacing w:after="0" w:line="225" w:lineRule="auto"/>
        <w:tabs>
          <w:tab w:leader="none" w:pos="1296" w:val="left"/>
        </w:tabs>
        <w:numPr>
          <w:ilvl w:val="1"/>
          <w:numId w:val="19"/>
        </w:numPr>
        <w:rPr>
          <w:rFonts w:ascii="Arial" w:cs="Arial" w:eastAsia="Arial" w:hAnsi="Arial"/>
          <w:sz w:val="19"/>
          <w:szCs w:val="19"/>
          <w:color w:val="auto"/>
        </w:rPr>
      </w:pPr>
      <w:r>
        <w:rPr>
          <w:rFonts w:ascii="Arial" w:cs="Arial" w:eastAsia="Arial" w:hAnsi="Arial"/>
          <w:sz w:val="19"/>
          <w:szCs w:val="19"/>
          <w:color w:val="auto"/>
        </w:rPr>
        <w:t>Upon the cessation of the Participant’s service with the Company due to the Participant’s death or Disability, any Restricted Stock Units that are unvested immediately prior to the Participant’s death or Disability will vest, provided that such vesting will be subject to the requirement that, within forty-five (45) days following the Participant’s cessation of service, the Participant (or the Participant’s personal representative, estate, and/or beneficiaries, if applicable) has executed a general release of claims against the Company and its affiliates in a form prescribed by the Company and such release has become irrevocable. If the release requirements described in this Section 2(b) have not been timely satisfied, then any unvested Restricted Stock Units that would have otherwise vested under this Section 2(b) will be forfeited automatically and the Participant will have no further rights hereunder.</w:t>
      </w:r>
    </w:p>
    <w:p>
      <w:pPr>
        <w:spacing w:after="0" w:line="172" w:lineRule="exact"/>
        <w:rPr>
          <w:rFonts w:ascii="Arial" w:cs="Arial" w:eastAsia="Arial" w:hAnsi="Arial"/>
          <w:sz w:val="19"/>
          <w:szCs w:val="19"/>
          <w:color w:val="auto"/>
        </w:rPr>
      </w:pPr>
    </w:p>
    <w:p>
      <w:pPr>
        <w:jc w:val="both"/>
        <w:ind w:firstLine="656"/>
        <w:spacing w:after="0" w:line="216" w:lineRule="auto"/>
        <w:tabs>
          <w:tab w:leader="none" w:pos="1296" w:val="left"/>
        </w:tabs>
        <w:numPr>
          <w:ilvl w:val="1"/>
          <w:numId w:val="19"/>
        </w:numPr>
        <w:rPr>
          <w:rFonts w:ascii="Arial" w:cs="Arial" w:eastAsia="Arial" w:hAnsi="Arial"/>
          <w:sz w:val="20"/>
          <w:szCs w:val="20"/>
          <w:color w:val="auto"/>
        </w:rPr>
      </w:pPr>
      <w:r>
        <w:rPr>
          <w:rFonts w:ascii="Arial" w:cs="Arial" w:eastAsia="Arial" w:hAnsi="Arial"/>
          <w:sz w:val="20"/>
          <w:szCs w:val="20"/>
          <w:color w:val="auto"/>
        </w:rPr>
        <w:t>Upon the cessation of the Participant’s service with the Company for Cause (or a resignation by the Participant at such time as the Company could have terminated the Participant’s service for Cause), (i) any unvested Restricted Stock Units will be forfeited automatically and (ii) any vested Restricted Stock Units for which Shares have not yet been delivered will also be forfeited automatically, and the Participant will have no further rights hereunder.</w:t>
      </w:r>
    </w:p>
    <w:p>
      <w:pPr>
        <w:spacing w:after="0" w:line="171" w:lineRule="exact"/>
        <w:rPr>
          <w:rFonts w:ascii="Arial" w:cs="Arial" w:eastAsia="Arial" w:hAnsi="Arial"/>
          <w:sz w:val="20"/>
          <w:szCs w:val="20"/>
          <w:color w:val="auto"/>
        </w:rPr>
      </w:pPr>
    </w:p>
    <w:p>
      <w:pPr>
        <w:jc w:val="both"/>
        <w:ind w:firstLine="656"/>
        <w:spacing w:after="0" w:line="223" w:lineRule="auto"/>
        <w:tabs>
          <w:tab w:leader="none" w:pos="1296" w:val="left"/>
        </w:tabs>
        <w:numPr>
          <w:ilvl w:val="1"/>
          <w:numId w:val="19"/>
        </w:numPr>
        <w:rPr>
          <w:rFonts w:ascii="Arial" w:cs="Arial" w:eastAsia="Arial" w:hAnsi="Arial"/>
          <w:sz w:val="20"/>
          <w:szCs w:val="20"/>
          <w:color w:val="auto"/>
        </w:rPr>
      </w:pPr>
      <w:r>
        <w:rPr>
          <w:rFonts w:ascii="Arial" w:cs="Arial" w:eastAsia="Arial" w:hAnsi="Arial"/>
          <w:sz w:val="20"/>
          <w:szCs w:val="20"/>
          <w:color w:val="auto"/>
        </w:rPr>
        <w:t>Unless otherwise provided in the Participant’s employment agreement or in the discretion of the Committee, upon the cessation of the Participant’s service with the Company for any other reason, any unvested Restricted Stock Units will be forfeited automatically and the Participant will have no further rights hereunder.</w:t>
      </w:r>
    </w:p>
    <w:p>
      <w:pPr>
        <w:spacing w:after="0" w:line="168" w:lineRule="exact"/>
        <w:rPr>
          <w:rFonts w:ascii="Arial" w:cs="Arial" w:eastAsia="Arial" w:hAnsi="Arial"/>
          <w:sz w:val="20"/>
          <w:szCs w:val="20"/>
          <w:color w:val="auto"/>
        </w:rPr>
      </w:pPr>
    </w:p>
    <w:p>
      <w:pPr>
        <w:ind w:firstLine="656"/>
        <w:spacing w:after="0" w:line="236" w:lineRule="auto"/>
        <w:tabs>
          <w:tab w:leader="none" w:pos="1296" w:val="left"/>
        </w:tabs>
        <w:numPr>
          <w:ilvl w:val="1"/>
          <w:numId w:val="19"/>
        </w:numPr>
        <w:rPr>
          <w:rFonts w:ascii="Arial" w:cs="Arial" w:eastAsia="Arial" w:hAnsi="Arial"/>
          <w:sz w:val="20"/>
          <w:szCs w:val="20"/>
          <w:color w:val="auto"/>
        </w:rPr>
      </w:pPr>
      <w:r>
        <w:rPr>
          <w:rFonts w:ascii="Arial" w:cs="Arial" w:eastAsia="Arial" w:hAnsi="Arial"/>
          <w:sz w:val="20"/>
          <w:szCs w:val="20"/>
          <w:color w:val="auto"/>
        </w:rPr>
        <w:t>Solely for purposes of this Agreement, service with the Company will be deemed to include service with an Affiliate of the Company (for only so long as such entity remains an Affiliate of the Company).</w:t>
      </w:r>
    </w:p>
    <w:p>
      <w:pPr>
        <w:spacing w:after="0" w:line="149" w:lineRule="exact"/>
        <w:rPr>
          <w:rFonts w:ascii="Arial" w:cs="Arial" w:eastAsia="Arial" w:hAnsi="Arial"/>
          <w:sz w:val="20"/>
          <w:szCs w:val="20"/>
          <w:color w:val="auto"/>
        </w:rPr>
      </w:pPr>
    </w:p>
    <w:p>
      <w:pPr>
        <w:ind w:left="660" w:hanging="328"/>
        <w:spacing w:after="0"/>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b w:val="1"/>
          <w:bCs w:val="1"/>
          <w:color w:val="auto"/>
        </w:rPr>
        <w:t>Settlement of Award</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ind w:firstLine="656"/>
        <w:spacing w:after="0" w:line="236" w:lineRule="auto"/>
        <w:tabs>
          <w:tab w:leader="none" w:pos="1296" w:val="left"/>
        </w:tabs>
        <w:numPr>
          <w:ilvl w:val="1"/>
          <w:numId w:val="19"/>
        </w:numPr>
        <w:rPr>
          <w:rFonts w:ascii="Arial" w:cs="Arial" w:eastAsia="Arial" w:hAnsi="Arial"/>
          <w:sz w:val="20"/>
          <w:szCs w:val="20"/>
          <w:color w:val="auto"/>
        </w:rPr>
      </w:pPr>
      <w:r>
        <w:rPr>
          <w:rFonts w:ascii="Arial" w:cs="Arial" w:eastAsia="Arial" w:hAnsi="Arial"/>
          <w:sz w:val="20"/>
          <w:szCs w:val="20"/>
          <w:color w:val="auto"/>
        </w:rPr>
        <w:t>One Share will be delivered with respect to each vested Restricted Stock Unit within sixty (60) days following the applicable vesting date or event.</w:t>
      </w:r>
    </w:p>
    <w:p>
      <w:pPr>
        <w:spacing w:after="0" w:line="155" w:lineRule="exact"/>
        <w:rPr>
          <w:rFonts w:ascii="Arial" w:cs="Arial" w:eastAsia="Arial" w:hAnsi="Arial"/>
          <w:sz w:val="20"/>
          <w:szCs w:val="20"/>
          <w:color w:val="auto"/>
        </w:rPr>
      </w:pPr>
    </w:p>
    <w:p>
      <w:pPr>
        <w:jc w:val="both"/>
        <w:ind w:firstLine="656"/>
        <w:spacing w:after="0" w:line="227" w:lineRule="auto"/>
        <w:tabs>
          <w:tab w:leader="none" w:pos="1296" w:val="left"/>
        </w:tabs>
        <w:numPr>
          <w:ilvl w:val="1"/>
          <w:numId w:val="19"/>
        </w:numPr>
        <w:rPr>
          <w:rFonts w:ascii="Arial" w:cs="Arial" w:eastAsia="Arial" w:hAnsi="Arial"/>
          <w:sz w:val="20"/>
          <w:szCs w:val="20"/>
          <w:color w:val="auto"/>
        </w:rPr>
      </w:pPr>
      <w:r>
        <w:rPr>
          <w:rFonts w:ascii="Arial" w:cs="Arial" w:eastAsia="Arial" w:hAnsi="Arial"/>
          <w:sz w:val="20"/>
          <w:szCs w:val="20"/>
          <w:color w:val="auto"/>
        </w:rPr>
        <w:t>The award of Restricted Stock Units constitutes an unfunded and unsecured obligation of the Company. The Participant shall not have any stockholder rights with respect to the Shares underlying the Restricted Stock Units, in each case, unless and until a Restricted Stock Unit vests and a Share is delivered with respect thereto.</w:t>
      </w:r>
    </w:p>
    <w:p>
      <w:pPr>
        <w:spacing w:after="0" w:line="157" w:lineRule="exact"/>
        <w:rPr>
          <w:rFonts w:ascii="Arial" w:cs="Arial" w:eastAsia="Arial" w:hAnsi="Arial"/>
          <w:sz w:val="20"/>
          <w:szCs w:val="20"/>
          <w:color w:val="auto"/>
        </w:rPr>
      </w:pPr>
    </w:p>
    <w:p>
      <w:pPr>
        <w:jc w:val="both"/>
        <w:ind w:firstLine="656"/>
        <w:spacing w:after="0" w:line="227" w:lineRule="auto"/>
        <w:tabs>
          <w:tab w:leader="none" w:pos="1296" w:val="left"/>
        </w:tabs>
        <w:numPr>
          <w:ilvl w:val="1"/>
          <w:numId w:val="19"/>
        </w:numPr>
        <w:rPr>
          <w:rFonts w:ascii="Arial" w:cs="Arial" w:eastAsia="Arial" w:hAnsi="Arial"/>
          <w:sz w:val="20"/>
          <w:szCs w:val="20"/>
          <w:color w:val="auto"/>
        </w:rPr>
      </w:pPr>
      <w:r>
        <w:rPr>
          <w:rFonts w:ascii="Arial" w:cs="Arial" w:eastAsia="Arial" w:hAnsi="Arial"/>
          <w:sz w:val="20"/>
          <w:szCs w:val="20"/>
          <w:color w:val="auto"/>
        </w:rPr>
        <w:t>Notwithstanding the foregoing, to the extent provided in Prop. Treas. Reg. § 1.409A-1(b)(4)(ii) or any successor provision, the Company may delay settlement of Restricted Stock Units if it reasonably determines that such settlement would violate federal securities laws or any other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rPr>
          <w:sz w:val="20"/>
          <w:szCs w:val="20"/>
          <w:color w:val="auto"/>
        </w:rPr>
      </w:pPr>
      <w:r>
        <w:rPr>
          <w:rFonts w:ascii="Arial" w:cs="Arial" w:eastAsia="Arial" w:hAnsi="Arial"/>
          <w:sz w:val="13"/>
          <w:szCs w:val="13"/>
          <w:color w:val="auto"/>
        </w:rPr>
        <w:t>146202613v5</w:t>
      </w:r>
    </w:p>
    <w:p>
      <w:pPr>
        <w:sectPr>
          <w:pgSz w:w="11900" w:h="16838" w:orient="portrait"/>
          <w:cols w:equalWidth="0" w:num="1">
            <w:col w:w="11240"/>
          </w:cols>
          <w:pgMar w:left="320" w:top="1399" w:right="339" w:bottom="1440" w:gutter="0" w:footer="0" w:header="0"/>
        </w:sectPr>
      </w:pPr>
    </w:p>
    <w:bookmarkStart w:id="64" w:name="page65"/>
    <w:bookmarkEnd w:id="64"/>
    <w:p>
      <w:pPr>
        <w:ind w:left="340"/>
        <w:spacing w:after="0"/>
        <w:tabs>
          <w:tab w:leader="none" w:pos="6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8"/>
          <w:szCs w:val="18"/>
          <w:b w:val="1"/>
          <w:bCs w:val="1"/>
          <w:color w:val="auto"/>
        </w:rPr>
        <w:t>Dividends</w:t>
      </w:r>
      <w:r>
        <w:rPr>
          <w:rFonts w:ascii="Arial" w:cs="Arial" w:eastAsia="Arial" w:hAnsi="Arial"/>
          <w:sz w:val="18"/>
          <w:szCs w:val="18"/>
          <w:color w:val="auto"/>
        </w:rPr>
        <w:t>. If the Company declares and pays a cash dividend or distribution with respect to its Shares, any outstanding Restricted</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Stock Units with respect to which Shares have not been delivered (“</w:t>
      </w:r>
      <w:r>
        <w:rPr>
          <w:rFonts w:ascii="Arial" w:cs="Arial" w:eastAsia="Arial" w:hAnsi="Arial"/>
          <w:sz w:val="18"/>
          <w:szCs w:val="18"/>
          <w:u w:val="single" w:color="auto"/>
          <w:color w:val="auto"/>
        </w:rPr>
        <w:t>Outstanding Restricted Stock Units</w:t>
      </w:r>
      <w:r>
        <w:rPr>
          <w:rFonts w:ascii="Arial" w:cs="Arial" w:eastAsia="Arial" w:hAnsi="Arial"/>
          <w:sz w:val="18"/>
          <w:szCs w:val="18"/>
          <w:color w:val="auto"/>
        </w:rPr>
        <w:t>”), whether vested or unvested, will be credited with an amount of cash equal to the value of such cash dividend or distribution. Additional cash credited under this Section 4 will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be subject to the same vesting and settlement terms as the Outstanding Restricted Stock Units to which such cash amount relates.</w:t>
      </w:r>
    </w:p>
    <w:p>
      <w:pPr>
        <w:spacing w:after="0" w:line="17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[Restrictive Covenant Agreement.</w:t>
      </w:r>
      <w:r>
        <w:rPr>
          <w:rFonts w:ascii="Arial" w:cs="Arial" w:eastAsia="Arial" w:hAnsi="Arial"/>
          <w:sz w:val="18"/>
          <w:szCs w:val="18"/>
          <w:color w:val="auto"/>
        </w:rPr>
        <w:t xml:space="preserve"> In consideration for the grant of the Award, the Participant agrees to execute the Non-Disclosure and Restrictive Covenant Agreement set forth below in an appendix to the Agreement and to comply with the provisions contained therein.</w:t>
      </w:r>
    </w:p>
    <w:p>
      <w:pPr>
        <w:spacing w:after="0" w:line="1" w:lineRule="exact"/>
        <w:rPr>
          <w:sz w:val="20"/>
          <w:szCs w:val="20"/>
          <w:color w:val="auto"/>
        </w:rPr>
      </w:pPr>
    </w:p>
    <w:p>
      <w:pPr>
        <w:jc w:val="right"/>
        <w:ind w:right="1320"/>
        <w:spacing w:after="0" w:line="443" w:lineRule="auto"/>
        <w:rPr>
          <w:sz w:val="20"/>
          <w:szCs w:val="20"/>
          <w:color w:val="auto"/>
        </w:rPr>
      </w:pPr>
      <w:r>
        <w:rPr>
          <w:rFonts w:ascii="Arial" w:cs="Arial" w:eastAsia="Arial" w:hAnsi="Arial"/>
          <w:sz w:val="17"/>
          <w:szCs w:val="17"/>
          <w:color w:val="auto"/>
        </w:rPr>
        <w:t>The Award is granted contingent upon the Participant executing such Non-Disclosure and Restrictive Covenant Agreement.]</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6.  </w:t>
      </w:r>
      <w:r>
        <w:rPr>
          <w:rFonts w:ascii="Arial" w:cs="Arial" w:eastAsia="Arial" w:hAnsi="Arial"/>
          <w:sz w:val="17"/>
          <w:szCs w:val="17"/>
          <w:b w:val="1"/>
          <w:bCs w:val="1"/>
          <w:color w:val="auto"/>
        </w:rPr>
        <w:t>Non-Transferability of Award</w:t>
      </w:r>
      <w:r>
        <w:rPr>
          <w:rFonts w:ascii="Arial" w:cs="Arial" w:eastAsia="Arial" w:hAnsi="Arial"/>
          <w:sz w:val="17"/>
          <w:szCs w:val="17"/>
          <w:color w:val="auto"/>
        </w:rPr>
        <w:t>. The Award is subject to restrictions on transfer as set forth in Section 17 of the Plan.</w:t>
      </w:r>
    </w:p>
    <w:p>
      <w:pPr>
        <w:ind w:left="340"/>
        <w:spacing w:after="0"/>
        <w:tabs>
          <w:tab w:leader="none" w:pos="640" w:val="left"/>
        </w:tabs>
        <w:rPr>
          <w:sz w:val="20"/>
          <w:szCs w:val="20"/>
          <w:color w:val="auto"/>
        </w:rPr>
      </w:pPr>
      <w:r>
        <w:rPr>
          <w:rFonts w:ascii="Arial" w:cs="Arial" w:eastAsia="Arial" w:hAnsi="Arial"/>
          <w:sz w:val="20"/>
          <w:szCs w:val="20"/>
          <w:color w:val="auto"/>
        </w:rPr>
        <w:t>7.</w:t>
      </w:r>
      <w:r>
        <w:rPr>
          <w:sz w:val="20"/>
          <w:szCs w:val="20"/>
          <w:color w:val="auto"/>
        </w:rPr>
        <w:tab/>
      </w:r>
      <w:r>
        <w:rPr>
          <w:rFonts w:ascii="Arial" w:cs="Arial" w:eastAsia="Arial" w:hAnsi="Arial"/>
          <w:sz w:val="19"/>
          <w:szCs w:val="19"/>
          <w:b w:val="1"/>
          <w:bCs w:val="1"/>
          <w:color w:val="auto"/>
        </w:rPr>
        <w:t>Section 409A</w:t>
      </w:r>
      <w:r>
        <w:rPr>
          <w:rFonts w:ascii="Arial" w:cs="Arial" w:eastAsia="Arial" w:hAnsi="Arial"/>
          <w:sz w:val="19"/>
          <w:szCs w:val="19"/>
          <w:color w:val="auto"/>
        </w:rPr>
        <w:t>. The Award is intended to be exempt from Section 409A of the Code and should be interpreted accordingly.</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Nonetheless, the Company does not guarantee the tax treatment of the Award.</w:t>
      </w:r>
    </w:p>
    <w:p>
      <w:pPr>
        <w:spacing w:after="0" w:line="16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b w:val="1"/>
          <w:bCs w:val="1"/>
          <w:color w:val="auto"/>
        </w:rPr>
        <w:t>No Right to Continued Service</w:t>
      </w:r>
      <w:r>
        <w:rPr>
          <w:rFonts w:ascii="Arial" w:cs="Arial" w:eastAsia="Arial" w:hAnsi="Arial"/>
          <w:sz w:val="18"/>
          <w:szCs w:val="18"/>
          <w:color w:val="auto"/>
        </w:rPr>
        <w:t>. Neither the Plan nor this Agreement will confer upon the Participant any right to continue in the employment or service of the Company or any of its Affiliates, or limit in any respect the right of the Company or its Affiliates to discharge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Participant at any time, with or without Cause.</w:t>
      </w:r>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6"/>
          <w:szCs w:val="16"/>
          <w:color w:val="auto"/>
        </w:rPr>
        <w:t xml:space="preserve">9. </w:t>
      </w:r>
      <w:r>
        <w:rPr>
          <w:rFonts w:ascii="Arial" w:cs="Arial" w:eastAsia="Arial" w:hAnsi="Arial"/>
          <w:sz w:val="16"/>
          <w:szCs w:val="16"/>
          <w:b w:val="1"/>
          <w:bCs w:val="1"/>
          <w:color w:val="auto"/>
        </w:rPr>
        <w:t>The Plan</w:t>
      </w:r>
      <w:r>
        <w:rPr>
          <w:rFonts w:ascii="Arial" w:cs="Arial" w:eastAsia="Arial" w:hAnsi="Arial"/>
          <w:sz w:val="16"/>
          <w:szCs w:val="16"/>
          <w:color w:val="auto"/>
        </w:rPr>
        <w:t>. The Participant has received a copy of the Plan, has read the Plan and is familiar with its terms, and hereby accepts the Award subject to the terms and provisions of the Plan. Pursuant to the Plan, the Committee is authorized to interpret the Plan and any awards</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issued under the Plan. The Participant hereby agrees to accept as binding, conclusive and final all decisions or interpretations of the Committee with respect to questions arising under the Plan, the Notice, or this Agreement.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b w:val="1"/>
          <w:bCs w:val="1"/>
          <w:color w:val="auto"/>
        </w:rPr>
        <w:t>Clawback Provisions</w:t>
      </w:r>
      <w:r>
        <w:rPr>
          <w:rFonts w:ascii="Arial" w:cs="Arial" w:eastAsia="Arial" w:hAnsi="Arial"/>
          <w:sz w:val="18"/>
          <w:szCs w:val="18"/>
          <w:color w:val="auto"/>
        </w:rPr>
        <w:t>. In consideration for the grant of the Award, the Participant agrees to be subject to (i) any compensation,</w:t>
      </w:r>
    </w:p>
    <w:p>
      <w:pPr>
        <w:spacing w:after="0" w:line="1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clawback, recoupment or similar policies of the Company or its Affiliates covering the Participant that may be in effect from time to time, whether adopted before or after the Grant Date, and (ii) to such other clawback measures as may be required by Applicable Law ((i) and (ii)</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together, the “</w:t>
      </w:r>
      <w:r>
        <w:rPr>
          <w:rFonts w:ascii="Arial" w:cs="Arial" w:eastAsia="Arial" w:hAnsi="Arial"/>
          <w:sz w:val="20"/>
          <w:szCs w:val="20"/>
          <w:u w:val="single" w:color="auto"/>
          <w:color w:val="auto"/>
        </w:rPr>
        <w:t>Clawback Provisions</w:t>
      </w:r>
      <w:r>
        <w:rPr>
          <w:rFonts w:ascii="Arial" w:cs="Arial" w:eastAsia="Arial" w:hAnsi="Arial"/>
          <w:sz w:val="20"/>
          <w:szCs w:val="20"/>
          <w:color w:val="auto"/>
        </w:rPr>
        <w:t>”). The Participant understands that the Clawback Provisions are not limited in their application to the Award, or to any equity or cash the Participant may receive in connection with the Award.</w:t>
      </w:r>
    </w:p>
    <w:p>
      <w:pPr>
        <w:spacing w:after="0" w:line="15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b w:val="1"/>
          <w:bCs w:val="1"/>
          <w:color w:val="auto"/>
        </w:rPr>
        <w:t>Other Company Policies</w:t>
      </w:r>
      <w:r>
        <w:rPr>
          <w:rFonts w:ascii="Arial" w:cs="Arial" w:eastAsia="Arial" w:hAnsi="Arial"/>
          <w:sz w:val="19"/>
          <w:szCs w:val="19"/>
          <w:color w:val="auto"/>
        </w:rPr>
        <w:t>. The Participant agrees, in consideration for the grant of the Award, to be subject to any policies of the Company and its Affiliates regarding stock ownership, securities trading, anti-hedging and anti-pledging of securities, and other similar policies, that may be in effect from time to time, or as may otherwise be required by Applicable Law.</w:t>
      </w:r>
    </w:p>
    <w:p>
      <w:pPr>
        <w:spacing w:after="0" w:line="146"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Entire Agreement</w:t>
      </w:r>
      <w:r>
        <w:rPr>
          <w:rFonts w:ascii="Arial" w:cs="Arial" w:eastAsia="Arial" w:hAnsi="Arial"/>
          <w:sz w:val="18"/>
          <w:szCs w:val="18"/>
          <w:color w:val="auto"/>
        </w:rPr>
        <w:t>. The Notice, and this Agreement, together with the Plan, represent the entire agreement between the parties with respect to the subject matter hereof and supersede any prior agreement, written or otherwise, relating to the subject matter hereof.</w:t>
      </w:r>
    </w:p>
    <w:p>
      <w:pPr>
        <w:spacing w:after="0" w:line="11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Acknowledgment of Non-Reliance</w:t>
      </w:r>
      <w:r>
        <w:rPr>
          <w:rFonts w:ascii="Arial" w:cs="Arial" w:eastAsia="Arial" w:hAnsi="Arial"/>
          <w:sz w:val="18"/>
          <w:szCs w:val="18"/>
          <w:color w:val="auto"/>
        </w:rPr>
        <w:t>. Except for those representations and warranties expressly set forth in this Agreement, the Participant hereby disclaims reliance on any and all representations, warranties, or statements of any nature or kind, express or implied,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including, but not limited to, the accuracy or completeness of such representations, warranties, or statements.</w:t>
      </w:r>
    </w:p>
    <w:p>
      <w:pPr>
        <w:spacing w:after="0" w:line="16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This Agreement may only be amended by a writing signed by each of the parties hereto; provided that the Company may amend this Agreement without the Participant’s consent, if the amendment does not materially </w:t>
      </w:r>
      <w:r>
        <w:rPr>
          <w:rFonts w:ascii="Arial" w:cs="Arial" w:eastAsia="Arial" w:hAnsi="Arial"/>
          <w:sz w:val="18"/>
          <w:szCs w:val="18"/>
          <w:color w:val="231F20"/>
        </w:rPr>
        <w:t>impair</w:t>
      </w:r>
      <w:r>
        <w:rPr>
          <w:rFonts w:ascii="Arial" w:cs="Arial" w:eastAsia="Arial" w:hAnsi="Arial"/>
          <w:sz w:val="18"/>
          <w:szCs w:val="18"/>
          <w:color w:val="auto"/>
        </w:rPr>
        <w:t xml:space="preserve"> the Participant’s rights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20"/>
          <w:szCs w:val="20"/>
          <w:color w:val="auto"/>
        </w:rPr>
        <w:t xml:space="preserve"> Included to the extent the Participant is not otherwise subject to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rPr>
          <w:sz w:val="20"/>
          <w:szCs w:val="20"/>
          <w:color w:val="auto"/>
        </w:rPr>
      </w:pPr>
      <w:r>
        <w:rPr>
          <w:rFonts w:ascii="Arial" w:cs="Arial" w:eastAsia="Arial" w:hAnsi="Arial"/>
          <w:sz w:val="13"/>
          <w:szCs w:val="13"/>
          <w:color w:val="auto"/>
        </w:rPr>
        <w:t>146202613v5</w:t>
      </w:r>
    </w:p>
    <w:p>
      <w:pPr>
        <w:sectPr>
          <w:pgSz w:w="11900" w:h="16838" w:orient="portrait"/>
          <w:cols w:equalWidth="0" w:num="1">
            <w:col w:w="11240"/>
          </w:cols>
          <w:pgMar w:left="320" w:top="1388" w:right="339" w:bottom="1440" w:gutter="0" w:footer="0" w:header="0"/>
        </w:sectPr>
      </w:pPr>
    </w:p>
    <w:bookmarkStart w:id="65" w:name="page66"/>
    <w:bookmarkEnd w:id="65"/>
    <w:p>
      <w:pPr>
        <w:jc w:val="both"/>
        <w:ind w:firstLine="332"/>
        <w:spacing w:after="0" w:line="219"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Choice of Law</w:t>
      </w:r>
      <w:r>
        <w:rPr>
          <w:rFonts w:ascii="Arial" w:cs="Arial" w:eastAsia="Arial" w:hAnsi="Arial"/>
          <w:sz w:val="20"/>
          <w:szCs w:val="20"/>
          <w:color w:val="auto"/>
        </w:rPr>
        <w:t>. This Agreement, the interpretation and enforcement thereof and all claims arising out of or relating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or the transactions contemplated by this Agreement, whether sounding in tort, contract or otherwise, shall be governed solely and exclusively by, and construed in accordance with, the laws and judicial decisions of the Commonwealth of Virginia without giving effect to any choice or conflict of law provision or rule that would cause the application of the laws and judicial decisions of any jurisdiction other than the Commonwealth of Virginia.</w:t>
      </w:r>
    </w:p>
    <w:p>
      <w:pPr>
        <w:spacing w:after="0" w:line="152" w:lineRule="exact"/>
        <w:rPr>
          <w:rFonts w:ascii="Arial" w:cs="Arial" w:eastAsia="Arial" w:hAnsi="Arial"/>
          <w:sz w:val="20"/>
          <w:szCs w:val="20"/>
          <w:color w:val="auto"/>
        </w:rPr>
      </w:pPr>
    </w:p>
    <w:p>
      <w:pPr>
        <w:jc w:val="both"/>
        <w:ind w:firstLine="332"/>
        <w:spacing w:after="0" w:line="233" w:lineRule="auto"/>
        <w:tabs>
          <w:tab w:leader="none" w:pos="648" w:val="left"/>
        </w:tabs>
        <w:numPr>
          <w:ilvl w:val="0"/>
          <w:numId w:val="20"/>
        </w:numPr>
        <w:rPr>
          <w:rFonts w:ascii="Arial" w:cs="Arial" w:eastAsia="Arial" w:hAnsi="Arial"/>
          <w:sz w:val="19"/>
          <w:szCs w:val="19"/>
          <w:color w:val="auto"/>
        </w:rPr>
      </w:pPr>
      <w:r>
        <w:rPr>
          <w:rFonts w:ascii="Arial" w:cs="Arial" w:eastAsia="Arial" w:hAnsi="Arial"/>
          <w:sz w:val="19"/>
          <w:szCs w:val="19"/>
          <w:b w:val="1"/>
          <w:bCs w:val="1"/>
          <w:color w:val="auto"/>
        </w:rPr>
        <w:t>Forum Selection</w:t>
      </w:r>
      <w:r>
        <w:rPr>
          <w:rFonts w:ascii="Arial" w:cs="Arial" w:eastAsia="Arial" w:hAnsi="Arial"/>
          <w:sz w:val="19"/>
          <w:szCs w:val="19"/>
          <w:color w:val="auto"/>
        </w:rPr>
        <w:t>. All actions and proceedings arising out of or relating to this Agreement, or the transactions contemplated by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heard and determined solely and exclusively in the Circuit Court for the City of Alexandria in the Commonwealth of Virginia or the Alexandria Division of the United States District Court for the Eastern District of Virginia, chosen at the option of the Company and to which the Participant has no objection. The Participant consents to personal jurisdiction in Virginia.</w:t>
      </w:r>
    </w:p>
    <w:p>
      <w:pPr>
        <w:spacing w:after="0" w:line="164" w:lineRule="exact"/>
        <w:rPr>
          <w:rFonts w:ascii="Arial" w:cs="Arial" w:eastAsia="Arial" w:hAnsi="Arial"/>
          <w:sz w:val="19"/>
          <w:szCs w:val="19"/>
          <w:color w:val="auto"/>
        </w:rPr>
      </w:pPr>
    </w:p>
    <w:p>
      <w:pPr>
        <w:jc w:val="both"/>
        <w:ind w:firstLine="332"/>
        <w:spacing w:after="0" w:line="225"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Waiver of Jury Trial</w:t>
      </w:r>
      <w:r>
        <w:rPr>
          <w:rFonts w:ascii="Arial" w:cs="Arial" w:eastAsia="Arial" w:hAnsi="Arial"/>
          <w:sz w:val="20"/>
          <w:szCs w:val="20"/>
          <w:color w:val="auto"/>
        </w:rPr>
        <w:t>. Each party hereby waives its right to a jury trial of any and all claims or cause of actions based upon or arising</w:t>
      </w:r>
      <w:r>
        <w:rPr>
          <w:rFonts w:ascii="Arial" w:cs="Arial" w:eastAsia="Arial" w:hAnsi="Arial"/>
          <w:sz w:val="20"/>
          <w:szCs w:val="20"/>
          <w:b w:val="1"/>
          <w:bCs w:val="1"/>
          <w:color w:val="auto"/>
        </w:rPr>
        <w:t xml:space="preserve"> </w:t>
      </w:r>
      <w:r>
        <w:rPr>
          <w:rFonts w:ascii="Arial" w:cs="Arial" w:eastAsia="Arial" w:hAnsi="Arial"/>
          <w:sz w:val="20"/>
          <w:szCs w:val="20"/>
          <w:color w:val="auto"/>
        </w:rPr>
        <w:t>out of this Agreement or the transactions contemplated by this Agreement. Each party hereby acknowledges and agrees that the waiver contained in this Section 17 is made knowingly and voluntarily.</w:t>
      </w:r>
    </w:p>
    <w:p>
      <w:pPr>
        <w:spacing w:after="0" w:line="163" w:lineRule="exact"/>
        <w:rPr>
          <w:rFonts w:ascii="Arial" w:cs="Arial" w:eastAsia="Arial" w:hAnsi="Arial"/>
          <w:sz w:val="20"/>
          <w:szCs w:val="20"/>
          <w:color w:val="auto"/>
        </w:rPr>
      </w:pPr>
    </w:p>
    <w:p>
      <w:pPr>
        <w:ind w:firstLine="332"/>
        <w:spacing w:after="0" w:line="239"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Headings</w:t>
      </w:r>
      <w:r>
        <w:rPr>
          <w:rFonts w:ascii="Arial" w:cs="Arial" w:eastAsia="Arial" w:hAnsi="Arial"/>
          <w:sz w:val="20"/>
          <w:szCs w:val="20"/>
          <w:color w:val="auto"/>
        </w:rPr>
        <w:t>. The headings in this Agreement are for convenience only. They form no part of the Agreement and will not affect its</w:t>
      </w:r>
      <w:r>
        <w:rPr>
          <w:rFonts w:ascii="Arial" w:cs="Arial" w:eastAsia="Arial" w:hAnsi="Arial"/>
          <w:sz w:val="20"/>
          <w:szCs w:val="20"/>
          <w:b w:val="1"/>
          <w:bCs w:val="1"/>
          <w:color w:val="auto"/>
        </w:rPr>
        <w:t xml:space="preserve"> </w:t>
      </w:r>
      <w:r>
        <w:rPr>
          <w:rFonts w:ascii="Arial" w:cs="Arial" w:eastAsia="Arial" w:hAnsi="Arial"/>
          <w:sz w:val="20"/>
          <w:szCs w:val="20"/>
          <w:color w:val="auto"/>
        </w:rPr>
        <w:t>interpretation.</w:t>
      </w:r>
    </w:p>
    <w:p>
      <w:pPr>
        <w:spacing w:after="0" w:line="149" w:lineRule="exact"/>
        <w:rPr>
          <w:rFonts w:ascii="Arial" w:cs="Arial" w:eastAsia="Arial" w:hAnsi="Arial"/>
          <w:sz w:val="20"/>
          <w:szCs w:val="20"/>
          <w:color w:val="auto"/>
        </w:rPr>
      </w:pPr>
    </w:p>
    <w:p>
      <w:pPr>
        <w:jc w:val="both"/>
        <w:ind w:firstLine="332"/>
        <w:spacing w:after="0" w:line="23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Tax Withholding</w:t>
      </w:r>
      <w:r>
        <w:rPr>
          <w:rFonts w:ascii="Arial" w:cs="Arial" w:eastAsia="Arial" w:hAnsi="Arial"/>
          <w:sz w:val="20"/>
          <w:szCs w:val="20"/>
          <w:color w:val="auto"/>
        </w:rPr>
        <w:t>. In accordance with Section 18 of the Plan, the obligations of the Company hereunder are conditioned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timely paying, or otherwise making arrangements satisfactory to the Company regarding the timely satisfaction of, any tax withholding requirements.</w:t>
      </w:r>
    </w:p>
    <w:p>
      <w:pPr>
        <w:spacing w:after="0" w:line="148" w:lineRule="exact"/>
        <w:rPr>
          <w:rFonts w:ascii="Arial" w:cs="Arial" w:eastAsia="Arial" w:hAnsi="Arial"/>
          <w:sz w:val="20"/>
          <w:szCs w:val="20"/>
          <w:color w:val="auto"/>
        </w:rPr>
      </w:pPr>
    </w:p>
    <w:p>
      <w:pPr>
        <w:jc w:val="both"/>
        <w:ind w:firstLine="332"/>
        <w:spacing w:after="0" w:line="214"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Electronic Delivery of Documents</w:t>
      </w:r>
      <w:r>
        <w:rPr>
          <w:rFonts w:ascii="Arial" w:cs="Arial" w:eastAsia="Arial" w:hAnsi="Arial"/>
          <w:sz w:val="20"/>
          <w:szCs w:val="20"/>
          <w:color w:val="auto"/>
        </w:rPr>
        <w:t>. The Participant authorizes the Company to deliver electronically any prospectuses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documentation related to the Award and any other compensation or benefit plan or arrangement in effect from time to time (including, without limitation, reports, proxy statements or other documents that are required to be delivered to participants in such arrangements pursuant to federal or state laws, rules or regulations). For this purpose, electronic delivery will include, without limitation, delivery by means of e-mail or e-mail notification that such documentation is available on the Company’s intranet site or the website of a third-party administrator designated by the Company. Upon written request, the Company will provide to the Participant a paper copy of any document also delivered to the Participant electronically. The authorization described in this Section 20 may be revoked by the Participant at any time by written notice to the Company.</w:t>
      </w:r>
    </w:p>
    <w:p>
      <w:pPr>
        <w:spacing w:after="0" w:line="154" w:lineRule="exact"/>
        <w:rPr>
          <w:rFonts w:ascii="Arial" w:cs="Arial" w:eastAsia="Arial" w:hAnsi="Arial"/>
          <w:sz w:val="20"/>
          <w:szCs w:val="20"/>
          <w:color w:val="auto"/>
        </w:rPr>
      </w:pPr>
    </w:p>
    <w:p>
      <w:pPr>
        <w:jc w:val="both"/>
        <w:ind w:firstLine="332"/>
        <w:spacing w:after="0" w:line="23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Further Assurances</w:t>
      </w:r>
      <w:r>
        <w:rPr>
          <w:rFonts w:ascii="Arial" w:cs="Arial" w:eastAsia="Arial" w:hAnsi="Arial"/>
          <w:sz w:val="20"/>
          <w:szCs w:val="20"/>
          <w:color w:val="auto"/>
        </w:rPr>
        <w:t>. The Participant agrees, upon demand of the Company, to do all acts and execute, deliver and perform all</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additional documents, instruments and agreements which may be reasonably required by the Company to implement the provisions and purposes of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rPr>
          <w:sz w:val="20"/>
          <w:szCs w:val="20"/>
          <w:color w:val="auto"/>
        </w:rPr>
      </w:pPr>
      <w:r>
        <w:rPr>
          <w:rFonts w:ascii="Arial" w:cs="Arial" w:eastAsia="Arial" w:hAnsi="Arial"/>
          <w:sz w:val="13"/>
          <w:szCs w:val="13"/>
          <w:color w:val="auto"/>
        </w:rPr>
        <w:t>146202613v5</w:t>
      </w:r>
    </w:p>
    <w:p>
      <w:pPr>
        <w:sectPr>
          <w:pgSz w:w="11900" w:h="16838" w:orient="portrait"/>
          <w:cols w:equalWidth="0" w:num="1">
            <w:col w:w="11240"/>
          </w:cols>
          <w:pgMar w:left="320" w:top="1399" w:right="339" w:bottom="1440" w:gutter="0" w:footer="0" w:header="0"/>
        </w:sectPr>
      </w:pPr>
    </w:p>
    <w:bookmarkStart w:id="66" w:name="page67"/>
    <w:bookmarkEnd w:id="66"/>
    <w:p>
      <w:pPr>
        <w:jc w:val="center"/>
        <w:ind w:right="-1120"/>
        <w:spacing w:after="0"/>
        <w:rPr>
          <w:sz w:val="20"/>
          <w:szCs w:val="20"/>
          <w:color w:val="auto"/>
        </w:rPr>
      </w:pPr>
      <w:r>
        <w:rPr>
          <w:rFonts w:ascii="Arial" w:cs="Arial" w:eastAsia="Arial" w:hAnsi="Arial"/>
          <w:sz w:val="20"/>
          <w:szCs w:val="20"/>
          <w:b w:val="1"/>
          <w:bCs w:val="1"/>
          <w:color w:val="auto"/>
        </w:rPr>
        <w:t>[APPENDIX TO AWARD AGREEMENT</w:t>
      </w:r>
    </w:p>
    <w:p>
      <w:pPr>
        <w:spacing w:after="0" w:line="189"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NON-DISCLOSURE AND RESTRICTIVE COVENANT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rPr>
          <w:sz w:val="20"/>
          <w:szCs w:val="20"/>
          <w:color w:val="auto"/>
        </w:rPr>
      </w:pPr>
      <w:r>
        <w:rPr>
          <w:rFonts w:ascii="Arial" w:cs="Arial" w:eastAsia="Arial" w:hAnsi="Arial"/>
          <w:sz w:val="13"/>
          <w:szCs w:val="13"/>
          <w:color w:val="auto"/>
        </w:rPr>
        <w:t>146202613v5</w:t>
      </w:r>
    </w:p>
    <w:p>
      <w:pPr>
        <w:sectPr>
          <w:pgSz w:w="11900" w:h="16838" w:orient="portrait"/>
          <w:cols w:equalWidth="0" w:num="1">
            <w:col w:w="10139"/>
          </w:cols>
          <w:pgMar w:left="320" w:top="1399" w:right="1440" w:bottom="1440" w:gutter="0" w:footer="0" w:header="0"/>
        </w:sectPr>
      </w:pPr>
    </w:p>
    <w:bookmarkStart w:id="67" w:name="page68"/>
    <w:bookmarkEnd w:id="67"/>
    <w:p>
      <w:pPr>
        <w:ind w:left="200"/>
        <w:spacing w:after="0"/>
        <w:rPr>
          <w:sz w:val="20"/>
          <w:szCs w:val="20"/>
          <w:color w:val="auto"/>
        </w:rPr>
      </w:pPr>
      <w:r>
        <w:rPr>
          <w:rFonts w:ascii="Arial" w:cs="Arial" w:eastAsia="Arial" w:hAnsi="Arial"/>
          <w:sz w:val="20"/>
          <w:szCs w:val="20"/>
          <w:b w:val="1"/>
          <w:bCs w:val="1"/>
          <w:u w:val="single" w:color="auto"/>
          <w:color w:val="auto"/>
        </w:rPr>
        <w:t>NON-DISCLOSURE AND RESTRICTIVE COVENANT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(“Agreement”) is made this _____ day of __________, 2023, by _____________ (“Employee”) and Burke &amp; Herbert Bank</w:t>
      </w:r>
    </w:p>
    <w:p>
      <w:pPr>
        <w:ind w:firstLine="8"/>
        <w:spacing w:after="0" w:line="227" w:lineRule="auto"/>
        <w:tabs>
          <w:tab w:leader="none" w:pos="209" w:val="left"/>
        </w:tabs>
        <w:numPr>
          <w:ilvl w:val="0"/>
          <w:numId w:val="21"/>
        </w:numPr>
        <w:rPr>
          <w:rFonts w:ascii="Arial" w:cs="Arial" w:eastAsia="Arial" w:hAnsi="Arial"/>
          <w:sz w:val="20"/>
          <w:szCs w:val="20"/>
          <w:color w:val="auto"/>
        </w:rPr>
      </w:pPr>
      <w:r>
        <w:rPr>
          <w:rFonts w:ascii="Arial" w:cs="Arial" w:eastAsia="Arial" w:hAnsi="Arial"/>
          <w:sz w:val="20"/>
          <w:szCs w:val="20"/>
          <w:color w:val="auto"/>
        </w:rPr>
        <w:t>Trust Company, a Virginia community bank (the “Bank”). This Agreement collectively refers to the Bank and Employee as the “Parties,” and separately may refer to any one of the Parties as a “Party.”</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RECITALS</w:t>
      </w:r>
    </w:p>
    <w:p>
      <w:pPr>
        <w:spacing w:after="0" w:line="208" w:lineRule="exact"/>
        <w:rPr>
          <w:sz w:val="20"/>
          <w:szCs w:val="20"/>
          <w:color w:val="auto"/>
        </w:rPr>
      </w:pPr>
    </w:p>
    <w:p>
      <w:pPr>
        <w:ind w:left="600" w:hanging="394"/>
        <w:spacing w:after="0"/>
        <w:tabs>
          <w:tab w:leader="none" w:pos="6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Employee is a valuable employee of the Bank; and</w:t>
      </w:r>
    </w:p>
    <w:p>
      <w:pPr>
        <w:spacing w:after="0" w:line="188" w:lineRule="exact"/>
        <w:rPr>
          <w:rFonts w:ascii="Arial" w:cs="Arial" w:eastAsia="Arial" w:hAnsi="Arial"/>
          <w:sz w:val="20"/>
          <w:szCs w:val="20"/>
          <w:color w:val="auto"/>
        </w:rPr>
      </w:pPr>
    </w:p>
    <w:p>
      <w:pPr>
        <w:jc w:val="both"/>
        <w:ind w:firstLine="264"/>
        <w:spacing w:after="0" w:line="223" w:lineRule="auto"/>
        <w:rPr>
          <w:rFonts w:ascii="Arial" w:cs="Arial" w:eastAsia="Arial" w:hAnsi="Arial"/>
          <w:sz w:val="20"/>
          <w:szCs w:val="20"/>
          <w:color w:val="auto"/>
        </w:rPr>
      </w:pPr>
      <w:r>
        <w:rPr>
          <w:rFonts w:ascii="Arial" w:cs="Arial" w:eastAsia="Arial" w:hAnsi="Arial"/>
          <w:sz w:val="20"/>
          <w:szCs w:val="20"/>
          <w:color w:val="auto"/>
        </w:rPr>
        <w:t>B. Burke &amp; Herbert Financial Services Corp. (the “Holding Company”) has provided to Employee a Notice of Grant of Time-Based Restricted Stock Units Award and Award Agreement (collectively, the “Grant Agreement”), to which this Agreement is attached as an appendix; and</w:t>
      </w:r>
    </w:p>
    <w:p>
      <w:pPr>
        <w:spacing w:after="0" w:line="168" w:lineRule="exact"/>
        <w:rPr>
          <w:rFonts w:ascii="Arial" w:cs="Arial" w:eastAsia="Arial" w:hAnsi="Arial"/>
          <w:sz w:val="20"/>
          <w:szCs w:val="20"/>
          <w:color w:val="auto"/>
        </w:rPr>
      </w:pPr>
    </w:p>
    <w:p>
      <w:pPr>
        <w:ind w:firstLine="327"/>
        <w:spacing w:after="0" w:line="257" w:lineRule="auto"/>
        <w:rPr>
          <w:rFonts w:ascii="Arial" w:cs="Arial" w:eastAsia="Arial" w:hAnsi="Arial"/>
          <w:sz w:val="20"/>
          <w:szCs w:val="20"/>
          <w:color w:val="auto"/>
        </w:rPr>
      </w:pPr>
      <w:r>
        <w:rPr>
          <w:rFonts w:ascii="Arial" w:cs="Arial" w:eastAsia="Arial" w:hAnsi="Arial"/>
          <w:sz w:val="19"/>
          <w:szCs w:val="19"/>
          <w:color w:val="auto"/>
        </w:rPr>
        <w:t>C. As a condition of receiving the restricted stock unit award described in the Grant Agreement, Employee is entering into this Agreement, which contains certain terms, conditions, and restrictive covenants regarding Employee’s employment by the Bank; and</w:t>
      </w:r>
    </w:p>
    <w:p>
      <w:pPr>
        <w:spacing w:after="0" w:line="166" w:lineRule="exact"/>
        <w:rPr>
          <w:rFonts w:ascii="Arial" w:cs="Arial" w:eastAsia="Arial" w:hAnsi="Arial"/>
          <w:sz w:val="20"/>
          <w:szCs w:val="20"/>
          <w:color w:val="auto"/>
        </w:rPr>
      </w:pPr>
    </w:p>
    <w:p>
      <w:pPr>
        <w:jc w:val="both"/>
        <w:ind w:firstLine="228"/>
        <w:spacing w:after="0" w:line="227" w:lineRule="auto"/>
        <w:rPr>
          <w:rFonts w:ascii="Arial" w:cs="Arial" w:eastAsia="Arial" w:hAnsi="Arial"/>
          <w:sz w:val="20"/>
          <w:szCs w:val="20"/>
          <w:color w:val="auto"/>
        </w:rPr>
      </w:pPr>
      <w:r>
        <w:rPr>
          <w:rFonts w:ascii="Arial" w:cs="Arial" w:eastAsia="Arial" w:hAnsi="Arial"/>
          <w:sz w:val="20"/>
          <w:szCs w:val="20"/>
          <w:color w:val="auto"/>
        </w:rPr>
        <w:t>D. Employee will or may have access to non-public information about the Bank, the Holding Company, and the Bank’s customers, and will receive training and information about the Bank’s methods of operation, which render the restrictive covenants necessary for the protection of the Bank.</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is hereby acknowledged, the Bank and</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Employee hereby agree as follows:</w:t>
      </w:r>
    </w:p>
    <w:p>
      <w:pPr>
        <w:spacing w:after="0" w:line="159" w:lineRule="exact"/>
        <w:rPr>
          <w:sz w:val="20"/>
          <w:szCs w:val="20"/>
          <w:color w:val="auto"/>
        </w:rPr>
      </w:pPr>
    </w:p>
    <w:p>
      <w:pPr>
        <w:ind w:firstLine="656"/>
        <w:spacing w:after="0" w:line="236" w:lineRule="auto"/>
        <w:tabs>
          <w:tab w:leader="none" w:pos="1296"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Employment-At-Will Status</w:t>
      </w:r>
      <w:r>
        <w:rPr>
          <w:rFonts w:ascii="Arial" w:cs="Arial" w:eastAsia="Arial" w:hAnsi="Arial"/>
          <w:sz w:val="20"/>
          <w:szCs w:val="20"/>
          <w:color w:val="auto"/>
        </w:rPr>
        <w:t>. Unless Employee has an existing employment agreement that sets forth a definite term of employment, Employee’s employment is, has been, and will continue to be on an “employment-at-will” basis.</w:t>
      </w:r>
    </w:p>
    <w:p>
      <w:pPr>
        <w:spacing w:after="0" w:line="155" w:lineRule="exact"/>
        <w:rPr>
          <w:rFonts w:ascii="Arial" w:cs="Arial" w:eastAsia="Arial" w:hAnsi="Arial"/>
          <w:sz w:val="20"/>
          <w:szCs w:val="20"/>
          <w:color w:val="auto"/>
        </w:rPr>
      </w:pPr>
    </w:p>
    <w:p>
      <w:pPr>
        <w:jc w:val="both"/>
        <w:ind w:firstLine="656"/>
        <w:spacing w:after="0" w:line="211" w:lineRule="auto"/>
        <w:tabs>
          <w:tab w:leader="none" w:pos="1296"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Confidentiality</w:t>
      </w:r>
      <w:r>
        <w:rPr>
          <w:rFonts w:ascii="Arial" w:cs="Arial" w:eastAsia="Arial" w:hAnsi="Arial"/>
          <w:sz w:val="20"/>
          <w:szCs w:val="20"/>
          <w:color w:val="auto"/>
        </w:rPr>
        <w:t>. As an employee of the Bank, Employee will have access to and may participate in the origination of non-public, proprietary and confidential information relating to the Bank and/or its affiliates, including the Holding Company, and Employee acknowledges a fiduciary duty owed to the Bank and its affiliates not to disclose impermissibly any such information. Confidential information may include, but is not limited to, trade secrets, customer lists and information, internal corporate planning, methods of marketing and operation, and other data or information of or concerning the Holding Company or the Bank or its customers that is not generally known to the public or generally in the banking industry. In exchange for the benefits promised in this Agreement and other valuable consideration, Employee agrees that during employment and for a period of five (5) years following the cessation of employment, Employee will not use or disclose to any third party any such confidential information, either directly or indirectly, except as may be authorized in writing specifically by the Bank; provided, however that to the extent the information covered by this Section 2 is otherwise protected by the law, such as “trade secrets,” as defined by the Virginia Uniform Trade Secrets Act, or customer information protected by banking privacy laws, that information shall not be disclosed or used for however long the legal protections applicable to such information remain in effect.</w:t>
      </w:r>
    </w:p>
    <w:p>
      <w:pPr>
        <w:spacing w:after="0" w:line="16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Notwithstanding the foregoing, nothing in this Agreement is intended to prohibit Employee from performing any duty or obligation that shall arise as a matter of law or limit Employee’s right to communicate with any government agency. Employee shall continue to be under a duty</w:t>
      </w:r>
    </w:p>
    <w:p>
      <w:pPr>
        <w:spacing w:after="0" w:line="226" w:lineRule="auto"/>
        <w:rPr>
          <w:sz w:val="20"/>
          <w:szCs w:val="20"/>
          <w:color w:val="auto"/>
        </w:rPr>
      </w:pPr>
      <w:r>
        <w:rPr>
          <w:rFonts w:ascii="Arial" w:cs="Arial" w:eastAsia="Arial" w:hAnsi="Arial"/>
          <w:sz w:val="18"/>
          <w:szCs w:val="18"/>
          <w:color w:val="auto"/>
        </w:rPr>
        <w:t>to truthfully respond to any legal and valid subpoena or other legal process. In the event Employee is requested to disclose confidential information by subpoena or other legal process or lawful exercise of authority, Employee shall promptly provide the Bank with notice of the</w:t>
      </w:r>
    </w:p>
    <w:p>
      <w:pPr>
        <w:spacing w:after="0" w:line="236" w:lineRule="auto"/>
        <w:rPr>
          <w:sz w:val="20"/>
          <w:szCs w:val="20"/>
          <w:color w:val="auto"/>
        </w:rPr>
      </w:pPr>
      <w:r>
        <w:rPr>
          <w:rFonts w:ascii="Arial" w:cs="Arial" w:eastAsia="Arial" w:hAnsi="Arial"/>
          <w:sz w:val="18"/>
          <w:szCs w:val="18"/>
          <w:color w:val="auto"/>
        </w:rPr>
        <w:t>same and cooperate with the Bank in the Bank’s effort, at its sole expense, to avoid disclosure. Moreover, nothing herein is intended to and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shall not in any way proscribe or limit Employee’s right and ability to volunteer information to any federal, state, or local agency or governmental or regulatory authority.</w:t>
      </w:r>
    </w:p>
    <w:p>
      <w:pPr>
        <w:spacing w:after="0" w:line="17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Federal law provides certain protections to individuals who disclose a trade secret to their attorney, a court, or a government official in certain, confidential circumstances. Specifically, federal law provides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rPr>
          <w:sz w:val="20"/>
          <w:szCs w:val="20"/>
          <w:color w:val="auto"/>
        </w:rPr>
      </w:pPr>
      <w:r>
        <w:rPr>
          <w:rFonts w:ascii="Arial" w:cs="Arial" w:eastAsia="Arial" w:hAnsi="Arial"/>
          <w:sz w:val="13"/>
          <w:szCs w:val="13"/>
          <w:color w:val="auto"/>
        </w:rPr>
        <w:t>146202613v5</w:t>
      </w:r>
    </w:p>
    <w:p>
      <w:pPr>
        <w:sectPr>
          <w:pgSz w:w="11900" w:h="16838" w:orient="portrait"/>
          <w:cols w:equalWidth="0" w:num="1">
            <w:col w:w="11240"/>
          </w:cols>
          <w:pgMar w:left="320" w:top="1399" w:right="339" w:bottom="1440" w:gutter="0" w:footer="0" w:header="0"/>
        </w:sectPr>
      </w:pPr>
    </w:p>
    <w:bookmarkStart w:id="68" w:name="page69"/>
    <w:bookmarkEnd w:id="68"/>
    <w:p>
      <w:pPr>
        <w:spacing w:after="0" w:line="236" w:lineRule="auto"/>
        <w:rPr>
          <w:sz w:val="20"/>
          <w:szCs w:val="20"/>
          <w:color w:val="auto"/>
        </w:rPr>
      </w:pPr>
      <w:r>
        <w:rPr>
          <w:rFonts w:ascii="Arial" w:cs="Arial" w:eastAsia="Arial" w:hAnsi="Arial"/>
          <w:sz w:val="20"/>
          <w:szCs w:val="20"/>
          <w:color w:val="auto"/>
        </w:rPr>
        <w:t>that an individual shall not be held criminally or civilly liable under any federal or state trade secret law for the disclosure of a trade secret under either of the following conditions:</w:t>
      </w:r>
    </w:p>
    <w:p>
      <w:pPr>
        <w:spacing w:after="0" w:line="169" w:lineRule="exact"/>
        <w:rPr>
          <w:sz w:val="20"/>
          <w:szCs w:val="20"/>
          <w:color w:val="auto"/>
        </w:rPr>
      </w:pPr>
    </w:p>
    <w:p>
      <w:pPr>
        <w:ind w:left="1960" w:right="80" w:hanging="656"/>
        <w:spacing w:after="0" w:line="220" w:lineRule="auto"/>
        <w:tabs>
          <w:tab w:leader="none" w:pos="1960" w:val="left"/>
        </w:tabs>
        <w:numPr>
          <w:ilvl w:val="0"/>
          <w:numId w:val="24"/>
        </w:numPr>
        <w:rPr>
          <w:rFonts w:ascii="Arial" w:cs="Arial" w:eastAsia="Arial" w:hAnsi="Arial"/>
          <w:sz w:val="22"/>
          <w:szCs w:val="22"/>
          <w:color w:val="auto"/>
        </w:rPr>
      </w:pPr>
      <w:r>
        <w:rPr>
          <w:rFonts w:ascii="Arial" w:cs="Arial" w:eastAsia="Arial" w:hAnsi="Arial"/>
          <w:sz w:val="20"/>
          <w:szCs w:val="20"/>
          <w:color w:val="auto"/>
        </w:rPr>
        <w:t>Where the disclosure is made (A) in confidence to a federal, state or local government official, either directly or indirectly, or to an attorney; and (B) solely for the purpose of reporting or investigating a suspected violation of law; or</w:t>
      </w:r>
    </w:p>
    <w:p>
      <w:pPr>
        <w:spacing w:after="0" w:line="183" w:lineRule="exact"/>
        <w:rPr>
          <w:rFonts w:ascii="Arial" w:cs="Arial" w:eastAsia="Arial" w:hAnsi="Arial"/>
          <w:sz w:val="22"/>
          <w:szCs w:val="22"/>
          <w:color w:val="auto"/>
        </w:rPr>
      </w:pPr>
    </w:p>
    <w:p>
      <w:pPr>
        <w:ind w:left="1960" w:hanging="656"/>
        <w:spacing w:after="0" w:line="225" w:lineRule="auto"/>
        <w:tabs>
          <w:tab w:leader="none" w:pos="1960" w:val="left"/>
        </w:tabs>
        <w:numPr>
          <w:ilvl w:val="0"/>
          <w:numId w:val="24"/>
        </w:numPr>
        <w:rPr>
          <w:rFonts w:ascii="Arial" w:cs="Arial" w:eastAsia="Arial" w:hAnsi="Arial"/>
          <w:sz w:val="22"/>
          <w:szCs w:val="22"/>
          <w:color w:val="auto"/>
        </w:rPr>
      </w:pPr>
      <w:r>
        <w:rPr>
          <w:rFonts w:ascii="Arial" w:cs="Arial" w:eastAsia="Arial" w:hAnsi="Arial"/>
          <w:sz w:val="20"/>
          <w:szCs w:val="20"/>
          <w:color w:val="auto"/>
        </w:rPr>
        <w:t>Where the disclosure is made in a complaint or other document filed in a lawsuit or other proceeding, if such filing is made under seal.</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Federal law also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Nothing in this Agreement prohibits Employee from disclosing any details relating to a claim of sexual assault, or from disclosing or discussing conduct that Employee reasonably believes under state, federal or common law to be discrimination, including harassment,</w:t>
      </w:r>
    </w:p>
    <w:p>
      <w:pPr>
        <w:jc w:val="both"/>
        <w:spacing w:after="0" w:line="220" w:lineRule="auto"/>
        <w:rPr>
          <w:sz w:val="20"/>
          <w:szCs w:val="20"/>
          <w:color w:val="auto"/>
        </w:rPr>
      </w:pPr>
      <w:r>
        <w:rPr>
          <w:rFonts w:ascii="Arial" w:cs="Arial" w:eastAsia="Arial" w:hAnsi="Arial"/>
          <w:sz w:val="20"/>
          <w:szCs w:val="20"/>
          <w:color w:val="auto"/>
        </w:rPr>
        <w:t>retaliation, wage or hour violations, sexual assault, a fraud (against taxpayers, shareholders, the government, consumers, or other employees), or other conduct that is recognized as against a clear mandate of public policy.</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Notwithstanding anything herein to the contrary, nothing in this Agreement shall (x) prohibit Employee from making reports of possible</w:t>
      </w:r>
    </w:p>
    <w:p>
      <w:pPr>
        <w:jc w:val="both"/>
        <w:spacing w:after="0" w:line="226" w:lineRule="auto"/>
        <w:rPr>
          <w:sz w:val="20"/>
          <w:szCs w:val="20"/>
          <w:color w:val="auto"/>
        </w:rPr>
      </w:pPr>
      <w:r>
        <w:rPr>
          <w:rFonts w:ascii="Arial" w:cs="Arial" w:eastAsia="Arial" w:hAnsi="Arial"/>
          <w:sz w:val="18"/>
          <w:szCs w:val="18"/>
          <w:color w:val="auto"/>
        </w:rPr>
        <w:t>violations of federal law or regulation to any governmental agency or entity in accordance with the provisions of and rules promulgated under Section 21F of the Securities Exchange Act of 1934, as amended, or Section 806 of the Sarbanes-Oxley Act of 2002, or of any other</w:t>
      </w:r>
    </w:p>
    <w:p>
      <w:pPr>
        <w:spacing w:after="0" w:line="236" w:lineRule="auto"/>
        <w:rPr>
          <w:sz w:val="20"/>
          <w:szCs w:val="20"/>
          <w:color w:val="auto"/>
        </w:rPr>
      </w:pPr>
      <w:r>
        <w:rPr>
          <w:rFonts w:ascii="Arial" w:cs="Arial" w:eastAsia="Arial" w:hAnsi="Arial"/>
          <w:sz w:val="18"/>
          <w:szCs w:val="18"/>
          <w:color w:val="auto"/>
        </w:rPr>
        <w:t>whistleblower protection provisions of federal law or regulation, or (y) require notification or prior approval by the Bank of any such report;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provided that, Employee is not authorized to disclose communications with counsel of the Bank or Holding Company that were made for the purpose of receiving legal advice or that contain legal advice or that are protected by the attorney work product or similar privilege. Nothing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shall prohibit Employee from collecting a reward from a governmental agency or entity in connection with any such report.</w:t>
      </w:r>
    </w:p>
    <w:p>
      <w:pPr>
        <w:spacing w:after="0" w:line="182" w:lineRule="exact"/>
        <w:rPr>
          <w:sz w:val="20"/>
          <w:szCs w:val="20"/>
          <w:color w:val="auto"/>
        </w:rPr>
      </w:pPr>
    </w:p>
    <w:p>
      <w:pPr>
        <w:jc w:val="both"/>
        <w:ind w:firstLine="656"/>
        <w:spacing w:after="0" w:line="237" w:lineRule="auto"/>
        <w:tabs>
          <w:tab w:leader="none" w:pos="129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Non-Piracy of Customers</w:t>
      </w:r>
      <w:r>
        <w:rPr>
          <w:rFonts w:ascii="Arial" w:cs="Arial" w:eastAsia="Arial" w:hAnsi="Arial"/>
          <w:sz w:val="18"/>
          <w:szCs w:val="18"/>
          <w:color w:val="auto"/>
        </w:rPr>
        <w:t>. Employee agrees that for a period of twelve (12) months after Employee’s employment ceases for any reason, Employee will not, directly or indirectly, solicit, divert from the Bank, or transact business with any “Customer” of the Bank with whom Employee had “Material Contact” during the last twelve (12) months of Employee’s employment or about whom Employee obtained non-public information while acting within the scope of Employee’s employment during the last twelve (12) months of employment, if the purpose of such solicitation, diversion, or transaction is to provide products or services that are the same as or substantially similar to, and competitive with, those offered by the Bank at the time Employee’s employment ceases. “Material Contact” means that Employee personally communicated with the Customer, either orally or in writing, for the purpose of providing, offering to provide or assisting in providing products or services of the Bank. “Customer” means any person or entity with whom the Bank had a depository or other contractual relationship, pursuant to which the Bank provided products or services during the last twelve (12) months of Employee’s employment.</w:t>
      </w:r>
    </w:p>
    <w:p>
      <w:pPr>
        <w:spacing w:after="0" w:line="158" w:lineRule="exact"/>
        <w:rPr>
          <w:rFonts w:ascii="Arial" w:cs="Arial" w:eastAsia="Arial" w:hAnsi="Arial"/>
          <w:sz w:val="18"/>
          <w:szCs w:val="18"/>
          <w:color w:val="auto"/>
        </w:rPr>
      </w:pPr>
    </w:p>
    <w:p>
      <w:pPr>
        <w:jc w:val="both"/>
        <w:ind w:firstLine="656"/>
        <w:spacing w:after="0" w:line="217" w:lineRule="auto"/>
        <w:tabs>
          <w:tab w:leader="none" w:pos="1296"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Non-Solicitation of Employees</w:t>
      </w:r>
      <w:r>
        <w:rPr>
          <w:rFonts w:ascii="Arial" w:cs="Arial" w:eastAsia="Arial" w:hAnsi="Arial"/>
          <w:sz w:val="20"/>
          <w:szCs w:val="20"/>
          <w:color w:val="auto"/>
        </w:rPr>
        <w:t>. Employee agrees that for a period of twelve (12) months after Employee’s employment ceases, for any reason, Employee will not, directly or indirectly, hire, assist others in hiring, or solicit for hire any person, or induce or encourage any person to terminate employment with the Bank, if such person was known by Employee to have been an employee of the Bank at any time during the last six (6) months of Employee’s employment and the purpose of such hire, solicitation, or inducement is to compete with the Bank</w:t>
      </w:r>
      <w:r>
        <w:rPr>
          <w:rFonts w:ascii="Arial" w:cs="Arial" w:eastAsia="Arial" w:hAnsi="Arial"/>
          <w:sz w:val="21"/>
          <w:szCs w:val="21"/>
          <w:color w:val="auto"/>
        </w:rPr>
        <w:t>;</w:t>
      </w:r>
      <w:r>
        <w:rPr>
          <w:rFonts w:ascii="Arial" w:cs="Arial" w:eastAsia="Arial" w:hAnsi="Arial"/>
          <w:sz w:val="20"/>
          <w:szCs w:val="20"/>
          <w:color w:val="auto"/>
        </w:rPr>
        <w:t xml:space="preserve"> provided, however, that nothing herein prohibits Employee from issuing general solicitations in any medium not specifically directed at employees of the Bank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rPr>
          <w:sz w:val="20"/>
          <w:szCs w:val="20"/>
          <w:color w:val="auto"/>
        </w:rPr>
      </w:pPr>
      <w:r>
        <w:rPr>
          <w:rFonts w:ascii="Arial" w:cs="Arial" w:eastAsia="Arial" w:hAnsi="Arial"/>
          <w:sz w:val="13"/>
          <w:szCs w:val="13"/>
          <w:color w:val="auto"/>
        </w:rPr>
        <w:t>146202613v5</w:t>
      </w:r>
    </w:p>
    <w:p>
      <w:pPr>
        <w:sectPr>
          <w:pgSz w:w="11900" w:h="16838" w:orient="portrait"/>
          <w:cols w:equalWidth="0" w:num="1">
            <w:col w:w="11240"/>
          </w:cols>
          <w:pgMar w:left="320" w:top="1405" w:right="339" w:bottom="1440" w:gutter="0" w:footer="0" w:header="0"/>
        </w:sectPr>
      </w:pPr>
    </w:p>
    <w:bookmarkStart w:id="69" w:name="page70"/>
    <w:bookmarkEnd w:id="69"/>
    <w:p>
      <w:pPr>
        <w:spacing w:after="0" w:line="182" w:lineRule="exact"/>
        <w:rPr>
          <w:sz w:val="20"/>
          <w:szCs w:val="20"/>
          <w:color w:val="auto"/>
        </w:rPr>
      </w:pPr>
    </w:p>
    <w:p>
      <w:pPr>
        <w:jc w:val="both"/>
        <w:ind w:firstLine="656"/>
        <w:spacing w:after="0" w:line="225" w:lineRule="auto"/>
        <w:tabs>
          <w:tab w:leader="none" w:pos="129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Return of Bank Materials and Property/Non-Interference</w:t>
      </w:r>
      <w:r>
        <w:rPr>
          <w:rFonts w:ascii="Arial" w:cs="Arial" w:eastAsia="Arial" w:hAnsi="Arial"/>
          <w:sz w:val="19"/>
          <w:szCs w:val="19"/>
          <w:color w:val="auto"/>
        </w:rPr>
        <w:t>. Employee understands and agrees that immediately upon Employee’s separation from employment, Employee will return to the Bank all files, customer information, memoranda, records, credit cards, facility access cards, safe deposit box, facility and other keys, “tokens,” manuals, computer equipment, computer software, pagers, cellular phones, facsimile machines, vehicles, passwords, and any other equipment and other documents, and all other physical or personal property that Employee received from the Bank or that Employee used in the course of Employee’s employment with the Bank and that are the property of the Bank. Employee further agrees that Employee will provide immediately upon request all information used by the Bank to access any database or other electronically stored information, including any and all passwords.</w:t>
      </w:r>
    </w:p>
    <w:p>
      <w:pPr>
        <w:spacing w:after="0" w:line="172" w:lineRule="exact"/>
        <w:rPr>
          <w:rFonts w:ascii="Arial" w:cs="Arial" w:eastAsia="Arial" w:hAnsi="Arial"/>
          <w:sz w:val="19"/>
          <w:szCs w:val="19"/>
          <w:color w:val="auto"/>
        </w:rPr>
      </w:pPr>
    </w:p>
    <w:p>
      <w:pPr>
        <w:jc w:val="both"/>
        <w:ind w:firstLine="656"/>
        <w:spacing w:after="0" w:line="214" w:lineRule="auto"/>
        <w:tabs>
          <w:tab w:leader="none" w:pos="1296"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Severability of Provisions/Claims Do Not Excuse Performance</w:t>
      </w:r>
      <w:r>
        <w:rPr>
          <w:rFonts w:ascii="Arial" w:cs="Arial" w:eastAsia="Arial" w:hAnsi="Arial"/>
          <w:sz w:val="20"/>
          <w:szCs w:val="20"/>
          <w:color w:val="auto"/>
        </w:rPr>
        <w:t>. Each of the restrictive covenants of Employee contained in this Agreement shall be construed as an agreement independent of any other provision. The existence of any claim or cause of action of or by Employee against the Bank shall not constitute a defense to the enforcement by the Bank of any of the covenants contained herein. Employee agrees that the invalidity or unenforceability of any one provision or provisions of this Agreement shall not affect or diminish the validity or enforceability of any other provision of this Agreement, and all other provisions of this Agreement shall therefore remain in full force and effect.</w:t>
      </w:r>
    </w:p>
    <w:p>
      <w:pPr>
        <w:spacing w:after="0" w:line="173" w:lineRule="exact"/>
        <w:rPr>
          <w:rFonts w:ascii="Arial" w:cs="Arial" w:eastAsia="Arial" w:hAnsi="Arial"/>
          <w:sz w:val="20"/>
          <w:szCs w:val="20"/>
          <w:color w:val="auto"/>
        </w:rPr>
      </w:pPr>
    </w:p>
    <w:p>
      <w:pPr>
        <w:jc w:val="both"/>
        <w:ind w:firstLine="656"/>
        <w:spacing w:after="0" w:line="223" w:lineRule="auto"/>
        <w:tabs>
          <w:tab w:leader="none" w:pos="129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Breach of Covenants</w:t>
      </w:r>
      <w:r>
        <w:rPr>
          <w:rFonts w:ascii="Arial" w:cs="Arial" w:eastAsia="Arial" w:hAnsi="Arial"/>
          <w:sz w:val="19"/>
          <w:szCs w:val="19"/>
          <w:color w:val="auto"/>
        </w:rPr>
        <w:t>. Employee hereby acknowledges that Employee’s covenants contained in this Agreement are reasonable in time, scope and geography, are no broader than necessary to protect the legitimate interests of the Bank and are necessary for the protection of the Bank’s business. Employee further acknowledges that a breach of any of Employee’s covenants in this Agreement would cause irreparable damage to the Bank. Employee agrees that the restrictive covenants contained in this Agreement may be specifically enforced through injunctive relief, both temporary and permanent, by filing an action in a court of competent jurisdiction, as required by the venue provisions below. However, the right to injunctive relief shall not preclude the Bank from obtaining any other legal remedy available to it, including monetary damages. If any action at law or in equity is brought regarding the provisions of this Agreement and the Bank prevails in such action, the Bank shall be entitled to reasonable attorneys’ fees, costs, and expenses which shall be in addition to any other relief to which the Bank might be entitled.</w:t>
      </w:r>
    </w:p>
    <w:p>
      <w:pPr>
        <w:spacing w:after="0" w:line="157" w:lineRule="exact"/>
        <w:rPr>
          <w:rFonts w:ascii="Arial" w:cs="Arial" w:eastAsia="Arial" w:hAnsi="Arial"/>
          <w:sz w:val="19"/>
          <w:szCs w:val="19"/>
          <w:color w:val="auto"/>
        </w:rPr>
      </w:pPr>
    </w:p>
    <w:p>
      <w:pPr>
        <w:jc w:val="both"/>
        <w:ind w:firstLine="656"/>
        <w:spacing w:after="0" w:line="220" w:lineRule="auto"/>
        <w:tabs>
          <w:tab w:leader="none" w:pos="1296"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Entire Agreement/Waiver</w:t>
      </w:r>
      <w:r>
        <w:rPr>
          <w:rFonts w:ascii="Arial" w:cs="Arial" w:eastAsia="Arial" w:hAnsi="Arial"/>
          <w:sz w:val="20"/>
          <w:szCs w:val="20"/>
          <w:color w:val="auto"/>
        </w:rPr>
        <w:t>. This Agreement sets forth the entire and exclusive agreement, both orally and in writing, between the parties hereto with respect to the Bank’s confidential and proprietary information and the other restrictive covenants addressed in this Agreement. Any waiver by the Bank of a breach of any provision of this Agreement shall not operate or be construed as a waiver of any subsequent breach of such provision or any other provision hereof.</w:t>
      </w:r>
    </w:p>
    <w:p>
      <w:pPr>
        <w:spacing w:after="0" w:line="169" w:lineRule="exact"/>
        <w:rPr>
          <w:rFonts w:ascii="Arial" w:cs="Arial" w:eastAsia="Arial" w:hAnsi="Arial"/>
          <w:sz w:val="20"/>
          <w:szCs w:val="20"/>
          <w:color w:val="auto"/>
        </w:rPr>
      </w:pPr>
    </w:p>
    <w:p>
      <w:pPr>
        <w:jc w:val="both"/>
        <w:ind w:firstLine="656"/>
        <w:spacing w:after="0" w:line="252" w:lineRule="auto"/>
        <w:tabs>
          <w:tab w:leader="none" w:pos="129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Employee’s obligations under this Agreement shall survive Employee’s separation from employment regardless of the manner of such separation from employment, and shall be binding upon Employee’s heirs, successors, and assigns, as well as any companies, corporations, partnerships, or other legal or corporate entities subsequently formed by, or on behalf of, Employee.</w:t>
      </w:r>
    </w:p>
    <w:p>
      <w:pPr>
        <w:spacing w:after="0" w:line="157" w:lineRule="exact"/>
        <w:rPr>
          <w:rFonts w:ascii="Arial" w:cs="Arial" w:eastAsia="Arial" w:hAnsi="Arial"/>
          <w:sz w:val="18"/>
          <w:szCs w:val="18"/>
          <w:color w:val="auto"/>
        </w:rPr>
      </w:pPr>
    </w:p>
    <w:p>
      <w:pPr>
        <w:ind w:firstLine="656"/>
        <w:spacing w:after="0" w:line="236" w:lineRule="auto"/>
        <w:tabs>
          <w:tab w:leader="none" w:pos="1296"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Assignment</w:t>
      </w:r>
      <w:r>
        <w:rPr>
          <w:rFonts w:ascii="Arial" w:cs="Arial" w:eastAsia="Arial" w:hAnsi="Arial"/>
          <w:sz w:val="20"/>
          <w:szCs w:val="20"/>
          <w:color w:val="auto"/>
        </w:rPr>
        <w:t>. The Bank shall have the right to assign this Agreement to its successors and assigns, and all covenants and agreements hereunder shall inure to the benefit of, and be enforceable by, any such successors or assigns.</w:t>
      </w:r>
    </w:p>
    <w:p>
      <w:pPr>
        <w:spacing w:after="0" w:line="155" w:lineRule="exact"/>
        <w:rPr>
          <w:rFonts w:ascii="Arial" w:cs="Arial" w:eastAsia="Arial" w:hAnsi="Arial"/>
          <w:sz w:val="20"/>
          <w:szCs w:val="20"/>
          <w:color w:val="auto"/>
        </w:rPr>
      </w:pPr>
    </w:p>
    <w:p>
      <w:pPr>
        <w:jc w:val="both"/>
        <w:ind w:firstLine="656"/>
        <w:spacing w:after="0" w:line="218" w:lineRule="auto"/>
        <w:tabs>
          <w:tab w:leader="none" w:pos="1288"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Choice of Law</w:t>
      </w:r>
      <w:r>
        <w:rPr>
          <w:rFonts w:ascii="Arial" w:cs="Arial" w:eastAsia="Arial" w:hAnsi="Arial"/>
          <w:sz w:val="20"/>
          <w:szCs w:val="20"/>
          <w:color w:val="auto"/>
        </w:rPr>
        <w:t>. This Agreement, the interpretation and enforcement thereof and all claims arising out of or relating to this Agreement or the transactions contemplated by this Agreement, whether sounding in tort, contract or otherwise, shall be governed solely and exclusively by, and construed in accordance with, the laws and judicial decisions of the Commonwealth of Virginia without giving effect to any choice or conflict of law provision or rule that would cause the application of the laws and judicial decisions of any jurisdiction other than the Commonwealth of Virginia.</w:t>
      </w:r>
    </w:p>
    <w:p>
      <w:pPr>
        <w:spacing w:after="0" w:line="170" w:lineRule="exact"/>
        <w:rPr>
          <w:rFonts w:ascii="Arial" w:cs="Arial" w:eastAsia="Arial" w:hAnsi="Arial"/>
          <w:sz w:val="20"/>
          <w:szCs w:val="20"/>
          <w:color w:val="auto"/>
        </w:rPr>
      </w:pPr>
    </w:p>
    <w:p>
      <w:pPr>
        <w:jc w:val="both"/>
        <w:ind w:firstLine="656"/>
        <w:spacing w:after="0" w:line="252" w:lineRule="auto"/>
        <w:tabs>
          <w:tab w:leader="none" w:pos="129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Forum Selection</w:t>
      </w:r>
      <w:r>
        <w:rPr>
          <w:rFonts w:ascii="Arial" w:cs="Arial" w:eastAsia="Arial" w:hAnsi="Arial"/>
          <w:sz w:val="18"/>
          <w:szCs w:val="18"/>
          <w:color w:val="auto"/>
        </w:rPr>
        <w:t>. All actions and proceedings arising out of or relating to this Agreement, or the transactions contemplated by this Agreement, shall be heard and determined solely and exclusively in the Circuit Court for the City of Alexandria in the Commonwealth of Virginia or the Alexandria Division of the United States District Court for the Eastern District of Virginia, chosen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rPr>
          <w:sz w:val="20"/>
          <w:szCs w:val="20"/>
          <w:color w:val="auto"/>
        </w:rPr>
      </w:pPr>
      <w:r>
        <w:rPr>
          <w:rFonts w:ascii="Arial" w:cs="Arial" w:eastAsia="Arial" w:hAnsi="Arial"/>
          <w:sz w:val="13"/>
          <w:szCs w:val="13"/>
          <w:color w:val="auto"/>
        </w:rPr>
        <w:t>146202613v5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option of the Bank and to which Employee has no objection. Employee consents to personal jurisdiction in Virginia.</w:t>
      </w:r>
    </w:p>
    <w:p>
      <w:pPr>
        <w:spacing w:after="0" w:line="189" w:lineRule="exact"/>
        <w:rPr>
          <w:sz w:val="20"/>
          <w:szCs w:val="20"/>
          <w:color w:val="auto"/>
        </w:rPr>
      </w:pPr>
    </w:p>
    <w:p>
      <w:pPr>
        <w:jc w:val="both"/>
        <w:ind w:firstLine="656"/>
        <w:spacing w:after="0" w:line="223" w:lineRule="auto"/>
        <w:tabs>
          <w:tab w:leader="none" w:pos="1296"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hereby waives its right to a jury trial of any and all claims or cause of actions based upon or arising out of this Agreement or the transactions contemplated by this Agreement. Each party hereby acknowledges and agrees that the waiver contained in this Section 13 is made knowingly and voluntarily.</w:t>
      </w:r>
    </w:p>
    <w:p>
      <w:pPr>
        <w:spacing w:after="0" w:line="168" w:lineRule="exact"/>
        <w:rPr>
          <w:rFonts w:ascii="Arial" w:cs="Arial" w:eastAsia="Arial" w:hAnsi="Arial"/>
          <w:sz w:val="20"/>
          <w:szCs w:val="20"/>
          <w:color w:val="auto"/>
        </w:rPr>
      </w:pPr>
    </w:p>
    <w:p>
      <w:pPr>
        <w:jc w:val="both"/>
        <w:ind w:firstLine="656"/>
        <w:spacing w:after="0" w:line="223" w:lineRule="auto"/>
        <w:tabs>
          <w:tab w:leader="none" w:pos="1296"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All written notices required by this Agreement shall be deemed given when delivered personally or sent by registered or certified mail, return receipt requested, to the parties at their addresses existing at the time of the notices. Each party may, from time to time, designate a different address to which notices should be sent.</w:t>
      </w:r>
    </w:p>
    <w:p>
      <w:pPr>
        <w:spacing w:after="0" w:line="168" w:lineRule="exact"/>
        <w:rPr>
          <w:rFonts w:ascii="Arial" w:cs="Arial" w:eastAsia="Arial" w:hAnsi="Arial"/>
          <w:sz w:val="20"/>
          <w:szCs w:val="20"/>
          <w:color w:val="auto"/>
        </w:rPr>
      </w:pPr>
    </w:p>
    <w:p>
      <w:pPr>
        <w:ind w:firstLine="656"/>
        <w:spacing w:after="0" w:line="229" w:lineRule="auto"/>
        <w:tabs>
          <w:tab w:leader="none" w:pos="1296"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This Agreement may not be varied, altered, modified or in any way amended except by an instrument in writing executed by the parties hereto or their legal representatives.</w:t>
      </w:r>
    </w:p>
    <w:p>
      <w:pPr>
        <w:spacing w:after="0" w:line="168" w:lineRule="exact"/>
        <w:rPr>
          <w:rFonts w:ascii="Arial" w:cs="Arial" w:eastAsia="Arial" w:hAnsi="Arial"/>
          <w:sz w:val="20"/>
          <w:szCs w:val="20"/>
          <w:color w:val="auto"/>
        </w:rPr>
      </w:pPr>
    </w:p>
    <w:p>
      <w:pPr>
        <w:jc w:val="both"/>
        <w:ind w:firstLine="656"/>
        <w:spacing w:after="0" w:line="220" w:lineRule="auto"/>
        <w:tabs>
          <w:tab w:leader="none" w:pos="1296"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No Construction Against Either Party</w:t>
      </w:r>
      <w:r>
        <w:rPr>
          <w:rFonts w:ascii="Arial" w:cs="Arial" w:eastAsia="Arial" w:hAnsi="Arial"/>
          <w:sz w:val="20"/>
          <w:szCs w:val="20"/>
          <w:color w:val="auto"/>
        </w:rPr>
        <w:t>. This Agreement is the product of informed negotiations between Employee and the Bank. If any part of this Agreement is deemed to be unclear or ambiguous, it shall be construed as if it were drafted jointly by all parties. Employee and the Bank agree that none of the parties was in a superior bargaining position regarding the substantive terms of this Agreement.</w:t>
      </w:r>
    </w:p>
    <w:p>
      <w:pPr>
        <w:spacing w:after="0" w:line="169" w:lineRule="exact"/>
        <w:rPr>
          <w:rFonts w:ascii="Arial" w:cs="Arial" w:eastAsia="Arial" w:hAnsi="Arial"/>
          <w:sz w:val="20"/>
          <w:szCs w:val="20"/>
          <w:color w:val="auto"/>
        </w:rPr>
      </w:pPr>
    </w:p>
    <w:p>
      <w:pPr>
        <w:ind w:firstLine="656"/>
        <w:spacing w:after="0" w:line="229" w:lineRule="auto"/>
        <w:tabs>
          <w:tab w:leader="none" w:pos="1296"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Title.</w:t>
      </w:r>
      <w:r>
        <w:rPr>
          <w:rFonts w:ascii="Arial" w:cs="Arial" w:eastAsia="Arial" w:hAnsi="Arial"/>
          <w:sz w:val="20"/>
          <w:szCs w:val="20"/>
          <w:color w:val="auto"/>
        </w:rPr>
        <w:t xml:space="preserve"> The titles and sub-headings of each Section and Sub-Section in the Agreement are for convenience only and should not be considered part of the Agreement to aid in interpretation or construction.</w:t>
      </w:r>
    </w:p>
    <w:p>
      <w:pPr>
        <w:spacing w:after="0" w:line="168" w:lineRule="exact"/>
        <w:rPr>
          <w:rFonts w:ascii="Arial" w:cs="Arial" w:eastAsia="Arial" w:hAnsi="Arial"/>
          <w:sz w:val="20"/>
          <w:szCs w:val="20"/>
          <w:color w:val="auto"/>
        </w:rPr>
      </w:pPr>
    </w:p>
    <w:p>
      <w:pPr>
        <w:jc w:val="both"/>
        <w:ind w:firstLine="656"/>
        <w:spacing w:after="0" w:line="227" w:lineRule="auto"/>
        <w:tabs>
          <w:tab w:leader="none" w:pos="1296"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Counterparts/Facsimile.</w:t>
      </w:r>
      <w:r>
        <w:rPr>
          <w:rFonts w:ascii="Arial" w:cs="Arial" w:eastAsia="Arial" w:hAnsi="Arial"/>
          <w:sz w:val="19"/>
          <w:szCs w:val="19"/>
          <w:color w:val="auto"/>
        </w:rPr>
        <w:t xml:space="preserve"> This Agreement may be executed and delivered in multiple counterparts (including by Docusign or a similarly accredited secure signature service or other electronic transmission or signature), each of which when so executed and delivered shall be deemed to be an original, and all of which together shall constitute one and the same instrument. Counterparts may be delivered by facsimile, e-mail (including .pdf) or other transmission method and any counterpart so delivered shall be deemed to have been duly and validly delivered and shall be valid and effective for all purposes.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[Acknowledgement/signature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rPr>
          <w:sz w:val="20"/>
          <w:szCs w:val="20"/>
          <w:color w:val="auto"/>
        </w:rPr>
      </w:pPr>
      <w:r>
        <w:rPr>
          <w:rFonts w:ascii="Arial" w:cs="Arial" w:eastAsia="Arial" w:hAnsi="Arial"/>
          <w:sz w:val="13"/>
          <w:szCs w:val="13"/>
          <w:color w:val="auto"/>
        </w:rPr>
        <w:t>146202613v5</w:t>
      </w:r>
    </w:p>
    <w:p>
      <w:pPr>
        <w:sectPr>
          <w:pgSz w:w="11900" w:h="16838" w:orient="portrait"/>
          <w:cols w:equalWidth="0" w:num="1">
            <w:col w:w="11240"/>
          </w:cols>
          <w:pgMar w:left="320" w:top="1440" w:right="339" w:bottom="1440" w:gutter="0" w:footer="0" w:header="0"/>
        </w:sectPr>
      </w:pPr>
    </w:p>
    <w:bookmarkStart w:id="71" w:name="page72"/>
    <w:bookmarkEnd w:id="71"/>
    <w:p>
      <w:pPr>
        <w:ind w:left="2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written below.</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w:t>
      </w:r>
    </w:p>
    <w:p>
      <w:pPr>
        <w:sectPr>
          <w:pgSz w:w="11900" w:h="16838" w:orient="portrait"/>
          <w:cols w:equalWidth="0" w:num="1">
            <w:col w:w="10139"/>
          </w:cols>
          <w:pgMar w:left="32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__________________________________</w:t>
      </w:r>
    </w:p>
    <w:p>
      <w:pPr>
        <w:ind w:left="1600"/>
        <w:spacing w:after="0" w:line="223" w:lineRule="auto"/>
        <w:rPr>
          <w:sz w:val="20"/>
          <w:szCs w:val="20"/>
          <w:color w:val="auto"/>
        </w:rPr>
      </w:pPr>
      <w:r>
        <w:rPr>
          <w:rFonts w:ascii="Arial" w:cs="Arial" w:eastAsia="Arial" w:hAnsi="Arial"/>
          <w:sz w:val="20"/>
          <w:szCs w:val="20"/>
          <w:color w:val="auto"/>
        </w:rPr>
        <w:t>Date</w:t>
      </w:r>
    </w:p>
    <w:p>
      <w:pPr>
        <w:spacing w:after="0"/>
        <w:rPr>
          <w:sz w:val="20"/>
          <w:szCs w:val="20"/>
          <w:color w:val="auto"/>
        </w:rPr>
      </w:pPr>
      <w:r>
        <w:rPr>
          <w:rFonts w:ascii="Arial" w:cs="Arial" w:eastAsia="Arial" w:hAnsi="Arial"/>
          <w:sz w:val="16"/>
          <w:szCs w:val="16"/>
          <w:color w:val="auto"/>
        </w:rPr>
        <w:t>Printed Name: 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w:t>
      </w:r>
    </w:p>
    <w:p>
      <w:pPr>
        <w:spacing w:after="0" w:line="620" w:lineRule="exact"/>
        <w:rPr>
          <w:sz w:val="20"/>
          <w:szCs w:val="20"/>
          <w:color w:val="auto"/>
        </w:rPr>
      </w:pPr>
    </w:p>
    <w:p>
      <w:pPr>
        <w:sectPr>
          <w:pgSz w:w="11900" w:h="16838" w:orient="portrait"/>
          <w:cols w:equalWidth="0" w:num="2">
            <w:col w:w="4280" w:space="360"/>
            <w:col w:w="5499"/>
          </w:cols>
          <w:pgMar w:left="320" w:top="139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BURKE &amp; HERBERT BANK &amp; TRUST COMPANY</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By and for the Bank:</w:t>
      </w:r>
    </w:p>
    <w:p>
      <w:pPr>
        <w:sectPr>
          <w:pgSz w:w="11900" w:h="16838" w:orient="portrait"/>
          <w:cols w:equalWidth="0" w:num="1">
            <w:col w:w="10139"/>
          </w:cols>
          <w:pgMar w:left="320" w:top="1399"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__________________________________</w:t>
      </w:r>
    </w:p>
    <w:p>
      <w:pPr>
        <w:ind w:left="1000"/>
        <w:spacing w:after="0" w:line="223" w:lineRule="auto"/>
        <w:rPr>
          <w:sz w:val="20"/>
          <w:szCs w:val="20"/>
          <w:color w:val="auto"/>
        </w:rPr>
      </w:pPr>
      <w:r>
        <w:rPr>
          <w:rFonts w:ascii="Arial" w:cs="Arial" w:eastAsia="Arial" w:hAnsi="Arial"/>
          <w:sz w:val="20"/>
          <w:szCs w:val="20"/>
          <w:color w:val="auto"/>
        </w:rPr>
        <w:t>Date</w:t>
      </w:r>
    </w:p>
    <w:p>
      <w:pPr>
        <w:spacing w:after="0"/>
        <w:rPr>
          <w:sz w:val="20"/>
          <w:szCs w:val="20"/>
          <w:color w:val="auto"/>
        </w:rPr>
      </w:pPr>
      <w:r>
        <w:rPr>
          <w:rFonts w:ascii="Arial" w:cs="Arial" w:eastAsia="Arial" w:hAnsi="Arial"/>
          <w:sz w:val="16"/>
          <w:szCs w:val="16"/>
          <w:color w:val="auto"/>
        </w:rPr>
        <w:t>Printed Name: _______________________________</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w:t>
      </w:r>
    </w:p>
    <w:p>
      <w:pPr>
        <w:spacing w:after="0" w:line="620" w:lineRule="exact"/>
        <w:rPr>
          <w:sz w:val="20"/>
          <w:szCs w:val="20"/>
          <w:color w:val="auto"/>
        </w:rPr>
      </w:pPr>
    </w:p>
    <w:p>
      <w:pPr>
        <w:sectPr>
          <w:pgSz w:w="11900" w:h="16838" w:orient="portrait"/>
          <w:cols w:equalWidth="0" w:num="2">
            <w:col w:w="4280" w:space="360"/>
            <w:col w:w="5499"/>
          </w:cols>
          <w:pgMar w:left="320" w:top="1399"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Title: ______________________________________</w:t>
      </w:r>
    </w:p>
    <w:p>
      <w:pPr>
        <w:sectPr>
          <w:pgSz w:w="11900" w:h="16838" w:orient="portrait"/>
          <w:cols w:equalWidth="0" w:num="1">
            <w:col w:w="10139"/>
          </w:cols>
          <w:pgMar w:left="320" w:top="139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9</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146202613v5</w:t>
      </w:r>
    </w:p>
    <w:p>
      <w:pPr>
        <w:sectPr>
          <w:pgSz w:w="11900" w:h="16838" w:orient="portrait"/>
          <w:cols w:equalWidth="0" w:num="1">
            <w:col w:w="10139"/>
          </w:cols>
          <w:pgMar w:left="320" w:top="1399" w:right="1440"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 David P. Boyle, certify that:</w:t>
      </w:r>
    </w:p>
    <w:p>
      <w:pPr>
        <w:spacing w:after="0" w:line="17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Burke &amp; Herbert Financial Services Corp.;</w:t>
      </w:r>
    </w:p>
    <w:p>
      <w:pPr>
        <w:spacing w:after="0" w:line="188" w:lineRule="exact"/>
        <w:rPr>
          <w:rFonts w:ascii="Arial" w:cs="Arial" w:eastAsia="Arial" w:hAnsi="Arial"/>
          <w:sz w:val="20"/>
          <w:szCs w:val="20"/>
          <w:color w:val="auto"/>
        </w:rPr>
      </w:pPr>
    </w:p>
    <w:p>
      <w:pPr>
        <w:jc w:val="both"/>
        <w:ind w:left="340" w:hanging="332"/>
        <w:spacing w:after="0" w:line="223"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20"/>
          <w:szCs w:val="20"/>
          <w:color w:val="auto"/>
        </w:rPr>
      </w:pPr>
    </w:p>
    <w:p>
      <w:pPr>
        <w:ind w:left="340" w:hanging="332"/>
        <w:spacing w:after="0" w:line="26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340" w:hanging="332"/>
        <w:spacing w:after="0" w:line="236"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20"/>
          <w:szCs w:val="20"/>
          <w:color w:val="auto"/>
        </w:rPr>
      </w:pPr>
    </w:p>
    <w:p>
      <w:pPr>
        <w:jc w:val="both"/>
        <w:ind w:left="980" w:hanging="324"/>
        <w:spacing w:after="0" w:line="239" w:lineRule="auto"/>
        <w:tabs>
          <w:tab w:leader="none" w:pos="980" w:val="left"/>
        </w:tabs>
        <w:numPr>
          <w:ilvl w:val="2"/>
          <w:numId w:val="2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9"/>
          <w:szCs w:val="19"/>
          <w:color w:val="auto"/>
        </w:rPr>
      </w:pPr>
    </w:p>
    <w:p>
      <w:pPr>
        <w:ind w:left="980" w:hanging="324"/>
        <w:spacing w:after="0"/>
        <w:tabs>
          <w:tab w:leader="none" w:pos="980" w:val="left"/>
        </w:tabs>
        <w:numPr>
          <w:ilvl w:val="2"/>
          <w:numId w:val="28"/>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left="980" w:hanging="324"/>
        <w:spacing w:after="0" w:line="223" w:lineRule="auto"/>
        <w:tabs>
          <w:tab w:leader="none" w:pos="950" w:val="left"/>
        </w:tabs>
        <w:numPr>
          <w:ilvl w:val="2"/>
          <w:numId w:val="2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20"/>
          <w:szCs w:val="20"/>
          <w:color w:val="auto"/>
        </w:rPr>
      </w:pPr>
    </w:p>
    <w:p>
      <w:pPr>
        <w:jc w:val="both"/>
        <w:ind w:left="980" w:hanging="324"/>
        <w:spacing w:after="0" w:line="235" w:lineRule="auto"/>
        <w:tabs>
          <w:tab w:leader="none" w:pos="1245" w:val="left"/>
        </w:tabs>
        <w:numPr>
          <w:ilvl w:val="2"/>
          <w:numId w:val="2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9"/>
          <w:szCs w:val="19"/>
          <w:color w:val="auto"/>
        </w:rPr>
      </w:pPr>
    </w:p>
    <w:p>
      <w:pPr>
        <w:jc w:val="both"/>
        <w:ind w:left="660" w:hanging="328"/>
        <w:spacing w:after="0" w:line="223" w:lineRule="auto"/>
        <w:tabs>
          <w:tab w:leader="none" w:pos="777"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20"/>
          <w:szCs w:val="20"/>
          <w:color w:val="auto"/>
        </w:rPr>
      </w:pPr>
    </w:p>
    <w:p>
      <w:pPr>
        <w:jc w:val="both"/>
        <w:ind w:left="980" w:hanging="324"/>
        <w:spacing w:after="0" w:line="223" w:lineRule="auto"/>
        <w:tabs>
          <w:tab w:leader="none" w:pos="925" w:val="left"/>
        </w:tabs>
        <w:numPr>
          <w:ilvl w:val="2"/>
          <w:numId w:val="2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20"/>
          <w:szCs w:val="20"/>
          <w:color w:val="auto"/>
        </w:rPr>
      </w:pPr>
    </w:p>
    <w:p>
      <w:pPr>
        <w:ind w:left="980" w:hanging="324"/>
        <w:spacing w:after="0" w:line="236" w:lineRule="auto"/>
        <w:tabs>
          <w:tab w:leader="none" w:pos="936" w:val="left"/>
        </w:tabs>
        <w:numPr>
          <w:ilvl w:val="2"/>
          <w:numId w:val="2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Date: May 31, 2023</w:t>
      </w:r>
    </w:p>
    <w:p>
      <w:pPr>
        <w:ind w:left="4540"/>
        <w:spacing w:after="0" w:line="197" w:lineRule="auto"/>
        <w:rPr>
          <w:sz w:val="20"/>
          <w:szCs w:val="20"/>
          <w:color w:val="auto"/>
        </w:rPr>
      </w:pPr>
      <w:r>
        <w:rPr>
          <w:rFonts w:ascii="Arial" w:cs="Arial" w:eastAsia="Arial" w:hAnsi="Arial"/>
          <w:sz w:val="20"/>
          <w:szCs w:val="20"/>
          <w:color w:val="auto"/>
        </w:rPr>
        <w:t>/s/ David P. Boyle</w:t>
      </w:r>
    </w:p>
    <w:p>
      <w:pPr>
        <w:ind w:left="4540"/>
        <w:spacing w:after="0" w:line="211" w:lineRule="auto"/>
        <w:rPr>
          <w:sz w:val="20"/>
          <w:szCs w:val="20"/>
          <w:color w:val="auto"/>
        </w:rPr>
      </w:pPr>
      <w:r>
        <w:rPr>
          <w:rFonts w:ascii="Arial" w:cs="Arial" w:eastAsia="Arial" w:hAnsi="Arial"/>
          <w:sz w:val="20"/>
          <w:szCs w:val="20"/>
          <w:color w:val="auto"/>
        </w:rPr>
        <w:t>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0331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157842105v1</w:t>
      </w:r>
    </w:p>
    <w:p>
      <w:pPr>
        <w:sectPr>
          <w:pgSz w:w="11900" w:h="16838" w:orient="portrait"/>
          <w:cols w:equalWidth="0" w:num="1">
            <w:col w:w="11240"/>
          </w:cols>
          <w:pgMar w:left="320" w:top="994" w:right="339" w:bottom="1440" w:gutter="0" w:footer="0" w:header="0"/>
        </w:sectPr>
      </w:pPr>
    </w:p>
    <w:bookmarkStart w:id="73" w:name="page74"/>
    <w:bookmarkEnd w:id="73"/>
    <w:p>
      <w:pPr>
        <w:spacing w:after="0"/>
        <w:rPr>
          <w:sz w:val="20"/>
          <w:szCs w:val="20"/>
          <w:color w:val="auto"/>
        </w:rPr>
      </w:pPr>
      <w:r>
        <w:rPr>
          <w:rFonts w:ascii="Arial" w:cs="Arial" w:eastAsia="Arial" w:hAnsi="Arial"/>
          <w:sz w:val="20"/>
          <w:szCs w:val="20"/>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 Roy E. Halyama, certify that:</w:t>
      </w:r>
    </w:p>
    <w:p>
      <w:pPr>
        <w:spacing w:after="0" w:line="17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Burke &amp; Herbert Financial Services Corp.;</w:t>
      </w:r>
    </w:p>
    <w:p>
      <w:pPr>
        <w:spacing w:after="0" w:line="188" w:lineRule="exact"/>
        <w:rPr>
          <w:rFonts w:ascii="Arial" w:cs="Arial" w:eastAsia="Arial" w:hAnsi="Arial"/>
          <w:sz w:val="20"/>
          <w:szCs w:val="20"/>
          <w:color w:val="auto"/>
        </w:rPr>
      </w:pPr>
    </w:p>
    <w:p>
      <w:pPr>
        <w:jc w:val="both"/>
        <w:ind w:left="340" w:hanging="332"/>
        <w:spacing w:after="0" w:line="223"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20"/>
          <w:szCs w:val="20"/>
          <w:color w:val="auto"/>
        </w:rPr>
      </w:pPr>
    </w:p>
    <w:p>
      <w:pPr>
        <w:ind w:left="340" w:hanging="332"/>
        <w:spacing w:after="0" w:line="26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340" w:hanging="332"/>
        <w:spacing w:after="0" w:line="236"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20"/>
          <w:szCs w:val="20"/>
          <w:color w:val="auto"/>
        </w:rPr>
      </w:pPr>
    </w:p>
    <w:p>
      <w:pPr>
        <w:jc w:val="both"/>
        <w:ind w:left="980" w:hanging="324"/>
        <w:spacing w:after="0" w:line="239" w:lineRule="auto"/>
        <w:tabs>
          <w:tab w:leader="none" w:pos="980" w:val="left"/>
        </w:tabs>
        <w:numPr>
          <w:ilvl w:val="2"/>
          <w:numId w:val="2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Arial" w:cs="Arial" w:eastAsia="Arial" w:hAnsi="Arial"/>
          <w:sz w:val="19"/>
          <w:szCs w:val="19"/>
          <w:color w:val="auto"/>
        </w:rPr>
      </w:pPr>
    </w:p>
    <w:p>
      <w:pPr>
        <w:ind w:left="980" w:hanging="324"/>
        <w:spacing w:after="0"/>
        <w:tabs>
          <w:tab w:leader="none" w:pos="980" w:val="left"/>
        </w:tabs>
        <w:numPr>
          <w:ilvl w:val="2"/>
          <w:numId w:val="29"/>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jc w:val="both"/>
        <w:ind w:left="980" w:hanging="324"/>
        <w:spacing w:after="0" w:line="223" w:lineRule="auto"/>
        <w:tabs>
          <w:tab w:leader="none" w:pos="950" w:val="left"/>
        </w:tabs>
        <w:numPr>
          <w:ilvl w:val="2"/>
          <w:numId w:val="2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20"/>
          <w:szCs w:val="20"/>
          <w:color w:val="auto"/>
        </w:rPr>
      </w:pPr>
    </w:p>
    <w:p>
      <w:pPr>
        <w:jc w:val="both"/>
        <w:ind w:left="980" w:hanging="324"/>
        <w:spacing w:after="0" w:line="235" w:lineRule="auto"/>
        <w:tabs>
          <w:tab w:leader="none" w:pos="1245" w:val="left"/>
        </w:tabs>
        <w:numPr>
          <w:ilvl w:val="2"/>
          <w:numId w:val="2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9"/>
          <w:szCs w:val="19"/>
          <w:color w:val="auto"/>
        </w:rPr>
      </w:pPr>
    </w:p>
    <w:p>
      <w:pPr>
        <w:jc w:val="both"/>
        <w:ind w:left="660" w:hanging="328"/>
        <w:spacing w:after="0" w:line="223" w:lineRule="auto"/>
        <w:tabs>
          <w:tab w:leader="none" w:pos="777"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20"/>
          <w:szCs w:val="20"/>
          <w:color w:val="auto"/>
        </w:rPr>
      </w:pPr>
    </w:p>
    <w:p>
      <w:pPr>
        <w:jc w:val="both"/>
        <w:ind w:left="980" w:hanging="324"/>
        <w:spacing w:after="0" w:line="223" w:lineRule="auto"/>
        <w:tabs>
          <w:tab w:leader="none" w:pos="925" w:val="left"/>
        </w:tabs>
        <w:numPr>
          <w:ilvl w:val="2"/>
          <w:numId w:val="2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20"/>
          <w:szCs w:val="20"/>
          <w:color w:val="auto"/>
        </w:rPr>
      </w:pPr>
    </w:p>
    <w:p>
      <w:pPr>
        <w:ind w:left="980" w:hanging="324"/>
        <w:spacing w:after="0" w:line="236" w:lineRule="auto"/>
        <w:tabs>
          <w:tab w:leader="none" w:pos="936" w:val="left"/>
        </w:tabs>
        <w:numPr>
          <w:ilvl w:val="2"/>
          <w:numId w:val="2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Date: May 31, 2023</w:t>
      </w:r>
    </w:p>
    <w:p>
      <w:pPr>
        <w:ind w:left="4540"/>
        <w:spacing w:after="0" w:line="197" w:lineRule="auto"/>
        <w:rPr>
          <w:sz w:val="20"/>
          <w:szCs w:val="20"/>
          <w:color w:val="auto"/>
        </w:rPr>
      </w:pPr>
      <w:r>
        <w:rPr>
          <w:rFonts w:ascii="Arial" w:cs="Arial" w:eastAsia="Arial" w:hAnsi="Arial"/>
          <w:sz w:val="20"/>
          <w:szCs w:val="20"/>
          <w:color w:val="auto"/>
        </w:rPr>
        <w:t>/s/ Roy E. Halyama</w:t>
      </w:r>
    </w:p>
    <w:p>
      <w:pPr>
        <w:ind w:left="4540"/>
        <w:spacing w:after="0" w:line="211" w:lineRule="auto"/>
        <w:rPr>
          <w:sz w:val="20"/>
          <w:szCs w:val="20"/>
          <w:color w:val="auto"/>
        </w:rPr>
      </w:pPr>
      <w:r>
        <w:rPr>
          <w:rFonts w:ascii="Arial" w:cs="Arial" w:eastAsia="Arial" w:hAnsi="Arial"/>
          <w:sz w:val="20"/>
          <w:szCs w:val="20"/>
          <w:color w:val="auto"/>
        </w:rPr>
        <w:t>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-127000</wp:posOffset>
            </wp:positionV>
            <wp:extent cx="11099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Executive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157842164v1</w:t>
      </w:r>
    </w:p>
    <w:p>
      <w:pPr>
        <w:sectPr>
          <w:pgSz w:w="11900" w:h="16838" w:orient="portrait"/>
          <w:cols w:equalWidth="0" w:num="1">
            <w:col w:w="11240"/>
          </w:cols>
          <w:pgMar w:left="320" w:top="994"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b w:val="1"/>
          <w:bCs w:val="1"/>
          <w:color w:val="auto"/>
        </w:rPr>
        <w:t>CERTIFICATION OF PRINCIPAL EXECUTIVE OFFICER AND PRINCIPAL FINANCIAL OFFICER</w:t>
      </w:r>
    </w:p>
    <w:p>
      <w:pPr>
        <w:jc w:val="center"/>
        <w:spacing w:after="0"/>
        <w:rPr>
          <w:sz w:val="20"/>
          <w:szCs w:val="20"/>
          <w:color w:val="auto"/>
        </w:rPr>
      </w:pPr>
      <w:r>
        <w:rPr>
          <w:rFonts w:ascii="Arial" w:cs="Arial" w:eastAsia="Arial" w:hAnsi="Arial"/>
          <w:sz w:val="16"/>
          <w:szCs w:val="16"/>
          <w:b w:val="1"/>
          <w:bCs w:val="1"/>
          <w:color w:val="auto"/>
        </w:rPr>
        <w:t>PURSUANT TO SECTION 906</w:t>
      </w:r>
    </w:p>
    <w:p>
      <w:pPr>
        <w:spacing w:after="0" w:line="180"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In connection with the Quarterly Report on Form 10-Q of Burke &amp; Herbert Financial Services Corp. (the “Company”) for the period ended March 31, 2023, as filed with the Securities and Exchange Commission on the date hereof (the “Report”), the undersigned, as the Principal Executive Officer of the Company and the Principal Financial Officer of the Company, respectively, certify, pursuant to and for purposes of 18 U.S.C. Section 1350, as adopted pursuant to Section 906 of the Sarbanes-Oxley Act of 2002, that to their knowledge:</w:t>
      </w:r>
    </w:p>
    <w:p>
      <w:pPr>
        <w:spacing w:after="0" w:line="120" w:lineRule="exact"/>
        <w:rPr>
          <w:sz w:val="20"/>
          <w:szCs w:val="20"/>
          <w:color w:val="auto"/>
        </w:rPr>
      </w:pPr>
    </w:p>
    <w:p>
      <w:pPr>
        <w:ind w:left="1640" w:hanging="813"/>
        <w:spacing w:after="0"/>
        <w:tabs>
          <w:tab w:leader="none" w:pos="1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 w:lineRule="exact"/>
        <w:rPr>
          <w:rFonts w:ascii="Arial" w:cs="Arial" w:eastAsia="Arial" w:hAnsi="Arial"/>
          <w:sz w:val="16"/>
          <w:szCs w:val="16"/>
          <w:color w:val="auto"/>
        </w:rPr>
      </w:pPr>
    </w:p>
    <w:p>
      <w:pPr>
        <w:ind w:left="1640" w:hanging="813"/>
        <w:spacing w:after="0"/>
        <w:tabs>
          <w:tab w:leader="none" w:pos="16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May 31, 2023</w:t>
      </w:r>
      <w:r>
        <w:rPr>
          <w:sz w:val="20"/>
          <w:szCs w:val="20"/>
          <w:color w:val="auto"/>
        </w:rPr>
        <w:tab/>
      </w:r>
      <w:r>
        <w:rPr>
          <w:rFonts w:ascii="Arial" w:cs="Arial" w:eastAsia="Arial" w:hAnsi="Arial"/>
          <w:sz w:val="14"/>
          <w:szCs w:val="14"/>
          <w:color w:val="auto"/>
        </w:rPr>
        <w:t>/s/ David P.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17780</wp:posOffset>
            </wp:positionV>
            <wp:extent cx="35579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David P. Boyle</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President &amp; Chief Executive Officer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May 31, 2023</w:t>
      </w:r>
      <w:r>
        <w:rPr>
          <w:sz w:val="20"/>
          <w:szCs w:val="20"/>
          <w:color w:val="auto"/>
        </w:rPr>
        <w:tab/>
      </w:r>
      <w:r>
        <w:rPr>
          <w:rFonts w:ascii="Arial" w:cs="Arial" w:eastAsia="Arial" w:hAnsi="Arial"/>
          <w:sz w:val="14"/>
          <w:szCs w:val="14"/>
          <w:color w:val="auto"/>
        </w:rPr>
        <w:t>/s/ Roy E. Halyama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17780</wp:posOffset>
            </wp:positionV>
            <wp:extent cx="35579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57905"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Roy E. Halyama</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Executive Vice President &amp; Chief Financial Officer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157842178v1</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endash "/>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lvl w:ilvl="1">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3"/>
    </w:lvl>
  </w:abstractNum>
  <w:abstractNum w:abstractNumId="18">
    <w:nsid w:val="8EDBDAB"/>
    <w:multiLevelType w:val="hybridMultilevel"/>
    <w:lvl w:ilvl="0">
      <w:lvlJc w:val="left"/>
      <w:lvlText w:val="%1."/>
      <w:numFmt w:val="decimal"/>
      <w:start w:val="1"/>
    </w:lvl>
    <w:lvl w:ilvl="1">
      <w:lvlJc w:val="left"/>
      <w:lvlText w:val="(%2)"/>
      <w:numFmt w:val="lowerLetter"/>
      <w:start w:val="1"/>
    </w:lvl>
  </w:abstractNum>
  <w:abstractNum w:abstractNumId="19">
    <w:nsid w:val="79838CB2"/>
    <w:multiLevelType w:val="hybridMultilevel"/>
    <w:lvl w:ilvl="0">
      <w:lvlJc w:val="left"/>
      <w:lvlText w:val="%1."/>
      <w:numFmt w:val="decimal"/>
      <w:start w:val="15"/>
    </w:lvl>
  </w:abstractNum>
  <w:abstractNum w:abstractNumId="20">
    <w:nsid w:val="4353D0CD"/>
    <w:multiLevelType w:val="hybridMultilevel"/>
    <w:lvl w:ilvl="0">
      <w:lvlJc w:val="left"/>
      <w:lvlText w:val="&amp;"/>
      <w:numFmt w:val="bullet"/>
      <w:start w:val="1"/>
    </w:lvl>
  </w:abstractNum>
  <w:abstractNum w:abstractNumId="21">
    <w:nsid w:val="B03E0C6"/>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lvl w:ilvl="3">
      <w:lvlJc w:val="left"/>
      <w:lvlText w:val="%4"/>
      <w:numFmt w:val="upperLetter"/>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3"/>
    </w:lvl>
  </w:abstractNum>
  <w:abstractNum w:abstractNumId="25">
    <w:nsid w:val="2CA88611"/>
    <w:multiLevelType w:val="hybridMultilevel"/>
    <w:lvl w:ilvl="0">
      <w:lvlJc w:val="left"/>
      <w:lvlText w:val="%1."/>
      <w:numFmt w:val="decimal"/>
      <w:start w:val="5"/>
    </w:lvl>
  </w:abstractNum>
  <w:abstractNum w:abstractNumId="26">
    <w:nsid w:val="836C40E"/>
    <w:multiLevelType w:val="hybridMultilevel"/>
    <w:lvl w:ilvl="0">
      <w:lvlJc w:val="left"/>
      <w:lvlText w:val="%1."/>
      <w:numFmt w:val="decimal"/>
      <w:start w:val="13"/>
    </w:lvl>
  </w:abstractNum>
  <w:abstractNum w:abstractNumId="27">
    <w:nsid w:val="2901D8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8">
    <w:nsid w:val="3A95F87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2023-05-31T08:27:07Z</dcterms:created>
  <dcterms:modified xsi:type="dcterms:W3CDTF">2023-05-31T08:27:07Z</dcterms:modified>
</cp:coreProperties>
</file>