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ind w:left="580" w:right="2420" w:hanging="554"/>
        <w:spacing w:after="0" w:line="389" w:lineRule="auto"/>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58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9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Pr>
          <w:p>
            <w:pPr>
              <w:jc w:val="right"/>
              <w:ind w:right="1808"/>
              <w:spacing w:after="0"/>
              <w:rPr>
                <w:sz w:val="20"/>
                <w:szCs w:val="20"/>
                <w:color w:val="auto"/>
              </w:rPr>
            </w:pPr>
            <w:r>
              <w:rPr>
                <w:rFonts w:ascii="Times New Roman" w:cs="Times New Roman" w:eastAsia="Times New Roman" w:hAnsi="Times New Roman"/>
                <w:sz w:val="14"/>
                <w:szCs w:val="14"/>
                <w:b w:val="1"/>
                <w:bCs w:val="1"/>
                <w:color w:val="auto"/>
              </w:rPr>
              <w:t>92-0289417</w:t>
            </w:r>
          </w:p>
        </w:tc>
      </w:tr>
      <w:tr>
        <w:trPr>
          <w:trHeight w:val="203"/>
        </w:trPr>
        <w:tc>
          <w:tcPr>
            <w:tcW w:w="39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ind w:right="42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39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100 S. Fairfax Street, Alexandria, Virginia</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jc w:val="right"/>
              <w:ind w:right="1988"/>
              <w:spacing w:after="0"/>
              <w:rPr>
                <w:sz w:val="20"/>
                <w:szCs w:val="20"/>
                <w:color w:val="auto"/>
              </w:rPr>
            </w:pPr>
            <w:r>
              <w:rPr>
                <w:rFonts w:ascii="Times New Roman" w:cs="Times New Roman" w:eastAsia="Times New Roman" w:hAnsi="Times New Roman"/>
                <w:sz w:val="14"/>
                <w:szCs w:val="14"/>
                <w:b w:val="1"/>
                <w:bCs w:val="1"/>
                <w:color w:val="auto"/>
              </w:rPr>
              <w:t>22314</w:t>
            </w:r>
          </w:p>
        </w:tc>
      </w:tr>
      <w:tr>
        <w:trPr>
          <w:trHeight w:val="203"/>
        </w:trPr>
        <w:tc>
          <w:tcPr>
            <w:tcW w:w="39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ind w:right="448"/>
              <w:spacing w:after="0"/>
              <w:rPr>
                <w:sz w:val="20"/>
                <w:szCs w:val="20"/>
                <w:color w:val="auto"/>
              </w:rPr>
            </w:pPr>
            <w:r>
              <w:rPr>
                <w:rFonts w:ascii="Times New Roman" w:cs="Times New Roman" w:eastAsia="Times New Roman" w:hAnsi="Times New Roman"/>
                <w:sz w:val="14"/>
                <w:szCs w:val="14"/>
                <w:color w:val="auto"/>
              </w:rPr>
              <w:t>(Zip Code)</w:t>
            </w:r>
          </w:p>
        </w:tc>
      </w:tr>
      <w:tr>
        <w:trPr>
          <w:trHeight w:val="297"/>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703-666-3555</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60" w:type="dxa"/>
            <w:vAlign w:val="bottom"/>
          </w:tcPr>
          <w:p>
            <w:pPr>
              <w:spacing w:after="0"/>
              <w:rPr>
                <w:sz w:val="17"/>
                <w:szCs w:val="17"/>
                <w:color w:val="auto"/>
              </w:rPr>
            </w:pPr>
          </w:p>
        </w:tc>
      </w:tr>
      <w:tr>
        <w:trPr>
          <w:trHeight w:val="445"/>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78"/>
        </w:trPr>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$0.50 per share</w:t>
            </w:r>
          </w:p>
        </w:tc>
        <w:tc>
          <w:tcPr>
            <w:tcW w:w="8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BHRB</w:t>
            </w:r>
          </w:p>
        </w:tc>
        <w:tc>
          <w:tcPr>
            <w:tcW w:w="10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33" w:lineRule="exact"/>
        <w:rPr>
          <w:sz w:val="24"/>
          <w:szCs w:val="24"/>
          <w:color w:val="auto"/>
        </w:r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460"/>
              <w:spacing w:after="0"/>
              <w:rPr>
                <w:sz w:val="20"/>
                <w:szCs w:val="20"/>
                <w:color w:val="auto"/>
              </w:rPr>
            </w:pPr>
            <w:r>
              <w:rPr>
                <w:rFonts w:ascii="Wingdings" w:cs="Wingdings" w:eastAsia="Wingdings" w:hAnsi="Wingdings"/>
                <w:sz w:val="14"/>
                <w:szCs w:val="14"/>
                <w:b w:val="1"/>
                <w:bCs w:val="1"/>
                <w:color w:val="auto"/>
              </w:rPr>
              <w:t>o</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rPr>
                <w:sz w:val="20"/>
                <w:szCs w:val="20"/>
                <w:color w:val="auto"/>
              </w:rPr>
            </w:pPr>
            <w:r>
              <w:rPr>
                <w:rFonts w:ascii="Wingdings" w:cs="Wingdings" w:eastAsia="Wingdings" w:hAnsi="Wingdings"/>
                <w:sz w:val="14"/>
                <w:szCs w:val="14"/>
                <w:b w:val="1"/>
                <w:bCs w:val="1"/>
                <w:color w:val="auto"/>
                <w:w w:val="79"/>
              </w:rPr>
              <w:t>o</w:t>
            </w: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rPr>
                <w:sz w:val="20"/>
                <w:szCs w:val="20"/>
                <w:color w:val="auto"/>
              </w:rPr>
            </w:pPr>
            <w:r>
              <w:rPr>
                <w:rFonts w:ascii="Wingdings" w:cs="Wingdings" w:eastAsia="Wingdings" w:hAnsi="Wingdings"/>
                <w:sz w:val="14"/>
                <w:szCs w:val="14"/>
                <w:b w:val="1"/>
                <w:bCs w:val="1"/>
                <w:color w:val="auto"/>
                <w:w w:val="79"/>
              </w:rPr>
              <w:t>o</w:t>
            </w:r>
          </w:p>
        </w:tc>
      </w:tr>
      <w:tr>
        <w:trPr>
          <w:trHeight w:val="242"/>
        </w:trPr>
        <w:tc>
          <w:tcPr>
            <w:tcW w:w="1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2"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11, 2024, there were 14,967,726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32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220" w:type="dxa"/>
            <w:vAlign w:val="bottom"/>
            <w:gridSpan w:val="6"/>
            <w:shd w:val="clear" w:color="auto" w:fill="CCEEFF"/>
          </w:tcPr>
          <w:p>
            <w:pPr>
              <w:spacing w:after="0"/>
              <w:rPr>
                <w:sz w:val="15"/>
                <w:szCs w:val="15"/>
                <w:color w:val="auto"/>
              </w:rPr>
            </w:pPr>
          </w:p>
        </w:tc>
        <w:tc>
          <w:tcPr>
            <w:tcW w:w="420" w:type="dxa"/>
            <w:vAlign w:val="bottom"/>
            <w:gridSpan w:val="4"/>
            <w:shd w:val="clear" w:color="auto" w:fill="CCEEFF"/>
          </w:tcPr>
          <w:p>
            <w:pPr>
              <w:jc w:val="center"/>
              <w:ind w:left="172"/>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420" w:type="dxa"/>
            <w:vAlign w:val="bottom"/>
            <w:gridSpan w:val="4"/>
          </w:tcPr>
          <w:p>
            <w:pPr>
              <w:jc w:val="center"/>
              <w:ind w:left="172"/>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0" w:type="dxa"/>
            <w:vAlign w:val="bottom"/>
            <w:tcBorders>
              <w:top w:val="single" w:sz="8" w:color="0000FF"/>
            </w:tcBorders>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26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620" w:type="dxa"/>
            <w:vAlign w:val="bottom"/>
            <w:tcBorders>
              <w:bottom w:val="single" w:sz="8" w:color="CCEEFF"/>
            </w:tcBorders>
            <w:gridSpan w:val="10"/>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9680" w:type="dxa"/>
            <w:vAlign w:val="bottom"/>
            <w:gridSpan w:val="1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2340" w:type="dxa"/>
            <w:vAlign w:val="bottom"/>
            <w:tcBorders>
              <w:top w:val="single" w:sz="8" w:color="0000FF"/>
            </w:tcBorders>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34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tcBorders>
              <w:bottom w:val="single" w:sz="8" w:color="0000FF"/>
            </w:tcBorders>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tcBorders>
              <w:bottom w:val="single" w:sz="8" w:color="CCEEFF"/>
            </w:tcBorders>
            <w:gridSpan w:val="8"/>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968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81</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&amp; Herbert Financial Services Corp.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70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 as of September 30, 2024 (Unaudited), and December 31, 2023</w:t>
            </w:r>
          </w:p>
        </w:tc>
        <w:tc>
          <w:tcPr>
            <w:tcW w:w="3700" w:type="dxa"/>
            <w:vAlign w:val="bottom"/>
            <w:gridSpan w:val="5"/>
            <w:shd w:val="clear" w:color="auto" w:fill="CCEEFF"/>
          </w:tcPr>
          <w:p>
            <w:pPr>
              <w:spacing w:after="0"/>
              <w:rPr>
                <w:sz w:val="15"/>
                <w:szCs w:val="15"/>
                <w:color w:val="auto"/>
              </w:rPr>
            </w:pPr>
          </w:p>
        </w:tc>
        <w:tc>
          <w:tcPr>
            <w:tcW w:w="82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and Nine Months Ended September 30, 2024, and September 30, 2023 (Unaudited)</w:t>
            </w: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Three and Nine Months Ended September 30, 2024, and September 30, 2023</w:t>
            </w:r>
          </w:p>
        </w:tc>
        <w:tc>
          <w:tcPr>
            <w:tcW w:w="8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0000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9480" w:type="dxa"/>
            <w:vAlign w:val="bottom"/>
            <w:tcBorders>
              <w:top w:val="single" w:sz="8" w:color="0000FF"/>
            </w:tcBorders>
            <w:gridSpan w:val="7"/>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400" w:type="dxa"/>
            <w:vAlign w:val="bottom"/>
            <w:gridSpan w:val="9"/>
          </w:tcPr>
          <w:p>
            <w:pPr>
              <w:spacing w:after="0" w:line="183"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Three and Nine Months Ended September 30, 2024, and September 30,</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2023 (Unaudited)</w:t>
            </w:r>
          </w:p>
        </w:tc>
        <w:tc>
          <w:tcPr>
            <w:tcW w:w="3060" w:type="dxa"/>
            <w:vAlign w:val="bottom"/>
            <w:tcBorders>
              <w:top w:val="single" w:sz="8" w:color="0000FF"/>
            </w:tcBorders>
          </w:tcPr>
          <w:p>
            <w:pPr>
              <w:spacing w:after="0"/>
              <w:rPr>
                <w:sz w:val="13"/>
                <w:szCs w:val="13"/>
                <w:color w:val="auto"/>
              </w:rPr>
            </w:pPr>
          </w:p>
        </w:tc>
        <w:tc>
          <w:tcPr>
            <w:tcW w:w="4800" w:type="dxa"/>
            <w:vAlign w:val="bottom"/>
            <w:tcBorders>
              <w:top w:val="single" w:sz="8" w:color="0000FF"/>
            </w:tcBorders>
            <w:gridSpan w:val="2"/>
          </w:tcPr>
          <w:p>
            <w:pPr>
              <w:spacing w:after="0"/>
              <w:rPr>
                <w:sz w:val="13"/>
                <w:szCs w:val="13"/>
                <w:color w:val="auto"/>
              </w:rPr>
            </w:pPr>
          </w:p>
        </w:tc>
        <w:tc>
          <w:tcPr>
            <w:tcW w:w="960" w:type="dxa"/>
            <w:vAlign w:val="bottom"/>
            <w:tcBorders>
              <w:top w:val="single" w:sz="8" w:color="0000FF"/>
            </w:tcBorders>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14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2024, and September 30, 2023 (Unaudited)</w:t>
            </w:r>
          </w:p>
        </w:tc>
        <w:tc>
          <w:tcPr>
            <w:tcW w:w="1260" w:type="dxa"/>
            <w:vAlign w:val="bottom"/>
            <w:gridSpan w:val="4"/>
            <w:shd w:val="clear" w:color="auto" w:fill="CCEEFF"/>
          </w:tcPr>
          <w:p>
            <w:pPr>
              <w:spacing w:after="0"/>
              <w:rPr>
                <w:sz w:val="17"/>
                <w:szCs w:val="17"/>
                <w:color w:val="auto"/>
              </w:rPr>
            </w:pPr>
          </w:p>
        </w:tc>
        <w:tc>
          <w:tcPr>
            <w:tcW w:w="820" w:type="dxa"/>
            <w:vAlign w:val="bottom"/>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the Consolidated Financial Statements (Unaudited)</w:t>
            </w:r>
          </w:p>
        </w:tc>
        <w:tc>
          <w:tcPr>
            <w:tcW w:w="4800" w:type="dxa"/>
            <w:vAlign w:val="bottom"/>
            <w:gridSpan w:val="2"/>
          </w:tcPr>
          <w:p>
            <w:pPr>
              <w:spacing w:after="0"/>
              <w:rPr>
                <w:sz w:val="16"/>
                <w:szCs w:val="16"/>
                <w:color w:val="auto"/>
              </w:rPr>
            </w:pPr>
          </w:p>
        </w:tc>
        <w:tc>
          <w:tcPr>
            <w:tcW w:w="1260" w:type="dxa"/>
            <w:vAlign w:val="bottom"/>
            <w:gridSpan w:val="4"/>
          </w:tcPr>
          <w:p>
            <w:pPr>
              <w:spacing w:after="0"/>
              <w:rPr>
                <w:sz w:val="16"/>
                <w:szCs w:val="16"/>
                <w:color w:val="auto"/>
              </w:rPr>
            </w:pP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340" w:type="dxa"/>
            <w:vAlign w:val="bottom"/>
            <w:tcBorders>
              <w:top w:val="single" w:sz="8" w:color="0000FF"/>
            </w:tcBorders>
            <w:gridSpan w:val="3"/>
          </w:tcPr>
          <w:p>
            <w:pPr>
              <w:spacing w:after="0"/>
              <w:rPr>
                <w:sz w:val="24"/>
                <w:szCs w:val="24"/>
                <w:color w:val="auto"/>
              </w:rPr>
            </w:pPr>
          </w:p>
        </w:tc>
        <w:tc>
          <w:tcPr>
            <w:tcW w:w="23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w:t>
            </w:r>
          </w:p>
        </w:tc>
        <w:tc>
          <w:tcPr>
            <w:tcW w:w="2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6"/>
                <w:szCs w:val="16"/>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19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deposits with banks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291,765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44,498</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1,436,431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1,248,439</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at 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held-for-sale, at fair value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2,087,756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(25,301)</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5,506,220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2,062,455</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94,159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83,544</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7,864,913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3,617,579</w:t>
            </w: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1,392,123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830,320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5,208,702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2,171,561</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6,600,825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3,001,881</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272,000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and other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28,948</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7,126,854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3,302,829</w:t>
            </w:r>
          </w:p>
        </w:tc>
        <w:tc>
          <w:tcPr>
            <w:tcW w:w="0" w:type="dxa"/>
            <w:vAlign w:val="bottom"/>
          </w:tcPr>
          <w:p>
            <w:pPr>
              <w:spacing w:after="0"/>
              <w:rPr>
                <w:sz w:val="1"/>
                <w:szCs w:val="1"/>
                <w:color w:val="auto"/>
              </w:rPr>
            </w:pPr>
          </w:p>
        </w:tc>
      </w:tr>
      <w:tr>
        <w:trPr>
          <w:trHeight w:val="144"/>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(see Note 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8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Preferred stock and related surplus, $1.00 par value per share; 2,000,000 shares authorized; 1,500 shares issued and</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at September 30, 2024; no shares issued and outstanding at December 31, 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$0.50 par value; 40,000,000 shares authorized, 15,534,293 shares issued and 14,963,003 shares outstanding at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September 30, 2024; 20,000,000 shares authorized, 8,000,000 shares issued and 7,428,710 shares outstanding at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additional paid-in capital</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14,495</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427,333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571,290 shares, at cost, at September 30, 2024, and 571,290 shares, at cost, at December 31, 2023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738,059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314,750</w:t>
            </w:r>
          </w:p>
        </w:tc>
        <w:tc>
          <w:tcPr>
            <w:tcW w:w="0" w:type="dxa"/>
            <w:vAlign w:val="bottom"/>
          </w:tcPr>
          <w:p>
            <w:pPr>
              <w:spacing w:after="0"/>
              <w:rPr>
                <w:sz w:val="1"/>
                <w:szCs w:val="1"/>
                <w:color w:val="auto"/>
              </w:rPr>
            </w:pP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7,864,913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3,617,579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loans, including fees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103,682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26,425</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213,400</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74,485</w:t>
            </w:r>
          </w:p>
        </w:tc>
      </w:tr>
      <w:tr>
        <w:trPr>
          <w:trHeight w:val="23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loans, including fees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28,130</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w:t>
            </w:r>
          </w:p>
        </w:tc>
      </w:tr>
      <w:tr>
        <w:trPr>
          <w:trHeight w:val="21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income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w:t>
            </w:r>
          </w:p>
        </w:tc>
      </w:tr>
      <w:tr>
        <w:trPr>
          <w:trHeight w:val="21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253,368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108,716</w:t>
            </w:r>
          </w:p>
        </w:tc>
      </w:tr>
      <w:tr>
        <w:trPr>
          <w:trHeight w:val="19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26,708</w:t>
            </w: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10,495</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98,293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37,261</w:t>
            </w:r>
          </w:p>
        </w:tc>
      </w:tr>
      <w:tr>
        <w:trPr>
          <w:trHeight w:val="20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155,075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71,455</w:t>
            </w:r>
          </w:p>
        </w:tc>
      </w:tr>
      <w:tr>
        <w:trPr>
          <w:trHeight w:val="199"/>
        </w:trPr>
        <w:tc>
          <w:tcPr>
            <w:tcW w:w="5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loss expense - loans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expense (recapture) - off-balance sheet credit exposures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provision for credit losses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credit loss expense</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131,688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70,491</w:t>
            </w:r>
          </w:p>
        </w:tc>
      </w:tr>
      <w:tr>
        <w:trPr>
          <w:trHeight w:val="199"/>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w:t>
            </w: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r>
      <w:tr>
        <w:trPr>
          <w:trHeight w:val="21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w:t>
            </w: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13,128</w:t>
            </w:r>
          </w:p>
        </w:tc>
      </w:tr>
      <w:tr>
        <w:trPr>
          <w:trHeight w:val="199"/>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29,283</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w:t>
            </w: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w:t>
            </w:r>
          </w:p>
        </w:tc>
      </w:tr>
      <w:tr>
        <w:trPr>
          <w:trHeight w:val="21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46,216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19,042</w:t>
            </w: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136,423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64,136</w:t>
            </w:r>
          </w:p>
        </w:tc>
      </w:tr>
      <w:tr>
        <w:trPr>
          <w:trHeight w:val="199"/>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19,483</w:t>
            </w:r>
          </w:p>
        </w:tc>
      </w:tr>
      <w:tr>
        <w:trPr>
          <w:trHeight w:val="21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w:t>
            </w:r>
          </w:p>
        </w:tc>
      </w:tr>
      <w:tr>
        <w:trPr>
          <w:trHeight w:val="253"/>
        </w:trPr>
        <w:tc>
          <w:tcPr>
            <w:tcW w:w="5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17,614</w:t>
            </w:r>
          </w:p>
        </w:tc>
      </w:tr>
      <w:tr>
        <w:trPr>
          <w:trHeight w:val="21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applicable to common shares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27,397</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15,465</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17,614</w:t>
            </w:r>
          </w:p>
        </w:tc>
      </w:tr>
      <w:tr>
        <w:trPr>
          <w:trHeight w:val="199"/>
        </w:trPr>
        <w:tc>
          <w:tcPr>
            <w:tcW w:w="5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27,622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gains (losses) on securities: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gain (loss) arising during period, net of tax of ($7,610) and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$5,392 for the three months ended September 30, 2024, and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September 30, 2023, respectively, net of tax of ($7,714) and $2,212 for</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the nine months ended September 30, 2024, and September 30, 2023,</w:t>
            </w:r>
          </w:p>
        </w:tc>
        <w:tc>
          <w:tcPr>
            <w:tcW w:w="8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28,628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(20,285)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loss (gain) on securities, net of tax of $0</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and $0 for the three months ended September 30, 2024, and</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September 30, 2023, respectively, net of tax of $129 and ($23) for the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nine months ended September 30, 2024, and September 30, 2023,</w:t>
            </w:r>
          </w:p>
        </w:tc>
        <w:tc>
          <w:tcPr>
            <w:tcW w:w="8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 for loss (gain) on fair value hedge, net of tax of</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$9 and $9 for the three months ended September 30, 2024, and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September 30, 2023, respectively, net of tax of $25 and ($224) for the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nine months ended September 30, 2024, and September 30, 2023,</w:t>
            </w:r>
          </w:p>
        </w:tc>
        <w:tc>
          <w:tcPr>
            <w:tcW w:w="8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auto"/>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 (loss) on cash flow hedge:</w:t>
            </w:r>
          </w:p>
        </w:tc>
        <w:tc>
          <w:tcPr>
            <w:tcW w:w="2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holding gain (loss) on cash flow hedge, net of tax of $816 and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$10 for the three months ended September 30, 2024, and September 30,</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2023, respectively, net of tax of ($128) and $71 for the nine months</w:t>
            </w:r>
          </w:p>
        </w:tc>
        <w:tc>
          <w:tcPr>
            <w:tcW w:w="8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ended September 30, 2024, and September 30, 2023, respectively</w:t>
            </w:r>
          </w:p>
        </w:tc>
        <w:tc>
          <w:tcPr>
            <w:tcW w:w="8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losses (gains) included in net income, net of</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tax $227 and ($99) for the three months ended September 30, 2024, and</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September 30, 2023, respectively, net of tax of $315 and ($264) for the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gridSpan w:val="3"/>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nine months ended September 30, 2024, and September 30, 2023,</w:t>
            </w:r>
          </w:p>
        </w:tc>
        <w:tc>
          <w:tcPr>
            <w:tcW w:w="8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24,672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(19,982)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52,294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0"/>
                <w:szCs w:val="10"/>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Surplus</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14,932,169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7,752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693,126</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27,622</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24,672</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(7,921)</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9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14,963,003</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7,767</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400,377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422,844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(75,758)</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738,059</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426,625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(126,177)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290,072</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(19,982)</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426,744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(146,159)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270,819</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2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9"/>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60" w:type="dxa"/>
            <w:vAlign w:val="bottom"/>
          </w:tcPr>
          <w:p>
            <w:pPr>
              <w:spacing w:after="0"/>
              <w:rPr>
                <w:sz w:val="10"/>
                <w:szCs w:val="10"/>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and Surplus</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5"/>
                <w:szCs w:val="15"/>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2"/>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427,333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314,750</w:t>
            </w:r>
          </w:p>
        </w:tc>
        <w:tc>
          <w:tcPr>
            <w:tcW w:w="0" w:type="dxa"/>
            <w:vAlign w:val="bottom"/>
          </w:tcPr>
          <w:p>
            <w:pPr>
              <w:spacing w:after="0"/>
              <w:rPr>
                <w:sz w:val="1"/>
                <w:szCs w:val="1"/>
                <w:color w:val="auto"/>
              </w:rPr>
            </w:pPr>
          </w:p>
        </w:tc>
      </w:tr>
      <w:tr>
        <w:trPr>
          <w:trHeight w:val="139"/>
        </w:trPr>
        <w:tc>
          <w:tcPr>
            <w:tcW w:w="26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Acquisition of Summit Financial Group,</w:t>
            </w:r>
          </w:p>
        </w:tc>
        <w:tc>
          <w:tcPr>
            <w:tcW w:w="100" w:type="dxa"/>
            <w:vAlign w:val="bottom"/>
          </w:tcPr>
          <w:p>
            <w:pPr>
              <w:spacing w:after="0"/>
              <w:rPr>
                <w:sz w:val="12"/>
                <w:szCs w:val="12"/>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10,413</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7,405,772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383,329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397,445</w:t>
            </w:r>
          </w:p>
        </w:tc>
        <w:tc>
          <w:tcPr>
            <w:tcW w:w="0" w:type="dxa"/>
            <w:vAlign w:val="bottom"/>
          </w:tcPr>
          <w:p>
            <w:pPr>
              <w:spacing w:after="0"/>
              <w:rPr>
                <w:sz w:val="1"/>
                <w:szCs w:val="1"/>
                <w:color w:val="auto"/>
              </w:rPr>
            </w:pPr>
          </w:p>
        </w:tc>
      </w:tr>
      <w:tr>
        <w:trPr>
          <w:trHeight w:val="193"/>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0" w:type="dxa"/>
            <w:vAlign w:val="bottom"/>
          </w:tcPr>
          <w:p>
            <w:pPr>
              <w:spacing w:after="0"/>
              <w:rPr>
                <w:sz w:val="1"/>
                <w:szCs w:val="1"/>
                <w:color w:val="auto"/>
              </w:rPr>
            </w:pPr>
          </w:p>
        </w:tc>
      </w:tr>
      <w:tr>
        <w:trPr>
          <w:trHeight w:val="230"/>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27,736</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(19,729)</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96"/>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10,413</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14,963,003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422,844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738,059</w:t>
            </w: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7,425,760</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273,453</w:t>
            </w:r>
          </w:p>
        </w:tc>
        <w:tc>
          <w:tcPr>
            <w:tcW w:w="0" w:type="dxa"/>
            <w:vAlign w:val="bottom"/>
          </w:tcPr>
          <w:p>
            <w:pPr>
              <w:spacing w:after="0"/>
              <w:rPr>
                <w:sz w:val="1"/>
                <w:szCs w:val="1"/>
                <w:color w:val="auto"/>
              </w:rPr>
            </w:pPr>
          </w:p>
        </w:tc>
      </w:tr>
      <w:tr>
        <w:trPr>
          <w:trHeight w:val="139"/>
        </w:trPr>
        <w:tc>
          <w:tcPr>
            <w:tcW w:w="26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Cumulative effect adjustment due to the</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0" w:type="dxa"/>
            <w:vAlign w:val="bottom"/>
          </w:tcPr>
          <w:p>
            <w:pPr>
              <w:spacing w:after="0"/>
              <w:rPr>
                <w:sz w:val="1"/>
                <w:szCs w:val="1"/>
                <w:color w:val="auto"/>
              </w:rPr>
            </w:pPr>
          </w:p>
        </w:tc>
      </w:tr>
      <w:tr>
        <w:trPr>
          <w:trHeight w:val="193"/>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adoption of CECL, net of tax</w:t>
            </w: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17,614</w:t>
            </w:r>
          </w:p>
        </w:tc>
        <w:tc>
          <w:tcPr>
            <w:tcW w:w="0" w:type="dxa"/>
            <w:vAlign w:val="bottom"/>
          </w:tcPr>
          <w:p>
            <w:pPr>
              <w:spacing w:after="0"/>
              <w:rPr>
                <w:sz w:val="1"/>
                <w:szCs w:val="1"/>
                <w:color w:val="auto"/>
              </w:rPr>
            </w:pPr>
          </w:p>
        </w:tc>
      </w:tr>
      <w:tr>
        <w:trPr>
          <w:trHeight w:val="195"/>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(6,664)</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5"/>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(11,809)</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0" w:type="dxa"/>
            <w:vAlign w:val="bottom"/>
          </w:tcPr>
          <w:p>
            <w:pPr>
              <w:spacing w:after="0"/>
              <w:rPr>
                <w:sz w:val="1"/>
                <w:szCs w:val="1"/>
                <w:color w:val="auto"/>
              </w:rPr>
            </w:pPr>
          </w:p>
        </w:tc>
      </w:tr>
      <w:tr>
        <w:trPr>
          <w:trHeight w:val="19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426,744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(146,159)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270,819</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17,614</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on assumed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income related to acquired loans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housing tax credits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Realized (gain) loss on sales of available-for-sale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Realized (gain) on sales of OREO property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from company-owned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tax (benefit)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of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6,922</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Repayment of operating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loans held-for-sale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loans held-for-sale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fair value of loans held-for-sale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Originations of loans held-for-sale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 accrued interest receivable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 accrued interest payable and other liabilities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6,329</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32,335</w:t>
            </w:r>
          </w:p>
        </w:tc>
      </w:tr>
      <w:tr>
        <w:trPr>
          <w:trHeight w:val="257"/>
        </w:trPr>
        <w:tc>
          <w:tcPr>
            <w:tcW w:w="8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available-for-sale,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76,053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securities available-for-sale,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365,990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77,780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securities available-for-sale,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(paid) from merger,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Sales of restricted stock</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restricted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 net of disposals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 of) proceeds from company-owned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 loans made to customers, net</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(183,395)</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provided by (used in) investing activities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202,653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(50,086)</w:t>
            </w:r>
          </w:p>
        </w:tc>
      </w:tr>
      <w:tr>
        <w:trPr>
          <w:trHeight w:val="257"/>
        </w:trPr>
        <w:tc>
          <w:tcPr>
            <w:tcW w:w="8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(decrease) in non-interest-bearing accounts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(decrease) in interest-bearing accounts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172,525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other short-term borrowings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Repayment of finance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dividends paid</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(11,809)</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employee stock purchase program</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Sale of treasury stock</w:t>
            </w:r>
          </w:p>
        </w:tc>
        <w:tc>
          <w:tcPr>
            <w:tcW w:w="5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3"/>
        </w:trPr>
        <w:tc>
          <w:tcPr>
            <w:tcW w:w="8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flows provided by financing activities</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9,320</w:t>
            </w:r>
          </w:p>
        </w:tc>
      </w:tr>
      <w:tr>
        <w:trPr>
          <w:trHeight w:val="189"/>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247,267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(8,431)</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Beginning of period</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50,295</w:t>
            </w:r>
          </w:p>
        </w:tc>
      </w:tr>
      <w:tr>
        <w:trPr>
          <w:trHeight w:val="196"/>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End of period</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291,765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41,864</w:t>
            </w:r>
          </w:p>
        </w:tc>
      </w:tr>
      <w:tr>
        <w:trPr>
          <w:trHeight w:val="257"/>
        </w:trPr>
        <w:tc>
          <w:tcPr>
            <w:tcW w:w="8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payments for:</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to depositors</w:t>
            </w: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on short-term borrowings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on subordinated debt and trust preferred securities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on finance leases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taxes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unrealized gains on available-for-sale securities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(10,422)</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arising from obtaining right-of-use assets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for merger, net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387,032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issued for merger, net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560"/>
        <w:spacing w:after="0" w:line="440" w:lineRule="auto"/>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Nature of operations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Financial Services Corp. (“Burke &amp; Herbert”) was organized as a Virginia corporation on September 14, 2022, to serve as the holding company for Burke &amp; Herbert Bank &amp; Trust Company (“the Bank” and, together with Burke &amp; Herbert, the “Company”). Burke &amp; Herbert commenced operations as a bank holding company on October 1, 2022, following a reorganization transaction in which it became the Bank’s holding company. This transaction was treated as an internal reorganization as all shareholders of the Bank became shareholders of Burke &amp; Herbert. In September 2023, Burke &amp; Herbert elected to be a financial holding company. As a financial holding company, Burke &amp; Herbert is subject to regulation and supervision by the Federal Reserve. Burke &amp; Herbert has no material operations and owns 100% of the Bank. The Bank is a Virginia chartered commercial bank that commenced operations in 1852. The Bank is supervised and regulated by the Federal Deposit Insurance Corporation (the “FDIC”) and the Bureau of Financial Institutions of the Virginia State Corporation Commission (the “Virginia BFI”).</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Summit Financial Group, Inc.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May 3, 2024 (the “Closing Date”), Burke &amp; Herbert completed its previously announced merger with Summit Financial Group, Inc., a West Virginia corporation (“Summit”), pursuant to the Agreement and Plan of Reorganization and accompanying Plan of Merger dated August 24, 2023, between Burke &amp; Herbert and Summit (the “Merger Agreement”). Below is a description of the nature of the event as of the merger Closing Date.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Burke &amp; Herbert, with Burke &amp; Herbert continuing as the surviving corporation (the “Merger”), and (ii) immediately following the Merger, Summit Community Bank, Inc., a West Virginia chartered bank and a wholly-owned subsidiary of Summit (“SCB”), merged with and into the Bank, with the Bank as the surviving bank.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Summit’s 6.0% Fixed Rate Non-Cumulative Perpetual Preferred Stock, Series 2021 (the “Summit Series 2021 Preferred Stock”) issued and outstanding was converted into the right to receive a share of a newly created series of preferred stock, the Burke &amp; Herbert Series 2021 Preferred Stock (the “Burke &amp; Herbert Series 2021 Preferred Stock”). Summit’s results of operations are included from the Closing Date.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75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Burke &amp; Herbert Financial Services Corp. and its wholly 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 policies of the Company conform to GAAP and reflect practices of the banking industry. They do not include all of the information and notes required by GAAP for complete financial statements. As such, these unaudited financial statements should be read in conjunction with the consolidated financial statements and notes thereto as of and for the year ending December 31, 2023, included in the Company’s Annual Report on Form 10-K filed with the SEC on March 22, 2024, and as amended on April 12,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the Bank (as its wholly-owned subsidiary). All significant intercompany accounts and transactions between the Company and the Bank have been eliminated. In preparing financial statements in conformity with GAAP, management is required to make estimates and assumptions that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affect the reported amounts of assets and liabilities as of the date of the balance sheet and reported amounts of revenues and expenses during the reporting period. Actual results could differ from those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which are necessary for a fair presentation of the results of operations in these financial statements, have been made. The results of operations for the three and nine months ended September 30, 2024, are not necessarily indicative of the results to be expected for any other interim period or for the full year. All December 31, 2023, amounts and disclosures included in this quarterly report were derived from the Company’s audited consolidated financial statements. Certain items in the prior period have been reclassified to conform to the current presentation. These reclassifications had no effect on prior year net income or on shareholders’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Credit Deteriorated (PCD) Loans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purchased loans, some of which have experienced more than insignificant credit deterioration since origination. PCD loans are loans on nonaccrual status, are greater than 60 days past due at any time since loan origination or have a risk rating of special mention, substandard, doubtful, or loss. PCD loans are recorded at the amount paid. An allowance for credit losses is determined using the same methodology as other loans held for investment. The initial allowance for credit losses determined on a collective basis is allocated to individual loans. The sum of the loan’s purchase price and allowance for credit losses becomes its initial amortized cost basis. The difference between the initial amortized cost basis and the par value of the loan is a noncredit discount or premium, which is amortized into interest income over the life of the loan. Subsequent changes to the allowance for credit losses are recorded through credit loss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arises from business combinations and is determined as the excess of the fair value of the consideration transferred, plus the fair value of any noncontrolling interests in the acquiree, over the fair value of the net assets acquired and liabilities assumed as of the acquisition date. Goodwill and intangible assets acquired in a business combination and determined to have an indefinite useful life are not amortized, but tested for impairment at least annually or more frequently if events and circumstances exist that indicate that an impairment test should be performed. The Company has selected September 30 as the date to perform the annual impairment test. Intangible assets with finite useful lives are amortized over their estimated useful lives to their estimated residual values. Amortized intangibles must be reviewed for impairment whenever events or changes in circumstances indicate that the carrying amount of the long-lived asset (group) might not be recoverable. An impairment loss related to intangible assets with finite useful lives is recognized if the carrying amount of the intangible asset is not recoverable and its carrying amount exceeds its fair value. After the impairment loss is recognized, the adjusted carrying amount of the intangible asset shall be its new accounting basis. Goodwill is the only intangible asset with an indefinite life on our balance sheet.</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intangible assets consists of core deposit intangible assets arising from whole bank and branch acquisitions and is amortized using an accelerated method over their estimated useful lives of seven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2023, the Financial Accounting Standards Board (“FASB”) issued Accounting Standards Updated (“ASU”) 2023-02, </w:t>
      </w:r>
      <w:r>
        <w:rPr>
          <w:rFonts w:ascii="Times New Roman" w:cs="Times New Roman" w:eastAsia="Times New Roman" w:hAnsi="Times New Roman"/>
          <w:sz w:val="18"/>
          <w:szCs w:val="18"/>
          <w:i w:val="1"/>
          <w:iCs w:val="1"/>
          <w:color w:val="auto"/>
        </w:rPr>
        <w:t>Investments—Equity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and Joint Ventures (Topic 323): Accounting for Investments in Tax Credit Structures Using the Proportional Amortization Method</w:t>
      </w:r>
      <w:r>
        <w:rPr>
          <w:rFonts w:ascii="Times New Roman" w:cs="Times New Roman" w:eastAsia="Times New Roman" w:hAnsi="Times New Roman"/>
          <w:sz w:val="18"/>
          <w:szCs w:val="18"/>
          <w:color w:val="auto"/>
        </w:rPr>
        <w:t>.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allow reporting entities to elect to account for qualifying tax equity investments using the proportional amortization method, regardless of the program giving rise to the related income tax credits. The ASU was effective for us January 1, 2024, and did not have a material impact on our consolidated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ASU 2022-03 clarifies that a contractual restriction on the sale of an equity security is not considered part of the unit of account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security and, therefore, is not considered in measuring fair value. The ASU was effective for us January 1, 2024, and did not have a material impact on our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adoption of new accounting standards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amendments in this ASU require an entity to disclose specific categories in the rate reconciliation and provide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information for reconciling items that meet a quantitative threshold, which is greater than five percent of the amount computed by multiplying pretax income by the entity’s applicable statutory rate, on an annual basis. Additionally, the amendments in this ASU require an entity to disclose the amount of income taxes paid (net of refunds received) disaggregated by federal, state, and foreign taxes and the amount of income taxes paid (net of refunds received) disaggregated by individual jurisdictions that are equal to or greater than five percent of total income taxes paid (net of refunds received). Lastly, the amendments in this ASU require an entity to disclose income (or loss) from continuing operations before income tax expense (or benefit) disaggregated between domestic and foreign and income tax expense (or benefit) from continuing operations disaggregated by federal, state, and foreign. This ASU is effective for annual periods beginning after December 15, 2024. Early adoption is permitted. The amendments should be applied on a prospective basis; however, retrospective application is permitted. We do not expect the adoption of ASU 2023-09 to have a material impact on our consolidated financial statements.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incorporates certain SEC disclosure requirements into the FASB Accounting Standards Codification. The amendments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available-for-sale (“AFS”) securities and their approximate fair values at September 30, 2024, and December 31, 2023, are summarized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655,646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277,476</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153,694</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37,547</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1,524,302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1,436,431</w:t>
            </w:r>
          </w:p>
        </w:tc>
        <w:tc>
          <w:tcPr>
            <w:tcW w:w="0" w:type="dxa"/>
            <w:vAlign w:val="bottom"/>
          </w:tcPr>
          <w:p>
            <w:pPr>
              <w:spacing w:after="0"/>
              <w:rPr>
                <w:sz w:val="1"/>
                <w:szCs w:val="1"/>
                <w:color w:val="auto"/>
              </w:rPr>
            </w:pPr>
          </w:p>
        </w:tc>
      </w:tr>
      <w:tr>
        <w:trPr>
          <w:trHeight w:val="898"/>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463,203</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1,372,575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1,248,439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AFS securities with amortized costs of $1.2 billion and $826.5 million, respectively, and with estimated fair values of $1.1 billion and $742.5 million, respectively, were pledged to serve as collateral for secured borrowings, derivative exposures, or to secure public deposits as required or permitted by law.</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from sales, calls, and maturities of debt securities available-for-sale, including principal payments received, and the related gross gains and losses realized, for the nine months ended September 30, 2024, and September 30, 2023,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Proceeds from</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Gross realized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Calls and maturities</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2980" w:type="dxa"/>
            <w:vAlign w:val="bottom"/>
            <w:tcBorders>
              <w:top w:val="single" w:sz="8" w:color="auto"/>
            </w:tcBorders>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152,087</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4"/>
        </w:trPr>
        <w:tc>
          <w:tcPr>
            <w:tcW w:w="2980" w:type="dxa"/>
            <w:vAlign w:val="bottom"/>
          </w:tcPr>
          <w:p>
            <w:pPr>
              <w:jc w:val="right"/>
              <w:ind w:right="1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76,187</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benefit (provision) related to these net realized gains and losses for September 30, 2024, and September 30, 2023, was ($128.7) thousand, and $23.5 thousand, respectively.</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maturities of AFS securities at September 30, 2024,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00" w:type="dxa"/>
            <w:vAlign w:val="bottom"/>
          </w:tcPr>
          <w:p>
            <w:pPr>
              <w:spacing w:after="0"/>
              <w:rPr>
                <w:sz w:val="17"/>
                <w:szCs w:val="17"/>
                <w:color w:val="auto"/>
              </w:rPr>
            </w:pPr>
          </w:p>
        </w:tc>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center"/>
              <w:ind w:right="1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166,000</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713,040</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57,563</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285,808</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34,848</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157,569</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71,073</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145,442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538,971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1,524,302</w:t>
            </w:r>
          </w:p>
        </w:tc>
      </w:tr>
      <w:tr>
        <w:trPr>
          <w:trHeight w:val="898"/>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gridSpan w:val="2"/>
          </w:tcPr>
          <w:p>
            <w:pPr>
              <w:jc w:val="center"/>
              <w:ind w:right="79"/>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7"/>
        </w:trPr>
        <w:tc>
          <w:tcPr>
            <w:tcW w:w="4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152,617</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655,646</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54,766</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277,476</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34,050</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153,694</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70,635</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37,547</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515,634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1,436,431</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there were no holdings of securities of any one issuer, other than the U.S. Government and its agencies, in any amount greater than 10% of shareholders’ equity.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securities with unrealized losses aggregated by investment category and length of time that individual securities have been in a continuous unrealized loss position at September 30, 2024, and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AFS securities in a continuous unrealized loss position for less than twelve months and more than twelve months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right"/>
              <w:ind w:right="93"/>
              <w:spacing w:after="0" w:line="135"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80" w:type="dxa"/>
            <w:vAlign w:val="bottom"/>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75,325</w:t>
            </w:r>
          </w:p>
        </w:tc>
        <w:tc>
          <w:tcPr>
            <w:tcW w:w="100" w:type="dxa"/>
            <w:vAlign w:val="bottom"/>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94,962</w:t>
            </w:r>
          </w:p>
        </w:tc>
        <w:tc>
          <w:tcPr>
            <w:tcW w:w="0" w:type="dxa"/>
            <w:vAlign w:val="bottom"/>
          </w:tcPr>
          <w:p>
            <w:pPr>
              <w:spacing w:after="0"/>
              <w:rPr>
                <w:sz w:val="1"/>
                <w:szCs w:val="1"/>
                <w:color w:val="auto"/>
              </w:rPr>
            </w:pPr>
          </w:p>
        </w:tc>
      </w:tr>
      <w:tr>
        <w:trPr>
          <w:trHeight w:val="885"/>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00" w:type="dxa"/>
            <w:vAlign w:val="bottom"/>
          </w:tcPr>
          <w:p>
            <w:pPr>
              <w:spacing w:after="0"/>
              <w:rPr>
                <w:sz w:val="16"/>
                <w:szCs w:val="16"/>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33"/>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right"/>
              <w:ind w:right="93"/>
              <w:spacing w:after="0" w:line="137"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1,194,396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allowance for credit losses (“ACL”) is recorded for the credit loss, limited by the amount that the fair value is less than the amortized cost basis under the current expected credit loss (“CECL”) standard, and declines due to non-credit factors are recorded in accumulated 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statements of financial condition. Prior to implementation of the CECL standard, unrealized losses caused by a credit event would require the direct write-down of the AFS security through the other-than-temporary impairment approach.</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record an ACL on the AFS securities as of September 30, 2024, or December 31, 2023. The Company considers the unrealized losses on the AFS securities to be related to fluctuations in market conditions, primarily interest rates, and not reflective of deterioration in credit. The Company had 383 securities in an unrealized loss position as of September 30, 2024. The Company has evaluated AFS securities in an unrealized loss position for credit-related impairment at September 30, 2024,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September 30,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the unrealized losses associated with 11 U.S. Treasuries and Government Agency securities, 14 Residential Mortgage Backed – Agency securities, and 14 Commercial Mortgage Backed – Agency securities were generally driven by changes in interest rates and not due to credit losses given the explicit or implicit guarantees provided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the U.S. government. Therefore, the Company has concluded that the unrealized losses for these securities do not require an ACL at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States and Municipalities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the unrealized losses associated with 212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September 30,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&amp; Commercial Mortgage Backed – Non-Agency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the unrealized losses associated with 69 Residential Mortgage Backed – Non-Agency securities and 30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September 30,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the unrealized losses associated with 21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September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the unrealized losses associated with 12 securities were primarily driven by interest rates and not the credit quality of the securities. These investments were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September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at cost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in Federal Home Loan Bank (“FHLB”) stock totaled $16.8 million and $5.9 million at September 30, 2024, and December 31, 2023, respectively. FHLB stock is generally viewed as a long-term investment and as a restricted investment security, which is carried at cost, because there is no market for the stock other than the FHLB or member institutions. Therefore, when evaluating FHLB stock for impairment, its value is based on the ultimate recoverability of the par value rather than by recognizing temporary declines in value. The Company does not consider this investment to be impaired at September 30, 2024, and no impairment has been recognized. FHLB stock is included in a separate line item, Restricted stock, at cost on the Consolidated Balance Sheets and is not part of the Company’s AFS securities portfolio. The Company’s Restricted stock line item on the Consolidated Balance Sheets also includes an investment in Community Bankers’ Bank, totaling $111 thousand at September 30, 2024, and $50 thousand at December 31, 2023, which is carried at cost and is not impaired at September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among the various loan segments and are subject to the impact of changes in interest rates, market conditions of collateral securing the loans, and general economic conditions.</w:t>
      </w:r>
    </w:p>
    <w:p>
      <w:pPr>
        <w:spacing w:after="0" w:line="108"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Owner-occupied commercial real estate loans carry risk associated with the operations of the business that occupies the property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construction &amp; development loans carry risk associated with the credit-worthiness of the borrower, project completion within budget, sale after completion,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loans carry the risk associated with the operations of the business and the value of the collateral, if 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non-real estate and other loans, which includes overdrafts, carry risk associated with the credit-worthiness of the borrower and the value of the collateral, if 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as of September 30, 2024, and December 31, 2023, by portfolio segment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1,309,084</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131,381</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67,847</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527,980</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2,087,756</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(25,301)</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5,506,220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2,062,455</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deferred loan fees included in the above loan categories totaled $3.4 million and $3.5 million at September 30, 2024, and December 31,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2023, the Company adopted the CECL methodology as required under Accounting Standards Codification (“ASC”) 326. The measurement of expected credit losses under the CECL methodology is applicable to financial assets measured at amortized cost, including loan receivables. All information presented as of September 30, 2024, is in accordance with ASC 326.</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ACL is calculated quarterly, with any adjustment recorded to the provision for credit losses in the Consolidated Statement of Income. Management calculates the quantitative portion of collectively evaluated loans for all loan categories using the weighted average remaining maturity (“WARM”) method. For purposes of estimating the Company’s ACL, management generally evaluates collectively evaluated loans by federal call code in order to group loans with similar risk characteristics.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 forecast. These qualitative risk factors considered by management are largely comparable to legacy factors prior to the adoption of CECL.</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activity in the ACL for the three months and nine months ended September 30, 2024, and for the three months and nine months ended September 30, 2023, including the impact of the adoption of CECL for the nine months ended September 30, 2023, and the impact of the allowance established for PCD loans for the three months and nine months ended September 30, 2024,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1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Commercial &amp;</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commercial real</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industrial</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68,017</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Provision for (recapture of) credit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0" w:type="dxa"/>
            <w:vAlign w:val="bottom"/>
          </w:tcPr>
          <w:p>
            <w:pPr>
              <w:spacing w:after="0"/>
              <w:rPr>
                <w:sz w:val="1"/>
                <w:szCs w:val="1"/>
                <w:color w:val="auto"/>
              </w:rPr>
            </w:pPr>
          </w:p>
        </w:tc>
      </w:tr>
      <w:tr>
        <w:trPr>
          <w:trHeight w:val="17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25,791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21,723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67,817</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25,919</w:t>
            </w:r>
          </w:p>
        </w:tc>
        <w:tc>
          <w:tcPr>
            <w:tcW w:w="0" w:type="dxa"/>
            <w:vAlign w:val="bottom"/>
          </w:tcPr>
          <w:p>
            <w:pPr>
              <w:spacing w:after="0"/>
              <w:rPr>
                <w:sz w:val="1"/>
                <w:szCs w:val="1"/>
                <w:color w:val="auto"/>
              </w:rPr>
            </w:pPr>
          </w:p>
        </w:tc>
      </w:tr>
      <w:tr>
        <w:trPr>
          <w:trHeight w:val="127"/>
        </w:trPr>
        <w:tc>
          <w:tcPr>
            <w:tcW w:w="210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Provision for (recapture of) credit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7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81"/>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3"/>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26,111</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1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Commercial &amp;</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commercial real</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industrial</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25,301</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Allowance established for acquired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PCD loans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23,910</w:t>
            </w: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Provision for (recapture of) credit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19,515</w:t>
            </w:r>
          </w:p>
        </w:tc>
        <w:tc>
          <w:tcPr>
            <w:tcW w:w="0" w:type="dxa"/>
            <w:vAlign w:val="bottom"/>
          </w:tcPr>
          <w:p>
            <w:pPr>
              <w:spacing w:after="0"/>
              <w:rPr>
                <w:sz w:val="1"/>
                <w:szCs w:val="1"/>
                <w:color w:val="auto"/>
              </w:rPr>
            </w:pPr>
          </w:p>
        </w:tc>
      </w:tr>
      <w:tr>
        <w:trPr>
          <w:trHeight w:val="17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0" w:type="dxa"/>
            <w:vAlign w:val="bottom"/>
          </w:tcPr>
          <w:p>
            <w:pPr>
              <w:spacing w:after="0"/>
              <w:rPr>
                <w:sz w:val="1"/>
                <w:szCs w:val="1"/>
                <w:color w:val="auto"/>
              </w:rPr>
            </w:pPr>
          </w:p>
        </w:tc>
      </w:tr>
      <w:tr>
        <w:trPr>
          <w:trHeight w:val="181"/>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3"/>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25,791</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3,967</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21,723</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67,817</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21,039</w:t>
            </w:r>
          </w:p>
        </w:tc>
        <w:tc>
          <w:tcPr>
            <w:tcW w:w="0" w:type="dxa"/>
            <w:vAlign w:val="bottom"/>
          </w:tcPr>
          <w:p>
            <w:pPr>
              <w:spacing w:after="0"/>
              <w:rPr>
                <w:sz w:val="1"/>
                <w:szCs w:val="1"/>
                <w:color w:val="auto"/>
              </w:rPr>
            </w:pPr>
          </w:p>
        </w:tc>
      </w:tr>
      <w:tr>
        <w:trPr>
          <w:trHeight w:val="17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Impact of adoption CECL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0" w:type="dxa"/>
            <w:vAlign w:val="bottom"/>
          </w:tcPr>
          <w:p>
            <w:pPr>
              <w:spacing w:after="0"/>
              <w:rPr>
                <w:sz w:val="1"/>
                <w:szCs w:val="1"/>
                <w:color w:val="auto"/>
              </w:rPr>
            </w:pPr>
          </w:p>
        </w:tc>
      </w:tr>
      <w:tr>
        <w:trPr>
          <w:trHeight w:val="127"/>
        </w:trPr>
        <w:tc>
          <w:tcPr>
            <w:tcW w:w="210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Provision for (recapture of) credit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0" w:type="dxa"/>
            <w:vAlign w:val="bottom"/>
          </w:tcPr>
          <w:p>
            <w:pPr>
              <w:spacing w:after="0"/>
              <w:rPr>
                <w:sz w:val="1"/>
                <w:szCs w:val="1"/>
                <w:color w:val="auto"/>
              </w:rPr>
            </w:pPr>
          </w:p>
        </w:tc>
      </w:tr>
      <w:tr>
        <w:trPr>
          <w:trHeight w:val="17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81"/>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3"/>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recorded investment in loans excludes accrued interest receivable and loan origination fees, net due to immateriality. The following table presents the aging of the recorded investment in past due loans as of September 30, 2024, and December 31, 2023, by portfolio segment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b w:val="1"/>
                <w:bCs w:val="1"/>
                <w:color w:val="auto"/>
              </w:rPr>
              <w:t>Non-accrual</w:t>
            </w: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&amp; Still Accruing</w:t>
            </w:r>
          </w:p>
        </w:tc>
        <w:tc>
          <w:tcPr>
            <w:tcW w:w="12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7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17,557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2,509,388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2,526,945</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19,967</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630,345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637,175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6,233</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443,870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447,449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559,791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562,653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1,188,284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1,197,245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7,392</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202,570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w:t>
            </w:r>
          </w:p>
        </w:tc>
      </w:tr>
      <w:tr>
        <w:trPr>
          <w:trHeight w:val="169"/>
        </w:trPr>
        <w:tc>
          <w:tcPr>
            <w:tcW w:w="24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41,152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5,532,885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5,574,037</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35,872</w:t>
            </w: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b w:val="1"/>
                <w:bCs w:val="1"/>
                <w:color w:val="auto"/>
              </w:rPr>
              <w:t>Non-accrual</w:t>
            </w: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&amp; Still Accruing</w:t>
            </w:r>
          </w:p>
        </w:tc>
        <w:tc>
          <w:tcPr>
            <w:tcW w:w="12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7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1,298,588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1,309,084</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131,381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67,847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524,502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527,980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2,744</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4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2,072,430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2,087,756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the top twenty-five non-homogenous commercial loan relationships as measured by total Company exposure to each borrower. The Company uses the following definitions for credit risk classifications: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w:t>
      </w:r>
      <w:r>
        <w:rPr>
          <w:rFonts w:ascii="Times New Roman" w:cs="Times New Roman" w:eastAsia="Times New Roman" w:hAnsi="Times New Roman"/>
          <w:sz w:val="18"/>
          <w:szCs w:val="18"/>
          <w:color w:val="auto"/>
        </w:rPr>
        <w:t>: These include satisfactory loans that have acceptable levels of risk.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classified as special mention have a potential credit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Substandard</w:t>
      </w:r>
      <w:r>
        <w:rPr>
          <w:rFonts w:ascii="Times New Roman" w:cs="Times New Roman" w:eastAsia="Times New Roman" w:hAnsi="Times New Roman"/>
          <w:sz w:val="18"/>
          <w:szCs w:val="18"/>
          <w:color w:val="auto"/>
        </w:rPr>
        <w:t>: Loans classified as substandard have a well-defined weakness or weaknesses that jeopardize the orderly liquidation of debt. Loans classified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on the basis of currently existing facts, conditions, and values, highly questionable and unlikely.</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Loans classified as a loss are considered to be uncollectible and cannot be justified to continue as viable assets. While there may be the possibility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recovery in the future, it is not practical or desirable to defer writing off these loans at the present time.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September 30, 2024, and December 31, 2023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91,379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354,858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518,552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344,738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156,431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674,628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57,653</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2,198,239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41,560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176,597</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152,109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91,379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386,080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585,958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427,195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183,412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787,718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65,203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2,526,945</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47,364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74,592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93,346</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141,148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38,464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192,686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604,755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15,287</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47,364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74,592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98,614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153,889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47,341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198,220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637,175</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1"/>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95,048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92,504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149,581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394,307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39,645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108,141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108,397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152,729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447,449</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88,084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60,177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58,895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31,648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245,869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510,496</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32,460</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88,512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60,473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82,169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45,999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257,333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562,653</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75,618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161,352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218,954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154,757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80,328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360,343</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138,285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1,189,637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75,618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161,955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219,853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155,369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80,942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365,160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138,348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1,197,245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42"/>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23,496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15,710</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107,598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198,887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23,771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107,622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202,570</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r>
      <w:tr>
        <w:trPr>
          <w:trHeight w:val="188"/>
        </w:trPr>
        <w:tc>
          <w:tcPr>
            <w:tcW w:w="2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350,429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806,986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1,113,260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944,030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357,123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1,405,103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597,106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5,574,037</w:t>
            </w:r>
          </w:p>
        </w:tc>
      </w:tr>
      <w:tr>
        <w:trPr>
          <w:trHeight w:val="452"/>
        </w:trPr>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195,857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261,817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166,253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75,170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416,774</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1,175,423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52,560</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81,101</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289,472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214,549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82,255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467,399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36,761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1,309,084</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31,725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43,616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126,445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48,020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131,381</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2"/>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49,091</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49,091</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67,025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67,847</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122,067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60,202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40,938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137,376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54,273</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525,236</w:t>
            </w:r>
          </w:p>
        </w:tc>
      </w:tr>
      <w:tr>
        <w:trPr>
          <w:trHeight w:val="184"/>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78,222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122,067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32,401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40,938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139,547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54,312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527,980</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2,373</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88"/>
        </w:trPr>
        <w:tc>
          <w:tcPr>
            <w:tcW w:w="2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321,368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483,436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305,178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69,608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134,601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656,867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116,698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2,087,756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collateral-dependent loans that were individually evaluated for purposes of determining the ACL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5,326</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20,739</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9,798</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5,949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28,494</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5,949</w:t>
            </w:r>
          </w:p>
        </w:tc>
        <w:tc>
          <w:tcPr>
            <w:tcW w:w="0" w:type="dxa"/>
            <w:vAlign w:val="bottom"/>
          </w:tcPr>
          <w:p>
            <w:pPr>
              <w:spacing w:after="0"/>
              <w:rPr>
                <w:sz w:val="1"/>
                <w:szCs w:val="1"/>
                <w:color w:val="auto"/>
              </w:rPr>
            </w:pPr>
          </w:p>
        </w:tc>
      </w:tr>
      <w:tr>
        <w:trPr>
          <w:trHeight w:val="463"/>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jc w:val="center"/>
              <w:ind w:right="34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Credit Deteriorated Loans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purchased loans for which there was, at acquisition, evidence of more than insignificant deterioration of credit quality since origination.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those loans, at acquisition,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9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price of loans at acquisition</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380,795</w:t>
            </w:r>
          </w:p>
        </w:tc>
      </w:tr>
      <w:tr>
        <w:trPr>
          <w:trHeight w:val="195"/>
        </w:trPr>
        <w:tc>
          <w:tcPr>
            <w:tcW w:w="9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at acquisition</w:t>
            </w: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23,910</w:t>
            </w:r>
          </w:p>
        </w:tc>
      </w:tr>
      <w:tr>
        <w:trPr>
          <w:trHeight w:val="203"/>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Non-credit discount/(premium) at acquisition</w:t>
            </w:r>
          </w:p>
        </w:tc>
        <w:tc>
          <w:tcPr>
            <w:tcW w:w="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37,640</w:t>
            </w:r>
          </w:p>
        </w:tc>
      </w:tr>
      <w:tr>
        <w:trPr>
          <w:trHeight w:val="256"/>
        </w:trPr>
        <w:tc>
          <w:tcPr>
            <w:tcW w:w="9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value of acquired loans at acquisition</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442,344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 2023, the Company adopted ASU 2022-02 on a modified retrospective basis. ASU 2022-02 eliminates the troubled debt restructuring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Receivables — Nonrefundable Fees and Other Costs, and subjects entities to new disclosure requirements on loan modifications to borrowers experiencing financial difficulty.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 off against the ACL. The Company may also provide multiple types of modifications 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individual loan. For the three and nine months ended September 30, 2024, and for the year ended, December 31, 2023, the Company did not extend any modifications to borrowers experiencing financial difficulty that had a more-than-insignificant direct change in the contractual cash flows of the loan.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owned activity was as follows for the nine months ended September 30, 2024, and for the year ended, December 31, 2023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4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Beginning balance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acquired/transferred to real estate owned</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 write-downs</w:t>
            </w:r>
          </w:p>
        </w:tc>
        <w:tc>
          <w:tcPr>
            <w:tcW w:w="2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real estate owned</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End of period balance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Deposits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time deposits that meet or exceed the FDIC Insurance Limit of $250,000, was approximately $265.1 million and $92.3 million on September 30, 2024, and December 31, 2023, respectively. Brokered time deposits, which are fully insured, totaled $345.3 million and $389.0 million as of September 30, 2024, and December 31, 2023, respectively. Time deposits through the Certificate of Deposit Account Registry Service (“CDARS”) program totaled $36.5 million at September 30, 2024, compared to $24.2 million at December 31,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the scheduled maturities of time deposits for the remaining three months ending December 31, 2024, the following five years, and for the years thereafter, were as follows (in thousands):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three months ending, December 31, 2024</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450,696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598,419</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112,524</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60,348</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85,382</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1,316,599</w:t>
            </w: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amounts included in time deposits for individual retirement accounts totaled $121.0 million and $28.5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Overdrafts of $1.3 million and $110 thousand were reclassified to loans as of September 30, 2024, and the year ended December 31, 2023,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borrowings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had borrowings of $320.2 million and $272.0 million at September 30, 2024, and December 31, 2023, respectively. At September 30, 2024, the interest rate on this debt ranged from 4.87% to 4.90%. At December 31, 2023, the interest rate on this debt ranged from 4.38% to 5.57%. The average balance outstanding during the nine months ending September 30, 2024, and the year ending December 31, 2023, was $323.5 million and $293.9 million, respectively. The Company has a finance lease liability that is not included in these balances - see </w:t>
      </w:r>
      <w:r>
        <w:rPr>
          <w:rFonts w:ascii="Times New Roman" w:cs="Times New Roman" w:eastAsia="Times New Roman" w:hAnsi="Times New Roman"/>
          <w:sz w:val="18"/>
          <w:szCs w:val="18"/>
          <w:u w:val="single" w:color="auto"/>
          <w:color w:val="0000FF"/>
        </w:rPr>
        <w:t>Note 7 - Leased Property</w:t>
      </w:r>
      <w:r>
        <w:rPr>
          <w:rFonts w:ascii="Times New Roman" w:cs="Times New Roman" w:eastAsia="Times New Roman" w:hAnsi="Times New Roman"/>
          <w:sz w:val="18"/>
          <w:szCs w:val="18"/>
          <w:color w:val="auto"/>
        </w:rPr>
        <w:t xml:space="preserve"> for a discussion of this liability that is included in the accrued interest and other liabilities line in the Consolidated Balance Sheets.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available secured lines of credit with the Federal Reserve Bank of Richmond, such as the Borrower-In-Custody program, the FHLB of Atlanta, and unsecured federal funds lines of credit from correspondent banking relationships. Through these sources, the Company has unused capacity of $2.4 billion in remaining borrowing capacity as of September 30, 2024. The advances on credit lines are secured by both securities and loans. The lendable collateral value of securities and loans pledged against available lines of credit as of September 30, 2024, and December 31, 2023, was $1.1 billion and $797.8 million, respectively. As of September 30, 2024, all of the Company’s borrowings will mature within one calendar year.</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contractual maturities of these borrowings, which all occur within one year of the reporting date, are as follows as of September 30, 2024,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2024</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300,163</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2025</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320,163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borrowings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Merger, Burke &amp; Herbert assumed $75 million of subordinated debentures, that were fair valued at $61.5 million with a $13.5 million discount being amortized into interest expense over the stated maturity. As of September 30, 2024, the net balance was $63.7 million. The subordinated debt qualifies as Tier 2 capital under Federal Reserve Board guidelines, until the debt is within 5 years of its maturity; thereafter, the amount qualifying as Tier 2 capital is reduced 20% each year until maturity. The subordinated debentures were issued in the fourth quarter of 2021. This subordinated debt bears interest at a fixed rate of 3.25% per year, from acquisition date to, but excluding, December 1, 2026, payable semi-annually in arrears. From and including, December 1, 2026 to, but excluding, the maturity date or earlier redemption date, the interest rate will reset quarterly at a variable rate equal to the then current three-month term Secured Overnight Financing Rate (“SOFR”), as published by the Federal Reserve Bank of New York, plus 230 basis points, payable quarterly in arrears. This debt has a 10-year term, and generally, is not prepayable by us within the first 5 years from issuance, which was fourth quarter 2021.</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Merger, Burke &amp; Herbert also assumed $30 million of subordinated debentures that were fair valued at $29.8 million with a $0.2 million discount being amortized into interest expense over the stated maturity. As of September 30, 2024, the net balance was $29.8 million. The subordinated debt qualifies as Tier 2 capital under Federal Reserve Board guidelines, until the debt is within 5 years of its maturity; thereafter, the amount qualifying as Tier 2 capital is reduced by 20% each year until its maturity. The subordinated debentures were issued in the third quarter of 2020. This subordinated debt bears interest at a fixed rate of 5.00% per year from the date of assumption to, but excluding, September 30, 2025, payable quarterly in arrears. From and including September 30, 2025, to, but excluding, the maturity date or earlier redemption date, the interest rate will reset quarterly at a variable rate equal to the then current three-month term SOFR plus 487 basis points, payable quarterly in arrears. This debt has a 10-year term, and generally, is not prepayable by us within the first 5 years from issuance, which was third quarter 2020.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 Owed to Unconsolidated Subsidiary Trusts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Merger, Burke &amp; Herbert became the sponsor for SFG Capital Trust I, SFG Capital Trust II, and SFG Capital Trust III. For each of these trusts, 100% of the common equity is owned by us. SFG Capital Trust I issued $3.5 million in capital securities and $109 thousand in common securities and invested the proceeds in $3.61 million of debentures, which were assumed by Burke &amp; Herbert in the Merger. SFG Capital Trust II issued $7.5 million in capital securities and $232 thousand in common securities and invested the proceeds in $7.73 million of debentures, which were assumed by Burke &amp; Herbert in the Merger. SFG Capital Trust III issued $8.0 million in capital securities and $248 thousand in common securities and invested the proceeds in $8.25 million of debentures, which were assumed by Burke &amp; Herbert in the Merger. Distributions on the capital securities issued by the trusts are payable quarterly at a variable rate equal to 3 month LIBOR plus 345 basis points for SFG Capital Trust I, 3 months of LIBOR plus 280 basis points for SFG Capital Trust II, and 3 month LIBOR plus 145 basis points for SFG Capital Trust III, and equals the interest rate earned on the debentures held by the trusts and is recorded as interest expense by us. The capital securities are subject to mandatory redemption in whole, or in part, upon repayment of the debentures. We have entered into agreements which, taken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collectively, fully and unconditionally guarantee the capital securities subject to the terms of the guarantee. The debentures of each Capital Trust are redeemable by us quarterly.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securities issued by SFG Capital Trust I, SFG Capital Trust II, and SFG Capital Trust III qualify as Tier 1 capital under the Federal Reserve guidelines. In accordance with these Guidelines, trust preferred securities are limited to 25% of Tier 1 capital elements, net of goodwill. The amount of trust preferred securities and certain other elements in excess of the limit can be included in Tier 2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subordinated debentures as of September 30, 2024,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Subordinated debentures</w:t>
            </w:r>
          </w:p>
        </w:tc>
        <w:tc>
          <w:tcPr>
            <w:tcW w:w="140" w:type="dxa"/>
            <w:vAlign w:val="bottom"/>
          </w:tcPr>
          <w:p>
            <w:pPr>
              <w:spacing w:after="0"/>
              <w:rPr>
                <w:sz w:val="13"/>
                <w:szCs w:val="13"/>
                <w:color w:val="auto"/>
              </w:rPr>
            </w:pPr>
          </w:p>
        </w:tc>
        <w:tc>
          <w:tcPr>
            <w:tcW w:w="22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Subordinated debentures owed to</w:t>
            </w:r>
          </w:p>
        </w:tc>
        <w:tc>
          <w:tcPr>
            <w:tcW w:w="0" w:type="dxa"/>
            <w:vAlign w:val="bottom"/>
          </w:tcPr>
          <w:p>
            <w:pPr>
              <w:spacing w:after="0"/>
              <w:rPr>
                <w:sz w:val="1"/>
                <w:szCs w:val="1"/>
                <w:color w:val="auto"/>
              </w:rPr>
            </w:pPr>
          </w:p>
        </w:tc>
      </w:tr>
      <w:tr>
        <w:trPr>
          <w:trHeight w:val="195"/>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unconsolidated subsidiary trusts</w:t>
            </w:r>
          </w:p>
        </w:tc>
        <w:tc>
          <w:tcPr>
            <w:tcW w:w="0" w:type="dxa"/>
            <w:vAlign w:val="bottom"/>
          </w:tcPr>
          <w:p>
            <w:pPr>
              <w:spacing w:after="0"/>
              <w:rPr>
                <w:sz w:val="1"/>
                <w:szCs w:val="1"/>
                <w:color w:val="auto"/>
              </w:rPr>
            </w:pPr>
          </w:p>
        </w:tc>
      </w:tr>
      <w:tr>
        <w:trPr>
          <w:trHeight w:val="214"/>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three months ending, December 31, 2024</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two years to around sixteen years and may contain renewal options. The components of lease income, which was included in non-interest expense on the Consolidated Statements of Income,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5"/>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453"/>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remaining maturities of operating lease receivables as of September 30, 2024, are as follows (in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8"/>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three months ending, December 31, 2024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around thirteen years. The lease agreements do not provide for residual value guarantees and have no restrictions or covenants that would impact dividends or require incurring additional financial obligations.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and liabilities by lease type, and the associated balance sheet classifications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tcPr>
          <w:p>
            <w:pPr>
              <w:spacing w:after="0"/>
              <w:rPr>
                <w:sz w:val="16"/>
                <w:szCs w:val="16"/>
                <w:color w:val="auto"/>
              </w:rPr>
            </w:pPr>
          </w:p>
        </w:tc>
        <w:tc>
          <w:tcPr>
            <w:tcW w:w="158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19"/>
                <w:szCs w:val="19"/>
                <w:color w:val="auto"/>
              </w:rPr>
            </w:pP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29"/>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23"/>
        </w:trPr>
        <w:tc>
          <w:tcPr>
            <w:tcW w:w="5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tcPr>
          <w:p>
            <w:pPr>
              <w:spacing w:after="0"/>
              <w:rPr>
                <w:sz w:val="19"/>
                <w:szCs w:val="19"/>
                <w:color w:val="auto"/>
              </w:rPr>
            </w:pP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w:t>
            </w:r>
          </w:p>
        </w:tc>
      </w:tr>
      <w:tr>
        <w:trPr>
          <w:trHeight w:val="229"/>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r>
      <w:tr>
        <w:trPr>
          <w:trHeight w:val="46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total lease cost were as follows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8"/>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7"/>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23"/>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future undiscounted lease payments for finance and operating leases with initial terms of one year or more as of September 30, 2024,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468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three months ending, December 31, 2024</w:t>
            </w:r>
          </w:p>
        </w:tc>
        <w:tc>
          <w:tcPr>
            <w:tcW w:w="3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3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liabilities</w:t>
            </w:r>
          </w:p>
        </w:tc>
        <w:tc>
          <w:tcPr>
            <w:tcW w:w="35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r>
      <w:tr>
        <w:trPr>
          <w:trHeight w:val="898"/>
        </w:trPr>
        <w:tc>
          <w:tcPr>
            <w:tcW w:w="4680" w:type="dxa"/>
            <w:vAlign w:val="bottom"/>
          </w:tcPr>
          <w:p>
            <w:pPr>
              <w:spacing w:after="0"/>
              <w:rPr>
                <w:sz w:val="24"/>
                <w:szCs w:val="24"/>
                <w:color w:val="auto"/>
              </w:rPr>
            </w:pPr>
          </w:p>
        </w:tc>
        <w:tc>
          <w:tcPr>
            <w:tcW w:w="350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7"/>
        </w:trPr>
        <w:tc>
          <w:tcPr>
            <w:tcW w:w="46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Company’s leases as of September 30, 2024, and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lease information (dollars in thousands)</w:t>
            </w: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remaining lease term (years)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discount rate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70"/>
        </w:trPr>
        <w:tc>
          <w:tcPr>
            <w:tcW w:w="7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900" w:type="dxa"/>
            <w:vAlign w:val="bottom"/>
            <w:gridSpan w:val="3"/>
            <w:shd w:val="clear" w:color="auto" w:fill="CCEEFF"/>
          </w:tcPr>
          <w:p>
            <w:pPr>
              <w:spacing w:after="0"/>
              <w:rPr>
                <w:sz w:val="23"/>
                <w:szCs w:val="23"/>
                <w:color w:val="auto"/>
              </w:rPr>
            </w:pPr>
          </w:p>
        </w:tc>
      </w:tr>
      <w:tr>
        <w:trPr>
          <w:trHeight w:val="196"/>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2,545</w:t>
            </w:r>
          </w:p>
        </w:tc>
      </w:tr>
      <w:tr>
        <w:trPr>
          <w:trHeight w:val="229"/>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spacing w:after="0"/>
              <w:rPr>
                <w:sz w:val="19"/>
                <w:szCs w:val="19"/>
                <w:color w:val="auto"/>
              </w:rPr>
            </w:pP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1,214</w:t>
            </w:r>
          </w:p>
        </w:tc>
      </w:tr>
      <w:tr>
        <w:trPr>
          <w:trHeight w:val="234"/>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20" w:type="dxa"/>
            <w:vAlign w:val="bottom"/>
          </w:tcPr>
          <w:p>
            <w:pPr>
              <w:spacing w:after="0"/>
              <w:rPr>
                <w:sz w:val="20"/>
                <w:szCs w:val="20"/>
                <w:color w:val="auto"/>
              </w:rPr>
            </w:pP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Banks and financial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The net unrealized gain or loss on AFS securities is not included in computing regulatory capital. Management believes as of September 30, 2024, the Company and the Bank meet all capital adequacy requirements to which they are subject.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September 30, 2024, and December 31, 2023, the most recent notification from the FDIC categorized the Bank as “well capitalized” under the regulatory framework for “prompt corrective action”.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actual and required capital amounts and ratios for the Company and the Bank at September 30, 2024, and December 31, 2023 (in thousands except for ratios):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Minimum Required Capital - Basel III</w:t>
            </w:r>
          </w:p>
        </w:tc>
        <w:tc>
          <w:tcPr>
            <w:tcW w:w="220" w:type="dxa"/>
            <w:vAlign w:val="bottom"/>
          </w:tcPr>
          <w:p>
            <w:pPr>
              <w:spacing w:after="0"/>
              <w:rPr>
                <w:sz w:val="13"/>
                <w:szCs w:val="13"/>
                <w:color w:val="auto"/>
              </w:rPr>
            </w:pPr>
          </w:p>
        </w:tc>
        <w:tc>
          <w:tcPr>
            <w:tcW w:w="232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Minimum Required to be Well</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663,933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632,318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898,158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663,431</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631,840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748,299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537,470</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505,854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826,214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537,064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505,472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720,936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442,622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411,006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826,214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442,288</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410,696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748,299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309,940</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387,425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826,214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309,602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387,003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260,694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248,280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260,626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248,215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211,038</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198,624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210,983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198,572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173,796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161,382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173,751</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161,340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147,965</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184,957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184,982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source of funds for dividend payments is dividends received from the Bank. Banking regulations limit the amount of dividends that may be paid without prior approval of regulatory agencies. As of September 30, 2024, approximately $234.7 million of retained earnings was available for dividend declaration consistent with the Company’s capital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 in using interest rate derivatives is to add stability to interest income and to manage its exposure to interest rate movements. To accomplish this objective, the Company primarily uses interest rate swaps, caps, and floors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Other interest rate swaps designated as cash flow hedges involve the receipt of fixed-rate amounts from a counterparty in exchange for the Company making variable-rate payments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life of the agreements without exchange of the underlying notional amount. During 2024, such derivatives were used to hedge the variable cash flows associated with variable-rate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the next twelve months, the Company estimates that an additional $76.4 thousand will be reclassified as an increase to interest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which includes accrued interest, as well as their classification on the Consolidated Balance Sheets as of September 30, 2024, and 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100" w:type="dxa"/>
            <w:vAlign w:val="bottom"/>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2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fair value hedges</w:t>
            </w:r>
          </w:p>
        </w:tc>
        <w:tc>
          <w:tcPr>
            <w:tcW w:w="210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70"/>
        </w:trPr>
        <w:tc>
          <w:tcPr>
            <w:tcW w:w="55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2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210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234"/>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210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458"/>
        </w:trPr>
        <w:tc>
          <w:tcPr>
            <w:tcW w:w="5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55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100" w:type="dxa"/>
            <w:vAlign w:val="bottom"/>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2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210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210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70"/>
        </w:trPr>
        <w:tc>
          <w:tcPr>
            <w:tcW w:w="55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2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210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210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three months ended September 30, 2024, and September 30, 2023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8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88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8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9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8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80" w:type="dxa"/>
            <w:vAlign w:val="bottom"/>
          </w:tcPr>
          <w:p>
            <w:pPr>
              <w:spacing w:after="0"/>
              <w:rPr>
                <w:sz w:val="11"/>
                <w:szCs w:val="11"/>
                <w:color w:val="auto"/>
              </w:rPr>
            </w:pPr>
          </w:p>
        </w:tc>
        <w:tc>
          <w:tcPr>
            <w:tcW w:w="92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88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80" w:type="dxa"/>
            <w:vAlign w:val="bottom"/>
          </w:tcPr>
          <w:p>
            <w:pPr>
              <w:spacing w:after="0"/>
              <w:rPr>
                <w:sz w:val="11"/>
                <w:szCs w:val="11"/>
                <w:color w:val="auto"/>
              </w:rPr>
            </w:pPr>
          </w:p>
        </w:tc>
        <w:tc>
          <w:tcPr>
            <w:tcW w:w="92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80" w:type="dxa"/>
            <w:vAlign w:val="bottom"/>
          </w:tcPr>
          <w:p>
            <w:pPr>
              <w:spacing w:after="0"/>
              <w:rPr>
                <w:sz w:val="15"/>
                <w:szCs w:val="15"/>
                <w:color w:val="auto"/>
              </w:rPr>
            </w:pPr>
          </w:p>
        </w:tc>
        <w:tc>
          <w:tcPr>
            <w:tcW w:w="92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88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1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nine months ended September 30, 2024, and September 30, 2023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2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2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2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2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447"/>
              <w:spacing w:after="0"/>
              <w:rPr>
                <w:sz w:val="20"/>
                <w:szCs w:val="20"/>
                <w:color w:val="auto"/>
              </w:rPr>
            </w:pPr>
            <w:r>
              <w:rPr>
                <w:rFonts w:ascii="Times New Roman" w:cs="Times New Roman" w:eastAsia="Times New Roman" w:hAnsi="Times New Roman"/>
                <w:sz w:val="16"/>
                <w:szCs w:val="16"/>
                <w:color w:val="auto"/>
                <w:w w:val="99"/>
              </w:rPr>
              <w:t>631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26"/>
              <w:spacing w:after="0"/>
              <w:rPr>
                <w:sz w:val="20"/>
                <w:szCs w:val="20"/>
                <w:color w:val="auto"/>
              </w:rPr>
            </w:pPr>
            <w:r>
              <w:rPr>
                <w:rFonts w:ascii="Times New Roman" w:cs="Times New Roman" w:eastAsia="Times New Roman" w:hAnsi="Times New Roman"/>
                <w:sz w:val="16"/>
                <w:szCs w:val="16"/>
                <w:color w:val="auto"/>
                <w:w w:val="99"/>
              </w:rPr>
              <w:t>631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0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center"/>
              <w:ind w:left="447"/>
              <w:spacing w:after="0"/>
              <w:rPr>
                <w:sz w:val="20"/>
                <w:szCs w:val="20"/>
                <w:color w:val="auto"/>
              </w:rPr>
            </w:pPr>
            <w:r>
              <w:rPr>
                <w:rFonts w:ascii="Times New Roman" w:cs="Times New Roman" w:eastAsia="Times New Roman" w:hAnsi="Times New Roman"/>
                <w:sz w:val="16"/>
                <w:szCs w:val="16"/>
                <w:color w:val="auto"/>
                <w:w w:val="99"/>
              </w:rPr>
              <w:t>612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center"/>
              <w:ind w:left="426"/>
              <w:spacing w:after="0"/>
              <w:rPr>
                <w:sz w:val="20"/>
                <w:szCs w:val="20"/>
                <w:color w:val="auto"/>
              </w:rPr>
            </w:pPr>
            <w:r>
              <w:rPr>
                <w:rFonts w:ascii="Times New Roman" w:cs="Times New Roman" w:eastAsia="Times New Roman" w:hAnsi="Times New Roman"/>
                <w:sz w:val="16"/>
                <w:szCs w:val="16"/>
                <w:color w:val="auto"/>
                <w:w w:val="99"/>
              </w:rPr>
              <w:t>612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0"/>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20" w:type="dxa"/>
            <w:vAlign w:val="bottom"/>
          </w:tcPr>
          <w:p>
            <w:pPr>
              <w:spacing w:after="0"/>
              <w:rPr>
                <w:sz w:val="11"/>
                <w:szCs w:val="11"/>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2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2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2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center"/>
              <w:ind w:left="467"/>
              <w:spacing w:after="0"/>
              <w:rPr>
                <w:sz w:val="20"/>
                <w:szCs w:val="20"/>
                <w:color w:val="auto"/>
              </w:rPr>
            </w:pPr>
            <w:r>
              <w:rPr>
                <w:rFonts w:ascii="Times New Roman" w:cs="Times New Roman" w:eastAsia="Times New Roman" w:hAnsi="Times New Roman"/>
                <w:sz w:val="16"/>
                <w:szCs w:val="16"/>
                <w:color w:val="auto"/>
                <w:w w:val="97"/>
              </w:rPr>
              <w:t>(337)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shd w:val="clear" w:color="auto" w:fill="CCEEFF"/>
          </w:tcPr>
          <w:p>
            <w:pPr>
              <w:jc w:val="center"/>
              <w:ind w:left="446"/>
              <w:spacing w:after="0"/>
              <w:rPr>
                <w:sz w:val="20"/>
                <w:szCs w:val="20"/>
                <w:color w:val="auto"/>
              </w:rPr>
            </w:pPr>
            <w:r>
              <w:rPr>
                <w:rFonts w:ascii="Times New Roman" w:cs="Times New Roman" w:eastAsia="Times New Roman" w:hAnsi="Times New Roman"/>
                <w:sz w:val="16"/>
                <w:szCs w:val="16"/>
                <w:color w:val="auto"/>
              </w:rPr>
              <w:t>(337)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0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center"/>
              <w:ind w:left="467"/>
              <w:spacing w:after="0"/>
              <w:rPr>
                <w:sz w:val="20"/>
                <w:szCs w:val="20"/>
                <w:color w:val="auto"/>
              </w:rPr>
            </w:pPr>
            <w:r>
              <w:rPr>
                <w:rFonts w:ascii="Times New Roman" w:cs="Times New Roman" w:eastAsia="Times New Roman" w:hAnsi="Times New Roman"/>
                <w:sz w:val="16"/>
                <w:szCs w:val="16"/>
                <w:color w:val="auto"/>
                <w:w w:val="97"/>
              </w:rPr>
              <w:t>(337)</w:t>
            </w:r>
          </w:p>
        </w:tc>
        <w:tc>
          <w:tcPr>
            <w:tcW w:w="40" w:type="dxa"/>
            <w:vAlign w:val="bottom"/>
            <w:tcBorders>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gridSpan w:val="2"/>
          </w:tcPr>
          <w:p>
            <w:pPr>
              <w:jc w:val="center"/>
              <w:ind w:left="446"/>
              <w:spacing w:after="0"/>
              <w:rPr>
                <w:sz w:val="20"/>
                <w:szCs w:val="20"/>
                <w:color w:val="auto"/>
              </w:rPr>
            </w:pPr>
            <w:r>
              <w:rPr>
                <w:rFonts w:ascii="Times New Roman" w:cs="Times New Roman" w:eastAsia="Times New Roman" w:hAnsi="Times New Roman"/>
                <w:sz w:val="16"/>
                <w:szCs w:val="16"/>
                <w:color w:val="auto"/>
              </w:rPr>
              <w:t>(337)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for the three and nine months ended September 30, 2024, and September 30, 2023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0" w:right="240" w:hanging="161"/>
        <w:spacing w:after="0" w:line="245" w:lineRule="auto"/>
        <w:rPr>
          <w:sz w:val="20"/>
          <w:szCs w:val="20"/>
          <w:color w:val="auto"/>
        </w:rPr>
      </w:pPr>
      <w:r>
        <w:rPr>
          <w:rFonts w:ascii="Times New Roman" w:cs="Times New Roman" w:eastAsia="Times New Roman" w:hAnsi="Times New Roman"/>
          <w:sz w:val="16"/>
          <w:szCs w:val="16"/>
          <w:color w:val="auto"/>
        </w:rPr>
        <w:t>Total amounts of income and expense line items presented in the statement of financial performance in which the effects of fair value or cash flow hedges are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p>
      <w:pPr>
        <w:spacing w:after="0" w:line="32" w:lineRule="exact"/>
        <w:rPr>
          <w:sz w:val="20"/>
          <w:szCs w:val="20"/>
          <w:color w:val="auto"/>
        </w:rPr>
      </w:pPr>
    </w:p>
    <w:p>
      <w:pPr>
        <w:ind w:left="20" w:right="860" w:firstLine="32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Gain or (loss) on fair value hedging relationships in Subtopic 815-20 </w:t>
      </w:r>
      <w:r>
        <w:rPr>
          <w:rFonts w:ascii="Times New Roman" w:cs="Times New Roman" w:eastAsia="Times New Roman" w:hAnsi="Times New Roman"/>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line="232" w:lineRule="auto"/>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Interest contracts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00" w:hanging="161"/>
        <w:spacing w:after="0" w:line="245" w:lineRule="auto"/>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 transaction is no longer probable of occurring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right="240" w:hanging="161"/>
        <w:spacing w:after="0" w:line="245" w:lineRule="auto"/>
        <w:rPr>
          <w:sz w:val="20"/>
          <w:szCs w:val="20"/>
          <w:color w:val="auto"/>
        </w:rPr>
      </w:pPr>
      <w:r>
        <w:rPr>
          <w:rFonts w:ascii="Times New Roman" w:cs="Times New Roman" w:eastAsia="Times New Roman" w:hAnsi="Times New Roman"/>
          <w:sz w:val="16"/>
          <w:szCs w:val="16"/>
          <w:color w:val="auto"/>
        </w:rPr>
        <w:t>Total amounts of income and expense line items presented in the statement of financial performance in which the effects of fair value or cash flow hedges are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p>
      <w:pPr>
        <w:spacing w:after="0" w:line="32" w:lineRule="exact"/>
        <w:rPr>
          <w:sz w:val="20"/>
          <w:szCs w:val="20"/>
          <w:color w:val="auto"/>
        </w:rPr>
      </w:pPr>
    </w:p>
    <w:p>
      <w:pPr>
        <w:ind w:left="20" w:right="860" w:firstLine="324"/>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Gain or (loss) on fair value hedging relationships in Subtopic 815-20 </w:t>
      </w:r>
      <w:r>
        <w:rPr>
          <w:rFonts w:ascii="Times New Roman" w:cs="Times New Roman" w:eastAsia="Times New Roman" w:hAnsi="Times New Roman"/>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line="238" w:lineRule="auto"/>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Interest contracts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00" w:hanging="161"/>
        <w:spacing w:after="0" w:line="245" w:lineRule="auto"/>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 transaction is no longer probable of occurring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9" w:right="200"/>
        <w:spacing w:after="0" w:line="248" w:lineRule="auto"/>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3343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420" w:type="dxa"/>
            <w:vAlign w:val="bottom"/>
            <w:tcBorders>
              <w:top w:val="single" w:sz="8" w:color="auto"/>
              <w:bottom w:val="single" w:sz="8" w:color="auto"/>
            </w:tcBorders>
          </w:tcPr>
          <w:p>
            <w:pPr>
              <w:spacing w:after="0"/>
              <w:rPr>
                <w:sz w:val="18"/>
                <w:szCs w:val="18"/>
                <w:color w:val="auto"/>
              </w:rPr>
            </w:pPr>
          </w:p>
        </w:tc>
      </w:tr>
      <w:tr>
        <w:trPr>
          <w:trHeight w:val="209"/>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r>
      <w:tr>
        <w:trPr>
          <w:trHeight w:val="354"/>
        </w:trPr>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24"/>
                <w:szCs w:val="24"/>
                <w:color w:val="auto"/>
              </w:rPr>
            </w:pP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864"/>
        </w:trPr>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648"/>
        </w:trPr>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bl>
    <w:p>
      <w:pPr>
        <w:spacing w:after="0" w:line="287" w:lineRule="exact"/>
        <w:rPr>
          <w:sz w:val="20"/>
          <w:szCs w:val="20"/>
          <w:color w:val="auto"/>
        </w:rPr>
      </w:pPr>
    </w:p>
    <w:p>
      <w:pPr>
        <w:jc w:val="center"/>
        <w:ind w:left="-19" w:right="200"/>
        <w:spacing w:after="0" w:line="248" w:lineRule="auto"/>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3343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420" w:type="dxa"/>
            <w:vAlign w:val="bottom"/>
            <w:tcBorders>
              <w:top w:val="single" w:sz="8" w:color="auto"/>
              <w:bottom w:val="single" w:sz="8" w:color="auto"/>
            </w:tcBorders>
          </w:tcPr>
          <w:p>
            <w:pPr>
              <w:spacing w:after="0"/>
              <w:rPr>
                <w:sz w:val="18"/>
                <w:szCs w:val="18"/>
                <w:color w:val="auto"/>
              </w:rPr>
            </w:pPr>
          </w:p>
        </w:tc>
      </w:tr>
      <w:tr>
        <w:trPr>
          <w:trHeight w:val="209"/>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r>
      <w:tr>
        <w:trPr>
          <w:trHeight w:val="354"/>
        </w:trPr>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tcPr>
          <w:p>
            <w:pPr>
              <w:spacing w:after="0"/>
              <w:rPr>
                <w:sz w:val="24"/>
                <w:szCs w:val="24"/>
                <w:color w:val="auto"/>
              </w:rPr>
            </w:pPr>
          </w:p>
        </w:tc>
        <w:tc>
          <w:tcPr>
            <w:tcW w:w="7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tcPr>
          <w:p>
            <w:pPr>
              <w:spacing w:after="0"/>
              <w:rPr>
                <w:sz w:val="24"/>
                <w:szCs w:val="24"/>
                <w:color w:val="auto"/>
              </w:rPr>
            </w:pPr>
          </w:p>
        </w:tc>
        <w:tc>
          <w:tcPr>
            <w:tcW w:w="82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864"/>
        </w:trPr>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648"/>
        </w:trPr>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2">
            <w:col w:w="5900" w:space="80"/>
            <w:col w:w="5260"/>
          </w:cols>
          <w:pgMar w:left="320" w:top="121" w:right="339" w:bottom="1440" w:gutter="0" w:footer="0" w:header="0"/>
        </w:sectPr>
      </w:pPr>
    </w:p>
    <w:p>
      <w:pPr>
        <w:spacing w:after="0" w:line="26" w:lineRule="exact"/>
        <w:rPr>
          <w:sz w:val="20"/>
          <w:szCs w:val="20"/>
          <w:color w:val="auto"/>
        </w:rPr>
      </w:pPr>
    </w:p>
    <w:p>
      <w:pPr>
        <w:jc w:val="both"/>
        <w:ind w:firstLine="8"/>
        <w:spacing w:after="0" w:line="281" w:lineRule="auto"/>
        <w:tabs>
          <w:tab w:leader="none" w:pos="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amortization of other discounts or premiums on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has no derivatives in a net liability position that would require the posting of collateral.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extension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contractual amounts of the Company’s financial instruments outstanding at September 30, 2024, and December 31, 2023,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278,923</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 off-balance-sheet credit exposures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for credit losses on unfunded commitments of $62.0 thousand and $3.9 million for the three and nine months ended September 30, 2024. The Company recorded a provision for credit losses on unfunded commitments of $35.0 thousand and a recapture of $69.8 thousand for the three and nine months ended September 30, 2023. The ACL on off-balance-sheet credit totaled $4.1 million and $254.2 thousand as of September 30, 2024 and December 31, 2023, and is included in accrued interest and other liabilities on the accompanying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for identical assets or liabilities in active markets that the entity has the ability to access as of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inputs that reflect our own assumptions that market participants would use in pricing an asset or liability.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investments are recorded at fair value on a recurring basis, with changes in fair value reported in net income. Through the Merger, at September 30, 2024, we acquired an investment in an S&amp;P 500 index mutual fund that is actively traded on an exchange, and we classify it as Level 1.</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the Merger, we acquired perpetual preferred stock of a bank holding company issued in October 2022 in a private offering. The perpetual preferred stock does not trade on an exchange or in an active over-the-counter market; therefore, we estimate its fair value using the present value of its future cash flows using observed discount rates of similar publicly-traded securities, adjusted for a liquidity premium. We classify the perpetual preferred stock as Level 2.</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are carried at cost, minus impairment, if any, plus or minus changes resulting from observable price changes in orderly transactions for an identical or similar investment. Such equity securities are included in Equity Investments on the accompanying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held-for-sale, at fair value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gridSpan w:val="9"/>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152,617</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655,646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655,646</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54,766</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277,476</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34,050</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153,694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70,635</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37,547</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152,617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1,283,814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1,436,431</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14,729</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w:t>
            </w:r>
          </w:p>
        </w:tc>
        <w:tc>
          <w:tcPr>
            <w:tcW w:w="0" w:type="dxa"/>
            <w:vAlign w:val="bottom"/>
          </w:tcPr>
          <w:p>
            <w:pPr>
              <w:spacing w:after="0"/>
              <w:rPr>
                <w:sz w:val="1"/>
                <w:szCs w:val="1"/>
                <w:color w:val="auto"/>
              </w:rPr>
            </w:pPr>
          </w:p>
        </w:tc>
      </w:tr>
      <w:tr>
        <w:trPr>
          <w:trHeight w:val="47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179,071</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463,203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42,238</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266,031</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34,885</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177,061</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77,936</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1,069,368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1,248,439</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certain assets recorded at fair value on a non-recurring basis in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dependent loans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for which the borrower is experiencing financial difficulty and repayment is dependent upon the operation or sale of collateral, are considered collateral-dependent. For collateral-dependent loans, the fair value is measured based on the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the collateral securing the loans, less estimated costs of disposal. Collateral may be in the form of real estate or business assets, including equipment, inventory, and accounts receivable. The vast majority of the collateral underlying collateral-dependent loans is real estate, the fair value of which is measured through an appraisal. The appraisals of the collateral supporting collateral-dependent loans may utilize a single valuation approach or a combination of approaches, including comparable sales and the income approach. Any fair value adjustments are recorded in the period incurred as provision for credit losses on the Consolidated Statements of Income.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less costs to sell when acquired, establishing a new cost basis. The fair value of foreclosed properties is determined on a nonrecurring basis generally utilizing current appraisals performed by an independent, licensed appraiser applying an income or market value approach using observable market data. Updated appraisals of foreclosed properties are generally obtained if the existing appraisal is more than 18 months old or more frequently if there is a known deterioration in value. However, if a current appraisal is not available, the original appraised value is discounted, as appropriate, to compensate for the estimated depreciation in the value of the real estate since the date of its original appraisal. Such discounts are generally estimated based upon management’s knowledge of sales of similar property within the applicable market area and its knowledge of other real estate market-related data as well as general economic trends. Upon foreclosure, any fair value adjustment is charged against the allowance for credit losses on loans. Subsequent fair value adjustments are recorded in the period incurred and included in other noninterest expense in the consolidated statements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that were measured at fair value on a non-recurring basis during the period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20" w:type="dxa"/>
            <w:vAlign w:val="bottom"/>
            <w:gridSpan w:val="15"/>
          </w:tcPr>
          <w:p>
            <w:pPr>
              <w:ind w:left="124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 Using:</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477"/>
        </w:trPr>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gridSpan w:val="15"/>
          </w:tcPr>
          <w:p>
            <w:pPr>
              <w:ind w:left="124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4"/>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Level 3 Fair Value Measurements for assets measured at fair value on a non-recurring basis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 (in thousands except for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10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8"/>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39"/>
        </w:trPr>
        <w:tc>
          <w:tcPr>
            <w:tcW w:w="2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00" w:type="dxa"/>
            <w:vAlign w:val="bottom"/>
          </w:tcPr>
          <w:p>
            <w:pPr>
              <w:spacing w:after="0"/>
              <w:rPr>
                <w:sz w:val="12"/>
                <w:szCs w:val="12"/>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3"/>
        </w:trPr>
        <w:tc>
          <w:tcPr>
            <w:tcW w:w="2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275"/>
        </w:trPr>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8"/>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financial instruments not carried at fair value, at September 30, 2024, and December 31, 2023,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gridSpan w:val="9"/>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44,902</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Interest-earning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246,863</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5,506,220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5,412,064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5,412,064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32,791</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1,392,123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1,392,123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1,392,123</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5,196,728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5,196,728</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320,203</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93,532</w:t>
            </w:r>
          </w:p>
        </w:tc>
        <w:tc>
          <w:tcPr>
            <w:tcW w:w="0" w:type="dxa"/>
            <w:vAlign w:val="bottom"/>
          </w:tcPr>
          <w:p>
            <w:pPr>
              <w:spacing w:after="0"/>
              <w:rPr>
                <w:sz w:val="1"/>
                <w:szCs w:val="1"/>
                <w:color w:val="auto"/>
              </w:rPr>
            </w:pPr>
          </w:p>
        </w:tc>
      </w:tr>
      <w:tr>
        <w:trPr>
          <w:trHeight w:val="135"/>
        </w:trPr>
        <w:tc>
          <w:tcPr>
            <w:tcW w:w="35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16,950</w:t>
            </w:r>
          </w:p>
        </w:tc>
        <w:tc>
          <w:tcPr>
            <w:tcW w:w="0" w:type="dxa"/>
            <w:vAlign w:val="bottom"/>
          </w:tcPr>
          <w:p>
            <w:pPr>
              <w:spacing w:after="0"/>
              <w:rPr>
                <w:sz w:val="1"/>
                <w:szCs w:val="1"/>
                <w:color w:val="auto"/>
              </w:rPr>
            </w:pPr>
          </w:p>
        </w:tc>
      </w:tr>
      <w:tr>
        <w:trPr>
          <w:trHeight w:val="195"/>
        </w:trPr>
        <w:tc>
          <w:tcPr>
            <w:tcW w:w="3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w:t>
            </w:r>
          </w:p>
        </w:tc>
        <w:tc>
          <w:tcPr>
            <w:tcW w:w="0" w:type="dxa"/>
            <w:vAlign w:val="bottom"/>
          </w:tcPr>
          <w:p>
            <w:pPr>
              <w:spacing w:after="0"/>
              <w:rPr>
                <w:sz w:val="1"/>
                <w:szCs w:val="1"/>
                <w:color w:val="auto"/>
              </w:rPr>
            </w:pPr>
          </w:p>
        </w:tc>
      </w:tr>
      <w:tr>
        <w:trPr>
          <w:trHeight w:val="44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9"/>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2,062,455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1,897,459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1,897,459</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830,320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830,320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830,320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2,167,218</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271,716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by component, net of tax,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September 30,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(100,430)</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(75,758)</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(126,177)</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(20,323)</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(138,267)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(146,159)</w:t>
            </w:r>
          </w:p>
        </w:tc>
        <w:tc>
          <w:tcPr>
            <w:tcW w:w="0" w:type="dxa"/>
            <w:vAlign w:val="bottom"/>
          </w:tcPr>
          <w:p>
            <w:pPr>
              <w:spacing w:after="0"/>
              <w:rPr>
                <w:sz w:val="1"/>
                <w:szCs w:val="1"/>
                <w:color w:val="auto"/>
              </w:rPr>
            </w:pPr>
          </w:p>
        </w:tc>
      </w:tr>
      <w:tr>
        <w:trPr>
          <w:trHeight w:val="749"/>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29,502</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(75,758)</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(139,495)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(138,267)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each component of accumulated other comprehensive income (loss) for the three and nine months ended September 30, 2024, and September 30, 2023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 Comprehensive Income</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1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Details about Accumulated Other</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2"/>
                <w:szCs w:val="12"/>
                <w:color w:val="auto"/>
              </w:rPr>
            </w:pPr>
          </w:p>
        </w:tc>
        <w:tc>
          <w:tcPr>
            <w:tcW w:w="180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Affected Line Item in the</w:t>
            </w:r>
          </w:p>
        </w:tc>
        <w:tc>
          <w:tcPr>
            <w:tcW w:w="0" w:type="dxa"/>
            <w:vAlign w:val="bottom"/>
          </w:tcPr>
          <w:p>
            <w:pPr>
              <w:spacing w:after="0"/>
              <w:rPr>
                <w:sz w:val="1"/>
                <w:szCs w:val="1"/>
                <w:color w:val="auto"/>
              </w:rPr>
            </w:pPr>
          </w:p>
        </w:tc>
      </w:tr>
      <w:tr>
        <w:trPr>
          <w:trHeight w:val="21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Components</w:t>
            </w:r>
          </w:p>
        </w:tc>
        <w:tc>
          <w:tcPr>
            <w:tcW w:w="1560" w:type="dxa"/>
            <w:vAlign w:val="bottom"/>
            <w:gridSpan w:val="3"/>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0" w:type="dxa"/>
            <w:vAlign w:val="bottom"/>
          </w:tcPr>
          <w:p>
            <w:pPr>
              <w:spacing w:after="0"/>
              <w:rPr>
                <w:sz w:val="1"/>
                <w:szCs w:val="1"/>
                <w:color w:val="auto"/>
              </w:rPr>
            </w:pPr>
          </w:p>
        </w:tc>
      </w:tr>
      <w:tr>
        <w:trPr>
          <w:trHeight w:val="211"/>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9"/>
        </w:trPr>
        <w:tc>
          <w:tcPr>
            <w:tcW w:w="3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162"/>
        </w:trPr>
        <w:tc>
          <w:tcPr>
            <w:tcW w:w="3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gridSpan w:val="2"/>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Realized gains (losses) on securities</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Pr>
          <w:p>
            <w:pPr>
              <w:spacing w:after="0"/>
              <w:rPr>
                <w:sz w:val="14"/>
                <w:szCs w:val="14"/>
                <w:color w:val="auto"/>
              </w:rPr>
            </w:pPr>
          </w:p>
        </w:tc>
        <w:tc>
          <w:tcPr>
            <w:tcW w:w="920" w:type="dxa"/>
            <w:vAlign w:val="bottom"/>
            <w:vMerge w:val="restart"/>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Net gains/(losses) on</w:t>
            </w:r>
          </w:p>
        </w:tc>
        <w:tc>
          <w:tcPr>
            <w:tcW w:w="0" w:type="dxa"/>
            <w:vAlign w:val="bottom"/>
          </w:tcPr>
          <w:p>
            <w:pPr>
              <w:spacing w:after="0"/>
              <w:rPr>
                <w:sz w:val="1"/>
                <w:szCs w:val="1"/>
                <w:color w:val="auto"/>
              </w:rPr>
            </w:pPr>
          </w:p>
        </w:tc>
      </w:tr>
      <w:tr>
        <w:trPr>
          <w:trHeight w:val="213"/>
        </w:trPr>
        <w:tc>
          <w:tcPr>
            <w:tcW w:w="31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securities</w:t>
            </w:r>
          </w:p>
        </w:tc>
        <w:tc>
          <w:tcPr>
            <w:tcW w:w="0" w:type="dxa"/>
            <w:vAlign w:val="bottom"/>
          </w:tcPr>
          <w:p>
            <w:pPr>
              <w:spacing w:after="0"/>
              <w:rPr>
                <w:sz w:val="1"/>
                <w:szCs w:val="1"/>
                <w:color w:val="auto"/>
              </w:rPr>
            </w:pPr>
          </w:p>
        </w:tc>
      </w:tr>
      <w:tr>
        <w:trPr>
          <w:trHeight w:val="165"/>
        </w:trPr>
        <w:tc>
          <w:tcPr>
            <w:tcW w:w="318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Realized gains (losses) on basis adjustment</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for fair value hedges</w:t>
            </w: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gridSpan w:val="2"/>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reclassifications, net of tax</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Operating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from the Consolidated Statements of Income for the three and nine months ended September 30, 2024, and September 30, 2023,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assessment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 tax credit amortization</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related</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fees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 card, &amp; network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fees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franchise tax</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Donation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 intangible amortization</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19,042</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Merger-related expenses of $11.3 million for the nine months ended September 30, 2024, including $1.8 million of which were incurred during the three months ended September 30, 2024. These expenses are included in the consultant fees, audit fees, legal expense, donation, and other line items detailed in other operating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share-based incentive plan described below that allows it to offer a variety of equity compensation awards subject to approval. Total compensation cost that has been charged against income for the share-based awards granted was $566.9 thousand and $610.1 thousand for the three months ended September 30, 2024, and September 30, 2023, respectively. The total income tax benefit was $119.0 thousand and $128.1 thousand for the three months ended September 30, 2024, and September 30, 2023,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compensation cost that has been charged against income for the share-based awards granted was $2.0 million and $1.8 million for the nine months ended September 30, 2024, and September 30, 2023, respectively. The total income tax benefit was $410.5 thousand and $377.6 thousand for the nine months ended September 30, 2024, and September 30,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Stock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the Company’s Stock Incentive Plan (“2019 SIP”) was approved by the Bank’s Board of Directors. The 2019 SIP provides for the issuance of share-based awards to directors and employees of the Company. The 2019 SIP authorized 240,000 units to be issued, and the Company’s practice is using authorized unissued shares to satisfy these share-based awards. Each unit represents a contingent right to receive one common share or an equivalent amount of cash, or a combination of the two, at the discretion of the Company. Currently, we have a sufficient number of authorized unissued shares to satisfy all outstanding equity awards.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Stock Incentive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a new stock incentive plan (“2023 SIP”) was approved by the Company’s Board of Directors and shareholders. Upon the 2023 SIP’s shareholder approval date of March 30, 2023, no further share-based awards will be issued under the 2019 SIP. The 2023 SIP provides for the issuance of share-based awards to directors and employees of the Company. The 2023 SIP authorized the issuance of 250,000 shares, subject to an annual increase in available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64,365 and 24,705 shares were issued during the nine months ended September 30, 2024, and September 30, 2023, respectively.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time-based RSUs, the fair value was determined by using the closing stock price on the date prior to the grant date. These RSUs vest over three to five years.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from time to time, approves performance-based RSU awards that may be earned between a three to five year performance period. Whether or not units are earned at the end of the performance period will be determined based on the achievement of performance and/or market targets (e.g., market capitalization target) over the performance period. If the conditions are achieved, the grant recipient will receive 100% of the units granted as these awards do not provide for a multiplier effect. The performance/market targets are determined by the Board of Directors.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for performance-based RSU awards was determined by using a Monte Carlo simulation analysis to estimate the achievement of the market capitalization target determined by the Board of Directors. The Monte Carlo simulation analysis required the following inputs: (1) expected term, (2) expected volatility, (3) 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all the Company’s RSU awards issued under both the 2019 SIP and 2023 SIP: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$3.6 million of total unrecognized compensation costs related to non-vested shares granted under both the 2019 SIP and 2023 SIP. The cost is expected to be recognized over a weighted average period of 1.31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Employee Stock Purchase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a new employee stock purchase plan (“2023 ESPP”) was approved by the Company’s Board of Directors and shareholders. Upon the 2023 ESPP’s shareholder approval date of March 30, 2023, the 2023 ESPP reserved 250,000 shares of common stock for issuance to employees. At September 30, 2024, 237,943 shares were available to be issued. Whole shares are sold to participants in the 2023 ESPP at 85% of the lower of the stock price at the beginning or end of each semi-annual offering period. The first semi-annual offering period began on September 1, 2023, and the current semi-annual offering period began on September 1, 2024. Eligible employees may purchase shares in an amount that does not exceed the lesser of the IRS limit of $25,000 or 15% of their annual salary.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for the 2023 ESPP at the end of September 30,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9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rPr>
              <w:t>12,057</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price of shares purchased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center"/>
              <w:ind w:left="875"/>
              <w:spacing w:after="0"/>
              <w:rPr>
                <w:sz w:val="20"/>
                <w:szCs w:val="20"/>
                <w:color w:val="auto"/>
              </w:rPr>
            </w:pPr>
            <w:r>
              <w:rPr>
                <w:rFonts w:ascii="Times New Roman" w:cs="Times New Roman" w:eastAsia="Times New Roman" w:hAnsi="Times New Roman"/>
                <w:sz w:val="18"/>
                <w:szCs w:val="18"/>
                <w:color w:val="auto"/>
                <w:w w:val="98"/>
              </w:rPr>
              <w:t>44.93</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recognized (in 000's)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875"/>
              <w:spacing w:after="0"/>
              <w:rPr>
                <w:sz w:val="20"/>
                <w:szCs w:val="20"/>
                <w:color w:val="auto"/>
              </w:rPr>
            </w:pPr>
            <w:r>
              <w:rPr>
                <w:rFonts w:ascii="Times New Roman" w:cs="Times New Roman" w:eastAsia="Times New Roman" w:hAnsi="Times New Roman"/>
                <w:sz w:val="18"/>
                <w:szCs w:val="18"/>
                <w:color w:val="auto"/>
                <w:w w:val="98"/>
              </w:rPr>
              <w:t>127.2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 (“SAR”)</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Upon completion of the Merger and as a part of the Merger Agreement, Burke &amp; Herbert assumed SAR awards that had been issued to existing employees that would continue with the same terms and conditions adjusted for the exchange ratio of 0.5043. As part of the Merger, a significant portion of SAR awards accelerated their vesting and thus did not require any future service component. Management used the Black-Scholes option-pricing model to fair value these accelerated SAR awards and included this value as part of the purchase price consideration discussed in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used the Black-Scholes option-pricing model to fair value the non-accelerated SAR awards that were not fully vested. The SAR awards that have been assumed by the Company, were issued in 2019, 2021, and 2023, and these SAR awards become exercisable ratably over seven years (14.3% per year) and contractually expire ten years after the grant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Merger, the Company determined the fair value per SAR using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2019 SAR</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2021 SAR</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 SAR</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years to full vesting</w:t>
            </w:r>
          </w:p>
        </w:tc>
        <w:tc>
          <w:tcPr>
            <w:tcW w:w="16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7 years</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7 years</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14.56</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common stock volatility</w:t>
            </w: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contractual life (in years)</w:t>
            </w:r>
          </w:p>
        </w:tc>
        <w:tc>
          <w:tcPr>
            <w:tcW w:w="16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SAR and option activity during the nine months ended September 30, 2024,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69"/>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expect per share</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 Fair Value</w:t>
            </w:r>
          </w:p>
        </w:tc>
        <w:tc>
          <w:tcPr>
            <w:tcW w:w="19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220" w:type="dxa"/>
            <w:vAlign w:val="bottom"/>
          </w:tcPr>
          <w:p>
            <w:pPr>
              <w:spacing w:after="0"/>
              <w:rPr>
                <w:sz w:val="15"/>
                <w:szCs w:val="15"/>
                <w:color w:val="auto"/>
              </w:rPr>
            </w:pPr>
          </w:p>
        </w:tc>
        <w:tc>
          <w:tcPr>
            <w:tcW w:w="15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information</w:t>
            </w:r>
          </w:p>
        </w:tc>
        <w:tc>
          <w:tcPr>
            <w:tcW w:w="10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1900" w:type="dxa"/>
            <w:vAlign w:val="bottom"/>
            <w:gridSpan w:val="3"/>
            <w:vMerge w:val="continue"/>
          </w:tcPr>
          <w:p>
            <w:pPr>
              <w:spacing w:after="0"/>
              <w:rPr>
                <w:sz w:val="21"/>
                <w:szCs w:val="21"/>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(Yrs.)</w:t>
            </w:r>
          </w:p>
        </w:tc>
        <w:tc>
          <w:tcPr>
            <w:tcW w:w="22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(or acquired)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299,556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September 30, 2024</w:t>
            </w:r>
          </w:p>
        </w:tc>
        <w:tc>
          <w:tcPr>
            <w:tcW w:w="10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233,020</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SARs:</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September 30, 2024</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193,613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total fair value of SARs exercised was $1.1 million during the nine months ended September 30, 2024. The total fair value of SARs vested was $47.1 thousand during the nine months ended September 30, 2024. As of September 30, 2024, there was $583.2 thousand of total unrecognized compensation costs related to non-vested SARs acquired through the Merger. The cost is expected to be recognized over a weighted average period of 2.53 years.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Basic earnings per share excludes dilution and is computed by dividing net income applicable to common shares by the weighted average number of common shares outstanding for the period. Diluted earnings per share reflects the potential impact of contingently issuable shares. The Company uses the treasury stock method as described by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each dilutive instrument when computing diluted earnings per share.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shares (in thousands)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17,614</w:t>
            </w:r>
          </w:p>
        </w:tc>
      </w:tr>
      <w:tr>
        <w:trPr>
          <w:trHeight w:val="256"/>
        </w:trPr>
        <w:tc>
          <w:tcPr>
            <w:tcW w:w="5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14,944,962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7,427,817</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effect of dilutive shares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78,692</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15,040,145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7,499,278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11,591,783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7,506,509</w:t>
            </w:r>
          </w:p>
        </w:tc>
      </w:tr>
      <w:tr>
        <w:trPr>
          <w:trHeight w:val="236"/>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bl>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the nine months ended September 30, 2024, the options effect of dilutive shares is anti-dilutive and not considered in calculating diluted EPS. Stock awards equivalent to 27,418 and 1,368 shares of common stock were not considered in computing diluted earnings per common share for the three months ended September 30, 2024, and September 30, 2023, respectively, because they are antidilutive. Stock awards equivalent to 51,094 and zero shares of common stock are not considered in computing diluted earnings per share for the nine months ended September 30, 2024, and September 30, 2023, respectively, because they are antidilutive.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May 3, 2024, Burke &amp; Herbert completed the Merger with Summit,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Summit’s 6.0% Fixed Rate Non-Cumulative Perpetual Preferred Stock, Series 2021 issued and outstanding was converted into the right to receive a share of Burke &amp; Herbert Series 2021 Preferred Stock.</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Summit’s results of operations from May 3, 2024, were included in the Company’s results beginning with reporting as of June 30, 2024. Net interest income and pre-tax net income for Summit were estimated to be $63.0 million and $68.5 million, respectively, since the date of the acquisition through September 30, 2024, and are included in the Company’s Consolidated Statement of Income. Pre-tax net income for Summit only includes income and expense that are still being recorded on Summit’s core operating system. As the Company is merging data and processes, certain legacy Summit expenses, including occupancy and salaries, are now merged within the Company’s core system. Merger-related costs of $27.5 million are included in non-interest expense in the Company’s income statement for the nine months ended, September 30, 2024. A portion of these Merger-related costs is captured in Other Operating Non-Interest Expense as further description in </w:t>
      </w:r>
      <w:r>
        <w:rPr>
          <w:rFonts w:ascii="Times New Roman" w:cs="Times New Roman" w:eastAsia="Times New Roman" w:hAnsi="Times New Roman"/>
          <w:sz w:val="18"/>
          <w:szCs w:val="18"/>
          <w:u w:val="single" w:color="auto"/>
          <w:color w:val="0000FF"/>
        </w:rPr>
        <w:t>Note 13 - Other Operating Expense</w:t>
      </w:r>
      <w:r>
        <w:rPr>
          <w:rFonts w:ascii="Times New Roman" w:cs="Times New Roman" w:eastAsia="Times New Roman" w:hAnsi="Times New Roman"/>
          <w:sz w:val="18"/>
          <w:szCs w:val="18"/>
          <w:color w:val="auto"/>
        </w:rPr>
        <w:t xml:space="preserve"> and an additional $16.3 million of such Merger-related costs is captured in Salaries and Wages, Pensions and Other Employee Benefits, Occupancy, and Equipment rentals, depreciation and maintenance. These costs captured in those line items represent change-in-control payments, acceleration of benefit due to the change-in-control, software breakage, and other lease breakage fees. The fair value of the common shares issued as part of the consideration paid for Summit was determined in the basis of the closing price of the Company’s common shares on the date of completion of the Merger.</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accounted for the Merger using the acquisition method of accounting in accordance with ASC 805, Business Combinations, and accordingly, the assets and liabilities of Summit were recorded at their respective fair values on the date of completion of the Merger. The fair values of assets and liabilities are preliminary and subject to refinement for up to one year after the acquisition date as additional information relative to the acquisition date fair values becomes available. We recognized preliminary goodwill of $32.8 million in connection with the acquisition, which is not amortized for financial reporting purposes, but is subject to annual impairment testing. The goodwill arising from the transaction is not deductible for tax purposes and consisted largely of synergies and the cost savings resulting from the combining of the operations of the companies.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deposit intangible represents the value of long-term deposit relationships acquired in this transaction and will be amortized over an estimated weighted average life of 7 years using an accelerated method which approximates the estimated run-off of the acquired deposits. The fair value of intangible assets related to core deposits was $68.8 million on the date of acquisition.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purchased financial assets with credit deterioration was $380.8 million on the date of the acquisition. The gross contractual amounts receivable relating to the purchased financial assets with credit deterioration was $442.3 million. The Company estimates, on the date of the acquisition, that $23.9 million of the contractual cash flows specific to the purchased financial assets with credit deterioration will not be collected.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total consideration paid for Summit on May 3, 2024, the fair values of the assets acquired and liabilities assumed and the resulting preliminary goodwill at the acquisition 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except share information)</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8"/>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9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Summit Financial Group, Inc.</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14,686,738</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0.5043</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Burke &amp; Herbert common stock to be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7,406,522</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6"/>
        </w:trPr>
        <w:tc>
          <w:tcPr>
            <w:tcW w:w="9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Price per share of Burke &amp; Herbert common stock issued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consideration for common stock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382,656</w:t>
            </w:r>
          </w:p>
        </w:tc>
      </w:tr>
      <w:tr>
        <w:trPr>
          <w:trHeight w:val="257"/>
        </w:trPr>
        <w:tc>
          <w:tcPr>
            <w:tcW w:w="9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Average 10 day closing price used to pay fractional common stock</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fractional shares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Implied value of stock appreciation rights ("SARs") and restricted stock units</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30"/>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 issued by Burke &amp; Herbert</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r>
      <w:tr>
        <w:trPr>
          <w:trHeight w:val="223"/>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Fully diluted transaction value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397,445</w:t>
            </w:r>
          </w:p>
        </w:tc>
      </w:tr>
      <w:tr>
        <w:trPr>
          <w:trHeight w:val="237"/>
        </w:trPr>
        <w:tc>
          <w:tcPr>
            <w:tcW w:w="9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r>
      <w:tr>
        <w:trPr>
          <w:trHeight w:val="223"/>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Preliminary Goodwill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32,783</w:t>
            </w:r>
          </w:p>
        </w:tc>
      </w:tr>
      <w:tr>
        <w:trPr>
          <w:trHeight w:val="979"/>
        </w:trPr>
        <w:tc>
          <w:tcPr>
            <w:tcW w:w="94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9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Recorded</w:t>
            </w:r>
          </w:p>
        </w:tc>
        <w:tc>
          <w:tcPr>
            <w:tcW w:w="240" w:type="dxa"/>
            <w:vAlign w:val="bottom"/>
          </w:tcPr>
          <w:p>
            <w:pPr>
              <w:spacing w:after="0"/>
              <w:rPr>
                <w:sz w:val="19"/>
                <w:szCs w:val="19"/>
                <w:color w:val="auto"/>
              </w:rPr>
            </w:pPr>
          </w:p>
        </w:tc>
        <w:tc>
          <w:tcPr>
            <w:tcW w:w="18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29"/>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by Summit</w:t>
            </w:r>
          </w:p>
        </w:tc>
        <w:tc>
          <w:tcPr>
            <w:tcW w:w="240" w:type="dxa"/>
            <w:vAlign w:val="bottom"/>
          </w:tcPr>
          <w:p>
            <w:pPr>
              <w:spacing w:after="0"/>
              <w:rPr>
                <w:sz w:val="19"/>
                <w:szCs w:val="19"/>
                <w:color w:val="auto"/>
              </w:rPr>
            </w:pPr>
          </w:p>
        </w:tc>
        <w:tc>
          <w:tcPr>
            <w:tcW w:w="18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May 3, 2024</w:t>
            </w:r>
          </w:p>
        </w:tc>
        <w:tc>
          <w:tcPr>
            <w:tcW w:w="240" w:type="dxa"/>
            <w:vAlign w:val="bottom"/>
          </w:tcPr>
          <w:p>
            <w:pPr>
              <w:spacing w:after="0"/>
              <w:rPr>
                <w:sz w:val="20"/>
                <w:szCs w:val="20"/>
                <w:color w:val="auto"/>
              </w:rPr>
            </w:pPr>
          </w:p>
        </w:tc>
        <w:tc>
          <w:tcPr>
            <w:tcW w:w="18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 consideration</w:t>
            </w: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397,445</w:t>
            </w:r>
          </w:p>
        </w:tc>
      </w:tr>
      <w:tr>
        <w:trPr>
          <w:trHeight w:val="189"/>
        </w:trPr>
        <w:tc>
          <w:tcPr>
            <w:tcW w:w="20" w:type="dxa"/>
            <w:vAlign w:val="bottom"/>
          </w:tcPr>
          <w:p>
            <w:pPr>
              <w:spacing w:after="0"/>
              <w:rPr>
                <w:sz w:val="16"/>
                <w:szCs w:val="16"/>
                <w:color w:val="auto"/>
              </w:rPr>
            </w:pPr>
          </w:p>
        </w:tc>
        <w:tc>
          <w:tcPr>
            <w:tcW w:w="5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Recognized amounts of identifiable assets acquired and liabilities assumed</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held-to-maturity, at amortized cost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86,143</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gross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3,554,634</w:t>
            </w:r>
          </w:p>
        </w:tc>
      </w:tr>
      <w:tr>
        <w:trPr>
          <w:trHeight w:val="230"/>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(23,480)</w:t>
            </w: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 of allowance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3,531,154</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75,531</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94,703</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4,657,845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4,543,314</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3,696,936</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323,610</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debentures and trust preferred securities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107,067</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reserve liability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47,537</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4,205,444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4,178,652</w:t>
            </w:r>
          </w:p>
        </w:tc>
      </w:tr>
      <w:tr>
        <w:trPr>
          <w:trHeight w:val="223"/>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452,401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364,662</w:t>
            </w: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Preliminary Goodwill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32,783</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 Merger, all of the securities, held-to-maturity were reclassified as available-for-sale.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supplemental pro forma information as if the Merger had occurred on January 1, 2023. The unaudited pro forma information includes adjustments for interest income on loans and securities acquired, amortization of intangibles arising from the transaction, depreciation expense on property acquired, interest expense on deposits acquired, and the related income tax effects. The pro forma financial information is not necessarily indicative of the results of operations that would have occurred had the transaction been effected on the assumed dates.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16"/>
                <w:szCs w:val="16"/>
                <w:color w:val="auto"/>
              </w:rPr>
            </w:pPr>
          </w:p>
        </w:tc>
      </w:tr>
      <w:tr>
        <w:trPr>
          <w:trHeight w:val="25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22"/>
                <w:szCs w:val="2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06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210,377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219,460</w:t>
            </w:r>
          </w:p>
        </w:tc>
      </w:tr>
      <w:tr>
        <w:trPr>
          <w:trHeight w:val="270"/>
        </w:trPr>
        <w:tc>
          <w:tcPr>
            <w:tcW w:w="4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goodwill for the three and nine months ended September 30, 2024, and September 30, 2023,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0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4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10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2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the Company recorded $32.8 million of preliminary goodwill associated with the acquisition of Summit. See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 xml:space="preserve"> to the consolidated financial statements for additional detail regarding this transaction.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performs the annual goodwill impairment test on September 30 every year.</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intangible assets consist of the core deposit intangible which is being amortized on an accelerated basis over its estimated useful life of 7 years. During the nine months ended, September 30, 2024, the Company recorded $68.8 million of core deposit intangibles associated with the acquisition of Summit.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carrying amounts and accumulated amortization of other intangible assets for the nine months ended September 30, 2024,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1"/>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 intangible acquired</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68,760</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deposit intangible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61,598</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other intangible assets for possible impairment whenever events or changes in circumstances indicate that the carrying amounts may not be recoverable. Total amortization expense associated with intangible assets was $7.2 million for the nine months ended September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future years is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23"/>
        </w:trPr>
        <w:tc>
          <w:tcPr>
            <w:tcW w:w="468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three months ending, December 31, 2024</w:t>
            </w:r>
          </w:p>
        </w:tc>
        <w:tc>
          <w:tcPr>
            <w:tcW w:w="4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61,598</w:t>
            </w:r>
          </w:p>
        </w:tc>
      </w:tr>
      <w:tr>
        <w:trPr>
          <w:trHeight w:val="898"/>
        </w:trPr>
        <w:tc>
          <w:tcPr>
            <w:tcW w:w="4680" w:type="dxa"/>
            <w:vAlign w:val="bottom"/>
          </w:tcPr>
          <w:p>
            <w:pPr>
              <w:spacing w:after="0"/>
              <w:rPr>
                <w:sz w:val="24"/>
                <w:szCs w:val="24"/>
                <w:color w:val="auto"/>
              </w:rPr>
            </w:pPr>
          </w:p>
        </w:tc>
        <w:tc>
          <w:tcPr>
            <w:tcW w:w="426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7"/>
        </w:trPr>
        <w:tc>
          <w:tcPr>
            <w:tcW w:w="46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consolidated financial condition and results of operations of the Company should be read in conjunction with the preceding consolidated financial statements and notes presented in </w:t>
      </w:r>
      <w:r>
        <w:rPr>
          <w:rFonts w:ascii="Times New Roman" w:cs="Times New Roman" w:eastAsia="Times New Roman" w:hAnsi="Times New Roman"/>
          <w:sz w:val="18"/>
          <w:szCs w:val="18"/>
          <w:u w:val="single" w:color="auto"/>
          <w:color w:val="0000FF"/>
        </w:rPr>
        <w:t>Item 1. Financial Statements</w:t>
      </w:r>
      <w:r>
        <w:rPr>
          <w:rFonts w:ascii="Times New Roman" w:cs="Times New Roman" w:eastAsia="Times New Roman" w:hAnsi="Times New Roman"/>
          <w:sz w:val="18"/>
          <w:szCs w:val="18"/>
          <w:color w:val="auto"/>
        </w:rPr>
        <w:t xml:space="preserve"> of this Form 10-Q, as well as with the audited consolidated financial statements and notes for the year ended December 31, 2023, included in our Form 10-K filed with the SEC on March 22, 2024, and as amended on April 12, 2024 (the “Form 10-K”).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statements that we believe are, or may be considered to be, “forward-looking statements”. 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Furthermore, forward-looking statements may be included in various filings that we make with the SEC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Important risks, uncertainties, and other factors which may cause the actual results, performance, or achievements of the Company, as applicable, to be materially different from any expected future results, performance, or achievements expressed or implied by such forward-looking information and statements include, but are not limited to, the risks described in Item 1A, under the caption “Risk Factors” in our Form 10-K, and in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in this Form 10-Q.</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Readers are cautioned not to place undue reliance on any forward-looking statements contained in this Form 10-Q,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and will continue to make, various forward-looking statements with respect to financial and business matters. Comments regarding our business that are not historical facts are considered forward-looking statements that involve inherent risks and uncertainties. Actual results may differ materially from those contained in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on September 14, 2022, to serve as the holding company for the Bank. Burke &amp; Herbert commenced operations as a bank holding company on October 1, 2022, following a reorganization transaction in which it became the Bank’s holding company. This transaction was treated as an internal reorganization as all shareholders of the Bank became shareholders of Burke &amp; Herbert. In September 2023, Burke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8"/>
        <w:spacing w:after="0" w:line="266" w:lineRule="auto"/>
        <w:tabs>
          <w:tab w:leader="none" w:pos="2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Herbert elected financial holding company status. As a financial holding company, Burke &amp; Herbert is subject to regulation and supervision by the Federal Reserve. Burke &amp; Herbert has no material operations and owns 100% of the Bank. The Bank is a Virginia chartered commercial bank that commenced operations in 1852. The Bank is supervised and regulated by the FDIC and the Virginia BFI.</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75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we had total consolidated assets of $7.9 billion, gross loans of $5.6 billion, total deposits of $6.6 billion, and total shareholders’ equity of $738.1 million. As of September 30, 2024, we had 857 full-time employees. None of our employees are covered by a collective bargaining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the Closing Date, Burke &amp; Herbert completed the Merger with Summit, pursuant to the August 24, 2023 Merger Agreement.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Burke &amp; Herbert through the Merger, and (ii) immediately following the Merger, SCB merged with and into the Bank, with the Bank as the surviving bank.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the Summit Series 2021 Preferred Stock issued and outstanding was converted into the right to receive a share of the new Burke &amp; Herbert Series 2021 Preferred Stock. Summit results of operations are included from the Closing Date forward.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accounting and reporting policies conform to accounting principles generally accepted in the United States of America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business combination and goodwill,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determination of the allowance for credit losses, and income taxes to be the accounting areas that require the most subjective or complex judgments, and as such, could be most subject to revision as new information becomes available.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and Goodwill</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acquisitions, we are required to record the assets acquired, including identified intangible assets such as core deposit intangibles, and the liabilities assumed at their respective fair values. The difference between consideration and the net fair value of assets acquired is recorded as goodwill. Management uses significant estimates and assumptions to value such items, including projected cash flows, repayment rates, default rates and losses assuming default, discount rates, and realizable collateral values. The allowance for credit losses for PCD loans is recognized within acquisition accounting. The allowance for credit losses for non-PCD assets is recognized as provision for credit losses in the same reporting period as the acquisition. Fair value adjustments are amortized or accreted into the income statement over the estimated life of the acquired assets or assumed liabilities. The purchase date valuations and any subsequent adjustments determine the amount of goodwill recognized in connection with the acquisition. The use of different assumptions could produce significantly different valuation results, which could have material positive or negative effects on our results of operations. The carrying value of goodwill recorded must be reviewed for impairment on an annual basis, as well as on an interim basis if events or changes indicate that the asset might be impaired. An impairment loss must be recognized for any excess of carrying value over fair value of the goodwill.</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determination of fair values is based on valuations using management’s assumptions of future growth rates, future attrition, discount rates, multiples of earnings or other relevant factors. In addition, we engage third party specialists to assist in the development of fair values. Preliminary estimates of fair values may be adjusted for a period of time subsequent to the acquisition date if new information is obtained about facts and circumstances that existed as of the acquisition date that, if known, would have affected the measurement of the amounts recognized as of that date. Adjustments recorded during this period are recognized in the current reporting period. Management uses various valuation methodologies to estimate the fair value of these assets and liabilities, and often involves a significant degree of judgment, particularly when liquid markets do not exist for the particular item being valued. Examples of such items include loans, deposits, identifiable intangible assets, and certain other assets and liabilities.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these factors, as well as downturns in economic or business conditions, could have a significant adverse impact on the carrying value of assets, including goodwill and liabilities, which could result in impairment losses affecting our financial statements as a whole and our banking subsidiary in which the goodwill resides.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all expected credit losses for financial assets held at the reporting date based on historical experience, current conditions, and projections including reasonable and supportable forecasts, reversion, and post-reversion forecasts. It is a valuation account that is deducted from the financial assets’ amortized cost basis to present the net amount expected to be collected on the financial asset. Financial assets are charged-off against the allowance when management believes the uncollectibility of a financial asset is confirmed. Expected recoveries do not exceed the aggregate of amounts previously charged-off and expected to be charged-off.</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 allowance balance using relevant available information from internal and external sources. Historical credit loss experience provides the basis for the estimation of expected credit losses; adjustments to historical loss information are made for differences in current loan-specific risk characteristics, such as differences in underwriting standards, portfolio mix, and delinquency levels, as well as for changes in environmental conditions, such as changes in unemployment rates, property values, or other relevant factors. The model methodology used for funded credits, along with taking into consideration the probability of drawdowns or funding on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using an internally developed model that produces an estimate of the allowance for credit losses as the lifetime expected credit losses of the loan portfolio. This model uses a remaining useful life or WARM method within defined-contractual terms by federal call codes. The model forecasts net charge-off rates by call codes using ordinary least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squares (“OLS”) regression models that use macroeconomic variables to forecast the Company’s and peer banks’ net charge-off rates. These models are used to produce reasonable and supportable forecasts of net charge-off rates. The macroeconomic variables utilized by the Company include variables that meet defined criteria in forecasting credit losses for our loan portfolio. These variables include, but are not limited to, unemployment rates, housing and commercial real estate prices, gross domestic product levels, equity market conditions or interest rates, as well as other variables that are portfolio-specific, such as those pertaining to commercial real estate or to residential loan portfolios. The Company sources the macroeconomic variables and the macroeconomic variable forecasts that it uses in its ACL model from the Standard &amp; Poor’s Global Market Intelligence and from CoStar Group.</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currently has set an initial reasonable and supportable period of two years with a subsequent straight-line loss-rate reversion for the following four quarters before then utilizing historical average loss rates in remaining periods of the modeled contractual terms. 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w:t>
      </w:r>
    </w:p>
    <w:p>
      <w:pPr>
        <w:spacing w:after="0" w:line="6" w:lineRule="exact"/>
        <w:rPr>
          <w:sz w:val="20"/>
          <w:szCs w:val="20"/>
          <w:color w:val="auto"/>
        </w:rPr>
      </w:pPr>
    </w:p>
    <w:p>
      <w:pPr>
        <w:jc w:val="both"/>
        <w:ind w:firstLine="8"/>
        <w:spacing w:after="0" w:line="271" w:lineRule="auto"/>
        <w:tabs>
          <w:tab w:leader="none" w:pos="32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underwriting and delinquency trends. The qualitative factors applied at September 30, 2024,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Management reviews supplemental data sources including historical net charge-off rates and data measuring other specific credit outcomes from its systems of record in supporting qualitative factors. However, qualitative factor evaluations are inherently imprecise and require significant management judgement.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positions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Note 8 — Income Taxes, in Notes to the December 31, 2023, Consolidated Financial Statements of the Company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Economic Environment in the Financial Services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Sector Concentration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commercial real estate (“CRE”) sector has been impacted significantly by rising interest rates and higher vacancies, increasing the prospect of default that borrowers may face due to the record amount of upcoming maturities. In addition, the office market continues to struggle with fewer employees in the office after the COVID-19 pandemic. The Bank continues to monitor its commercial real estate portfolio by reviewing various credit risk and concentration reports. The Bank’s exposure to commercial real estate at September 30, 2024, was $2.5 billion, or 45.4%, of its gross loan portfolio, not including owner-occupied commercial real estate and acquisition, construction &amp; development. Commercial real estate as a percent of total assets at September 30, 2024, was 32.1%, not including owner-occupied commercial real estate and acquisition, construction &amp; development. Including owner-occupied commercial real estate and acquisition, construction &amp; development, total exposure was at $3.6 billion, or 64.8%, of our total gross loans and 45.9% of total assets at September 30, 2024.</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balances by portfolio segment amortized cost (in thousands) and by percentage of our total gross loan portfolio at September 30, 2024,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3"/>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1"/>
        </w:trPr>
        <w:tc>
          <w:tcPr>
            <w:tcW w:w="7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5"/>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2,526,945</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637,175</w:t>
            </w:r>
          </w:p>
        </w:tc>
        <w:tc>
          <w:tcPr>
            <w:tcW w:w="100" w:type="dxa"/>
            <w:vAlign w:val="bottom"/>
          </w:tcPr>
          <w:p>
            <w:pPr>
              <w:spacing w:after="0"/>
              <w:rPr>
                <w:sz w:val="19"/>
                <w:szCs w:val="19"/>
                <w:color w:val="auto"/>
              </w:rPr>
            </w:pPr>
          </w:p>
        </w:tc>
        <w:tc>
          <w:tcPr>
            <w:tcW w:w="2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447,449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562,653</w:t>
            </w:r>
          </w:p>
        </w:tc>
        <w:tc>
          <w:tcPr>
            <w:tcW w:w="100" w:type="dxa"/>
            <w:vAlign w:val="bottom"/>
          </w:tcPr>
          <w:p>
            <w:pPr>
              <w:spacing w:after="0"/>
              <w:rPr>
                <w:sz w:val="19"/>
                <w:szCs w:val="19"/>
                <w:color w:val="auto"/>
              </w:rPr>
            </w:pPr>
          </w:p>
        </w:tc>
        <w:tc>
          <w:tcPr>
            <w:tcW w:w="2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1,197,245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21.5</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202,570</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5,574,037</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Monitoring of the CRE concentration is performed at both the loan level and at the portfolio level. The Credit Risk Management team provides management and the Board of Directors with periodic reports on the credit portfolio, which include the CRE portfolio (including owner-occupied CRE and acquisition, construction &amp; development loans). These reports provide an assessment of asset quality and risk rating migration and monitor concentrations against the board approved concentration limits (including sub-limits). The tables below present the Bank’s commercial real estate, owner-occupied commercial real estate, and acquisition, construction &amp; development portfolios by collateral type and geographic location as of September 30, 2024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gridSpan w:val="14"/>
          </w:tcPr>
          <w:p>
            <w:pPr>
              <w:ind w:left="420"/>
              <w:spacing w:after="0"/>
              <w:rPr>
                <w:sz w:val="20"/>
                <w:szCs w:val="20"/>
                <w:color w:val="auto"/>
              </w:rPr>
            </w:pPr>
            <w:r>
              <w:rPr>
                <w:rFonts w:ascii="Times New Roman" w:cs="Times New Roman" w:eastAsia="Times New Roman" w:hAnsi="Times New Roman"/>
                <w:sz w:val="16"/>
                <w:szCs w:val="16"/>
                <w:b w:val="1"/>
                <w:bCs w:val="1"/>
                <w:color w:val="auto"/>
              </w:rPr>
              <w:t>Commercial Real Estate by Collateral Type and Geographic Location</w:t>
            </w:r>
          </w:p>
        </w:tc>
        <w:tc>
          <w:tcPr>
            <w:tcW w:w="1360" w:type="dxa"/>
            <w:vAlign w:val="bottom"/>
            <w:tcBorders>
              <w:bottom w:val="single" w:sz="8" w:color="auto"/>
            </w:tcBorders>
          </w:tcPr>
          <w:p>
            <w:pPr>
              <w:spacing w:after="0"/>
              <w:rPr>
                <w:sz w:val="18"/>
                <w:szCs w:val="18"/>
                <w:color w:val="auto"/>
              </w:rPr>
            </w:pPr>
          </w:p>
        </w:tc>
      </w:tr>
      <w:tr>
        <w:trPr>
          <w:trHeight w:val="211"/>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WV</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284,474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562,666</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22.3 %</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496,257</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407,027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Hotels/Motels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383,396</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223,271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126,308</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Nursing-Assisted Living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39,532</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106,878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43,594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187,744</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r>
      <w:tr>
        <w:trPr>
          <w:trHeight w:val="21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1,283,115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414,098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2,526,945</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80"/>
              <w:spacing w:after="0"/>
              <w:rPr>
                <w:sz w:val="20"/>
                <w:szCs w:val="20"/>
                <w:color w:val="auto"/>
              </w:rPr>
            </w:pPr>
            <w:r>
              <w:rPr>
                <w:rFonts w:ascii="Times New Roman" w:cs="Times New Roman" w:eastAsia="Times New Roman" w:hAnsi="Times New Roman"/>
                <w:sz w:val="16"/>
                <w:szCs w:val="16"/>
                <w:b w:val="1"/>
                <w:bCs w:val="1"/>
                <w:color w:val="auto"/>
              </w:rPr>
              <w:t>Owner-Occupied Commercial Real Estate by Collateral Type and Geographic Location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WV</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134,596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Churches/Religious Organizations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65"/>
        </w:trPr>
        <w:tc>
          <w:tcPr>
            <w:tcW w:w="2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Coal, oil, gas, and natural resource</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extraction</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School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122,029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274,898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153,913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61,105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145,832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637,175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60"/>
              <w:spacing w:after="0"/>
              <w:rPr>
                <w:sz w:val="20"/>
                <w:szCs w:val="20"/>
                <w:color w:val="auto"/>
              </w:rPr>
            </w:pPr>
            <w:r>
              <w:rPr>
                <w:rFonts w:ascii="Times New Roman" w:cs="Times New Roman" w:eastAsia="Times New Roman" w:hAnsi="Times New Roman"/>
                <w:sz w:val="16"/>
                <w:szCs w:val="16"/>
                <w:b w:val="1"/>
                <w:bCs w:val="1"/>
                <w:color w:val="auto"/>
              </w:rPr>
              <w:t>Acquisition, Construction &amp; Development by Collateral Type and Geographic Location</w:t>
            </w:r>
          </w:p>
        </w:tc>
        <w:tc>
          <w:tcPr>
            <w:tcW w:w="1160" w:type="dxa"/>
            <w:vAlign w:val="bottom"/>
            <w:tcBorders>
              <w:bottom w:val="single" w:sz="8" w:color="auto"/>
            </w:tcBorders>
          </w:tcPr>
          <w:p>
            <w:pPr>
              <w:spacing w:after="0"/>
              <w:rPr>
                <w:sz w:val="18"/>
                <w:szCs w:val="18"/>
                <w:color w:val="auto"/>
              </w:rPr>
            </w:pPr>
          </w:p>
        </w:tc>
      </w:tr>
      <w:tr>
        <w:trPr>
          <w:trHeight w:val="211"/>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WV</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25.0</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For-Sale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106,470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50,520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85,067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80,010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125,382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447,449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 loans are monitored through various processes that include payment monitoring, financial reporting, and covenant compliance monitoring, and annual reviews for larger relationships. Furthermore, construction loans are monitored 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all acquisition, construction &amp; development loans. For each loan, management reviews the adequacy of the construction budget, adequacy of the interest reserve, pace of construction, and review of any loan covenants.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Bank believes its underwriting and monitoring standards for commercial real estate loans are sufficient to evaluate its loan portfolio and keep it from incurring significant losses. The largest concentration of the Bank’s commercial real estate loans are in Virginia (approximately 46.1%), and the Bank does not have significant exposure to any economic areas of the country that are underperforming the national economy. Additionally, the Bank’s overall exposure to the “Office Building / Condo” collateral type is 17.2% of total commercial real estate loans, including owner-occupied commercial real estate and acquisition, construction &amp; 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Banking Failures and Ensuing Banking Industry Liquidity Concerns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bank failures that occurred during March and May 2023 and the attendant stress on economic agents, including various financial markets, the Company took multiple proactive measures to mitigate any potential financial and operational impacts. Such measures included, but were not limited to:</w:t>
      </w:r>
    </w:p>
    <w:p>
      <w:pPr>
        <w:spacing w:after="0" w:line="122"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dissemination of internal communication to inform the Board and employees of current events and the Company’s condition and desired market response;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available liquidity 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analysis of our deposit composition and deposit concentrations;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our investment securities portfolio;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stress testing of liquidity and capital metrics based on observed financial conditions with particular emphasis on the causes of such risk events.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further discussion see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The measures were taken following meetings convened by a subcommittee provided for in our Asset/Liability policy more fully described in </w:t>
      </w:r>
      <w:r>
        <w:rPr>
          <w:rFonts w:ascii="Times New Roman" w:cs="Times New Roman" w:eastAsia="Times New Roman" w:hAnsi="Times New Roman"/>
          <w:sz w:val="18"/>
          <w:szCs w:val="18"/>
          <w:u w:val="single" w:color="auto"/>
          <w:color w:val="0000FF"/>
        </w:rPr>
        <w:t>Item 3. — Quantitative and Qualitative Disclosures About Market Risk</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key inputs and certain assumptions of the stress testing included, but were not limited to, uninsured deposits, deposit composition and deposit flows, borrowings and borrowing capacity, interest rate movements and sensitivity, unrealized losses in the investment securities portfolio, loan balances and loan demand, credit risks, and current allowances for credit losses. Results of the stress tests indicated capital levels that remained above the well capitalized regulatory ratios and liquidity metrics remained within internal policy guidelines. For additional information related to capital, see Notes to the Consolidated Financial Statements – </w:t>
      </w:r>
      <w:r>
        <w:rPr>
          <w:rFonts w:ascii="Times New Roman" w:cs="Times New Roman" w:eastAsia="Times New Roman" w:hAnsi="Times New Roman"/>
          <w:sz w:val="18"/>
          <w:szCs w:val="18"/>
          <w:u w:val="single" w:color="auto"/>
          <w:color w:val="0000FF"/>
        </w:rPr>
        <w:t>Note 8 — Regulatory Capital Matters</w:t>
      </w:r>
      <w:r>
        <w:rPr>
          <w:rFonts w:ascii="Times New Roman" w:cs="Times New Roman" w:eastAsia="Times New Roman" w:hAnsi="Times New Roman"/>
          <w:sz w:val="18"/>
          <w:szCs w:val="18"/>
          <w:color w:val="auto"/>
        </w:rPr>
        <w:t>. The Company intends to continue conducting such stress tests on a periodic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believes that the current sources of liquidity are adequate to meet the Company’s requirements and plans for continued growth. See </w:t>
      </w:r>
      <w:r>
        <w:rPr>
          <w:rFonts w:ascii="Times New Roman" w:cs="Times New Roman" w:eastAsia="Times New Roman" w:hAnsi="Times New Roman"/>
          <w:sz w:val="18"/>
          <w:szCs w:val="18"/>
          <w:u w:val="single" w:color="auto"/>
          <w:color w:val="0000FF"/>
        </w:rPr>
        <w:t>Note 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Borrowed 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000000"/>
        </w:rPr>
        <w:t>, in Notes to Consolidated Financial Statements for additional information regarding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outstanding balances of sources of liquidity and contractual commitments and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Applicable Basel III Capital Rules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Capital Rules also provide for a “counter-cyclical capital buffer” that is applicable to only certain covered institutions and does not have any current applicability to the Company or the Bank.</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2024, and December 31, 2023, the Bank complied with all regulatory capital standards and qualifies as “well capitalized”. </w:t>
      </w:r>
      <w:r>
        <w:rPr>
          <w:rFonts w:ascii="Times New Roman" w:cs="Times New Roman" w:eastAsia="Times New Roman" w:hAnsi="Times New Roman"/>
          <w:sz w:val="18"/>
          <w:szCs w:val="18"/>
          <w:u w:val="single" w:color="auto"/>
          <w:color w:val="0000FF"/>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Regulatory Capital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contains additional discussion and analysis regarding the Company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Bank’s regulatory capital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on net interest income. However, this goal can be difficult to completely achieve in times of rapidly changing interest rates and is one of many factors considered in determining the Company’s interest rate positioning.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Financial Performance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 as well as with the audited consolidated financial statements and notes for the year ended December 31, 2023, included in our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capital and liquidity, including: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and, over time, grow our deposit base as a low-cost stable funding source,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and capital management to meet evolving regulatory capital, capital planning, stress testing, and liquidity standards,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take within the capital and other financial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credit risk and interest rate risk in our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implement strategic business objectives within the changing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and regulatory-related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critical accounting estimates and 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operational risks related to new products and services, changes in processes and procedures, or the implementation of new technology,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our strategic objectives, including successfully integrating Summit’s operations, people, and technology with ours, and continuing to efficiently satisfy the obligations associated with being a public company, all of which will require significant resources and management attention and may divert management’s attention from our business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the length and extent of the economic impacts of events affecting the financial services market generally as well as pandemics and political instability and conflicts, and any actions taken to mitigate and manage such impacts,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 on our business and performance, including indirectly through impacts on our customers,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by the Federal Reserve, U.S. Treasury, and other government agencies, including those that impact money supply and market interest rates and inflation,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direction, timing, and magnitude of movement in interest rates and the shape of the interest rate yield curve,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functioning and other performance of and availability of liquidity in U.S. and global financial markets, including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other trade policies of the U.S. and its global trading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changes in federal, state, and local governmental policy, including on the regulatory landscape, capital markets, taxes, infrastructure spending, and social programs,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 credit spreads on asset valuations,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counterparties, and issuers to perform in accordance with contractual terms and the resulting impact on our asset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demand, utilization of credit commitments, and standby letters of credit,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customers and changes in customer behavior due to changing business and economic conditions or regulatory or legislative initiatives,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into our operations Summit’s assets, liabilities, and systems, as well as new management personnel and customers, and our ability to realize related revenue synergies and cost savings within expected time frames and any goodwill charges related thereto.</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impact of these items, where material, is discussed in the applicable sections of this Management’s Discussion and Analysis of Financial Condition and Results of Operation. For additional information on the risks we face, see </w:t>
      </w:r>
      <w:r>
        <w:rPr>
          <w:rFonts w:ascii="Times New Roman" w:cs="Times New Roman" w:eastAsia="Times New Roman" w:hAnsi="Times New Roman"/>
          <w:sz w:val="18"/>
          <w:szCs w:val="18"/>
          <w:u w:val="single" w:color="auto"/>
          <w:color w:val="0000FF"/>
        </w:rPr>
        <w:t>Part II, Item 1A. - 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historical consolidated financial data as of the dates and for the periods shown. The selected balance sheet data as of September 30, 2024, and September 30, 2023, and the selected income statement data for the three months and nine months ended September 30, 2024, and September 30, 2023, have been derived from our consolidated financial statements included elsewhere in this Form 10-Q and in other filings we have submitted with the SEC and should be read in conjunction with the other information contained in this Form 10-Q.</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As of the Three Months Ended September 30,</w:t>
            </w:r>
          </w:p>
        </w:tc>
        <w:tc>
          <w:tcPr>
            <w:tcW w:w="32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 the Nine Months Ended September 30,</w:t>
            </w:r>
          </w:p>
        </w:tc>
      </w:tr>
      <w:tr>
        <w:trPr>
          <w:trHeight w:val="21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ratios, share and per share data)</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Condition Data:</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7,864,913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3,585,188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7,864,913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3,585,188</w:t>
            </w: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291,765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291,765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41,864</w:t>
            </w: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 at fair value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1,436,431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1,224,395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1,436,431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1,224,395</w:t>
            </w: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5,506,220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2,044,505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5,506,220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2,044,505</w:t>
            </w: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182,380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182,380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94,213</w:t>
            </w: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57,514</w:t>
            </w: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6,600,825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2,985,618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6,600,825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2,985,618</w:t>
            </w: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320,163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299,000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320,163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299,000</w:t>
            </w: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738,059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270,819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738,059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270,819</w:t>
            </w: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727,646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270,819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727,646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270,819</w:t>
            </w: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w:t>
            </w:r>
          </w:p>
        </w:tc>
        <w:tc>
          <w:tcPr>
            <w:tcW w:w="220" w:type="dxa"/>
            <w:vAlign w:val="bottom"/>
            <w:shd w:val="clear" w:color="auto" w:fill="CCEEFF"/>
          </w:tcPr>
          <w:p>
            <w:pPr>
              <w:spacing w:after="0"/>
              <w:rPr>
                <w:sz w:val="15"/>
                <w:szCs w:val="15"/>
                <w:color w:val="auto"/>
              </w:rPr>
            </w:pPr>
          </w:p>
        </w:tc>
        <w:tc>
          <w:tcPr>
            <w:tcW w:w="3000" w:type="dxa"/>
            <w:vAlign w:val="bottom"/>
            <w:gridSpan w:val="4"/>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 of or for the Nine Months Ended</w:t>
            </w:r>
          </w:p>
        </w:tc>
      </w:tr>
      <w:tr>
        <w:trPr>
          <w:trHeight w:val="214"/>
        </w:trPr>
        <w:tc>
          <w:tcPr>
            <w:tcW w:w="4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shd w:val="clear" w:color="auto" w:fill="CCEEFF"/>
          </w:tcPr>
          <w:p>
            <w:pPr>
              <w:spacing w:after="0"/>
              <w:rPr>
                <w:sz w:val="18"/>
                <w:szCs w:val="18"/>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118,526</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37,272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253,368</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108,716</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45,347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98,293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37,261</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73,179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22,889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155,075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71,455</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964</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24,375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13,128</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50,826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136,423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64,136</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19,640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19,483</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1,869</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shares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27,397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17,614</w:t>
            </w:r>
          </w:p>
        </w:tc>
      </w:tr>
      <w:tr>
        <w:trPr>
          <w:trHeight w:val="270"/>
        </w:trPr>
        <w:tc>
          <w:tcPr>
            <w:tcW w:w="4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basic</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14,944,962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7,428,710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11,529,953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7,427,817</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diluted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15,040,145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7,499,278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11,591,783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7,506,509</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outstanding</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14,963,003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7,428,710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14,963,003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7,428,710</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w:t>
            </w:r>
          </w:p>
        </w:tc>
      </w:tr>
      <w:tr>
        <w:trPr>
          <w:trHeight w:val="216"/>
        </w:trPr>
        <w:tc>
          <w:tcPr>
            <w:tcW w:w="47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stock dividend payout ratio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119.55 %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67.66 %</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common share (at period end)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48.63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3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w:t>
            </w: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or for the Nine Months Ended</w:t>
            </w:r>
          </w:p>
        </w:tc>
      </w:tr>
      <w:tr>
        <w:trPr>
          <w:trHeight w:val="214"/>
        </w:trPr>
        <w:tc>
          <w:tcPr>
            <w:tcW w:w="474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bottom w:val="single" w:sz="8" w:color="auto"/>
            </w:tcBorders>
          </w:tcPr>
          <w:p>
            <w:pPr>
              <w:spacing w:after="0"/>
              <w:rPr>
                <w:sz w:val="18"/>
                <w:szCs w:val="18"/>
                <w:color w:val="auto"/>
              </w:rPr>
            </w:pPr>
          </w:p>
        </w:tc>
      </w:tr>
      <w:tr>
        <w:trPr>
          <w:trHeight w:val="209"/>
        </w:trPr>
        <w:tc>
          <w:tcPr>
            <w:tcW w:w="47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0.35 %</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0.65 %</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average equity</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8.22</w:t>
            </w:r>
          </w:p>
        </w:tc>
      </w:tr>
      <w:tr>
        <w:trPr>
          <w:trHeight w:val="216"/>
        </w:trPr>
        <w:tc>
          <w:tcPr>
            <w:tcW w:w="47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spread </w:t>
            </w:r>
            <w:r>
              <w:rPr>
                <w:rFonts w:ascii="Times New Roman" w:cs="Times New Roman" w:eastAsia="Times New Roman" w:hAnsi="Times New Roman"/>
                <w:sz w:val="21"/>
                <w:szCs w:val="21"/>
                <w:color w:val="auto"/>
                <w:vertAlign w:val="superscript"/>
              </w:rPr>
              <w:t>(2)</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(3)</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r>
      <w:tr>
        <w:trPr>
          <w:trHeight w:val="216"/>
        </w:trPr>
        <w:tc>
          <w:tcPr>
            <w:tcW w:w="47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1"/>
                <w:szCs w:val="21"/>
                <w:color w:val="auto"/>
                <w:vertAlign w:val="superscript"/>
              </w:rPr>
              <w:t>(4)</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82.50</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76.02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75.83</w:t>
            </w:r>
          </w:p>
        </w:tc>
      </w:tr>
      <w:tr>
        <w:trPr>
          <w:trHeight w:val="270"/>
        </w:trPr>
        <w:tc>
          <w:tcPr>
            <w:tcW w:w="47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(CET 1) capital to risk-weighted assets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11.40 %</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16.44 %</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17.48</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16.44</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 to average assets (leverage ratio)</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11.32</w:t>
            </w:r>
          </w:p>
        </w:tc>
      </w:tr>
      <w:tr>
        <w:trPr>
          <w:trHeight w:val="273"/>
        </w:trPr>
        <w:tc>
          <w:tcPr>
            <w:tcW w:w="47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coverage ratio</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914.25</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189.05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914.25</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 to average outstanding loans during the period</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loans as a percentage of total loans</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assets as a percentage of total assets</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r>
      <w:tr>
        <w:trPr>
          <w:trHeight w:val="270"/>
        </w:trPr>
        <w:tc>
          <w:tcPr>
            <w:tcW w:w="47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full-service branches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full-time equivalent employees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r>
    </w:tbl>
    <w:p>
      <w:pPr>
        <w:spacing w:after="0" w:line="72" w:lineRule="exact"/>
        <w:rPr>
          <w:sz w:val="20"/>
          <w:szCs w:val="20"/>
          <w:color w:val="auto"/>
        </w:rPr>
      </w:pPr>
    </w:p>
    <w:p>
      <w:pPr>
        <w:ind w:left="540" w:hanging="208"/>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payout ratio represents per share dividends declared divided by diluted earnings per share.</w:t>
      </w:r>
    </w:p>
    <w:p>
      <w:pPr>
        <w:spacing w:after="0" w:line="109" w:lineRule="exact"/>
        <w:rPr>
          <w:rFonts w:ascii="Times New Roman" w:cs="Times New Roman" w:eastAsia="Times New Roman" w:hAnsi="Times New Roman"/>
          <w:sz w:val="14"/>
          <w:szCs w:val="14"/>
          <w:color w:val="auto"/>
        </w:rPr>
      </w:pPr>
    </w:p>
    <w:p>
      <w:pPr>
        <w:ind w:left="340" w:hanging="8"/>
        <w:spacing w:after="0" w:line="302" w:lineRule="auto"/>
        <w:tabs>
          <w:tab w:leader="none" w:pos="54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53"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represents non-interest expense as a percentage of the sum of net interest income and non-interest income.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September 30,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applicable to common shares for the nine months ended September 30, 2024, was $15.5 million compared to net income applicable to common shares of $17.6 million for the nine months ended September 30, 2023. The $2.1 million decrease in net income applicable to common shares was primarily the result of merger related expenses and one-time CECL Day 2 provision for non-PCD assets acquired in the Merger for the nine months ended September 30, 2024, compared to the nine months ended September 30,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income increased by $83.6 million to $155.1 million for the nine months ended September 30, 2024, compared to $71.5 million for the nine months ended September 30, 2023. The main driver for this increase was the impact of the Merger.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recorded credit provision expense of $23.4 million compared to a provision of $1.0 million for the nine months ended September 30, 2023. For the nine months ended September 30, 2024, the Company recognized a one-time CECL Day 2 provision for non-PCD assets acquired in the Merger, which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resulted in a higher credit provision expense for the nine months ended September 30, 2024, compared to the nine months ended, September 30, 2023.</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income increased by $11.2 million, or 85.7%, to $24.4 million for the nine months ended September 30, 2024, as compared to $13.1 million for the nine months ended September 30, 2023, as a result of the Merger. In addition, the Company liquidated the majority of the acquired securities portfolio that resulted in a gain on sale of securities of $0.6 million.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increased by $72.3 million, or 112.7%, to $136.4 million for the nine months ended September 30, 2024, compared to $64.1 million for the nine months ended September 30, 2023. The increase was primarily due to effect of the Merger and also included higher legal fees, consulting fees, audit fees, investment banking fees, software contract terminations, change-in-control salary and benefit payments, funding a charitable donation (as part of the Merger Agreement), and other expenses related to the Merger. For the nine months ended September 30, 2024, the Company incurred $27.5 million of expenses related to the Merger with Summit.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totaled $155.1 million for the nine months ended September 30, 2024, compared to $71.5 million for the nine months ended September 30, 2023. The increase in net interest income was primarily driven by higher interest earning assets, higher rates, and higher accretion income, as a result of the Merger. Accretion income associated with acquired loans and borrowings totaled $28.8 million for the nine months ended September 30, 2024. Amortization expense associated with fair value marks for time deposits, subordinated debt, and trust preferred securities totaled $6.3 million for the nine months ended September 30, 2024.</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net interest margin was 3.78% for the nine months ended September 30, 2024, compared to 2.90% for the nine months ended September 30, 2023. The increase in tax-adjusted net interest margin was primarily driven by the effect of the Merger and the acquisition of additional, higher-yielding interest-earning assets.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yield for the taxable loan portfolio was 7.01% for the nine months ended September 30, 2024, compared to 5.01% for the nine months ended September 30, 2023. The increase was primarily the result of the effect of the Merger which resulted in the acquisition of additional, higher-yielding loans.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3.81% for the nine months ended September 30, 2024, compared to 3.42% for the nine months ended September 30, 2023. The increase was partly due to higher yields in our investment portfolio in addition to the Merger, which resulted in the acquisition of additional securities with higher tax-adjusted yields.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interest-bearing deposits increased to 2.86% during the nine months ended September 30, 2024, from 1.70% during the nine months ended September 30, 2023. The increase was a result of the Merger which resulted in the assumption of additional interest-bearing deposits with higher interest rates and to a lesser extent by higher market interest rates.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our short-term borrowings for the nine months ended September 30, 2024, was 4.42%, compared to 4.67% for the nine months ended September 30, 2023. The decrease was due to decreases in the Federal Funds Rate and other short-term market rates. The yield on our subordinated debt acquired in the Merger was 10.21%.</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nine months ended September 30, 2024, and September 30, 2023,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 Yield /</w:t>
            </w:r>
          </w:p>
        </w:tc>
        <w:tc>
          <w:tcPr>
            <w:tcW w:w="180" w:type="dxa"/>
            <w:vAlign w:val="bottom"/>
          </w:tcPr>
          <w:p>
            <w:pPr>
              <w:spacing w:after="0"/>
              <w:rPr>
                <w:sz w:val="13"/>
                <w:szCs w:val="13"/>
                <w:color w:val="auto"/>
              </w:rPr>
            </w:pPr>
          </w:p>
        </w:tc>
        <w:tc>
          <w:tcPr>
            <w:tcW w:w="126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8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4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52"/>
        </w:trPr>
        <w:tc>
          <w:tcPr>
            <w:tcW w:w="2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Taxable loans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4,068,804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7.01 %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1,985,898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74,485</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5.01 %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loans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4,071,261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213,503</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1,985,898</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74,485</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5.01 %</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54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52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991,723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30,096</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1,040,695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28,130</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Tax-exempt securities </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8,928</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1,367,485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39,024</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1,307,830</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33,501</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5,542,914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255,265</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3,349,598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109,844</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430,892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248,292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5,973,806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3,597,890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1,137,182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887,711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0.37 %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Savings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16,336</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11,242</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1,072,861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36,639</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13,946</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3,860,614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82,745</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2,097,223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26,708</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4,997,796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82,745</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2,984,934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26,708</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9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borrowings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debt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4,250,889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98,293</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2,399,283</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37,261</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286,411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5,973,806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3,597,890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 income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156,972</w:t>
            </w:r>
          </w:p>
        </w:tc>
        <w:tc>
          <w:tcPr>
            <w:tcW w:w="10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72,583</w:t>
            </w:r>
          </w:p>
        </w:tc>
        <w:tc>
          <w:tcPr>
            <w:tcW w:w="8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2.30 %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spread </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 margin</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3.78 %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2.90 %</w:t>
            </w:r>
          </w:p>
        </w:tc>
        <w:tc>
          <w:tcPr>
            <w:tcW w:w="0" w:type="dxa"/>
            <w:vAlign w:val="bottom"/>
          </w:tcPr>
          <w:p>
            <w:pPr>
              <w:spacing w:after="0"/>
              <w:rPr>
                <w:sz w:val="1"/>
                <w:szCs w:val="1"/>
                <w:color w:val="auto"/>
              </w:rPr>
            </w:pPr>
          </w:p>
        </w:tc>
      </w:tr>
      <w:tr>
        <w:trPr>
          <w:trHeight w:val="108"/>
        </w:trPr>
        <w:tc>
          <w:tcPr>
            <w:tcW w:w="2560" w:type="dxa"/>
            <w:vAlign w:val="bottom"/>
          </w:tcPr>
          <w:p>
            <w:pPr>
              <w:ind w:left="180"/>
              <w:spacing w:after="0" w:line="108" w:lineRule="exact"/>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155,075</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71,455</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122"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yield of interest-bearing liabilities for the period.</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fully-taxable equivalent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9"/>
                <w:szCs w:val="19"/>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74,485</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taxable</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28,130</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tax-exempt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26,708</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10,495</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155,075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71,455</w:t>
            </w:r>
          </w:p>
        </w:tc>
      </w:tr>
      <w:tr>
        <w:trPr>
          <w:trHeight w:val="253"/>
        </w:trPr>
        <w:tc>
          <w:tcPr>
            <w:tcW w:w="7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 -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r>
      <w:tr>
        <w:trPr>
          <w:trHeight w:val="212"/>
        </w:trPr>
        <w:tc>
          <w:tcPr>
            <w:tcW w:w="75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156,972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72,583</w:t>
            </w:r>
          </w:p>
        </w:tc>
      </w:tr>
    </w:tbl>
    <w:p>
      <w:pPr>
        <w:spacing w:after="0" w:line="180"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Yield/Rate and 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nine months ended September 30, 2024, and September 30, 2023, are annualized using an actual days over calendar year method. The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 compared to</w:t>
      </w: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5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Yield / Rate</w:t>
            </w: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9"/>
              <w:spacing w:after="0" w:line="161"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175,785</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183,390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180,711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192,586</w:t>
            </w:r>
          </w:p>
        </w:tc>
        <w:tc>
          <w:tcPr>
            <w:tcW w:w="0" w:type="dxa"/>
            <w:vAlign w:val="bottom"/>
          </w:tcPr>
          <w:p>
            <w:pPr>
              <w:spacing w:after="0"/>
              <w:rPr>
                <w:sz w:val="1"/>
                <w:szCs w:val="1"/>
                <w:color w:val="auto"/>
              </w:rPr>
            </w:pPr>
          </w:p>
        </w:tc>
      </w:tr>
      <w:tr>
        <w:trPr>
          <w:trHeight w:val="19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37,453</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 deposits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27,877</w:t>
            </w:r>
          </w:p>
        </w:tc>
        <w:tc>
          <w:tcPr>
            <w:tcW w:w="0" w:type="dxa"/>
            <w:vAlign w:val="bottom"/>
          </w:tcPr>
          <w:p>
            <w:pPr>
              <w:spacing w:after="0"/>
              <w:rPr>
                <w:sz w:val="1"/>
                <w:szCs w:val="1"/>
                <w:color w:val="auto"/>
              </w:rPr>
            </w:pP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53,283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71,333</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w:t>
            </w:r>
          </w:p>
        </w:tc>
        <w:tc>
          <w:tcPr>
            <w:tcW w:w="0" w:type="dxa"/>
            <w:vAlign w:val="bottom"/>
          </w:tcPr>
          <w:p>
            <w:pPr>
              <w:spacing w:after="0"/>
              <w:rPr>
                <w:sz w:val="1"/>
                <w:szCs w:val="1"/>
                <w:color w:val="auto"/>
              </w:rPr>
            </w:pP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60,930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78,159</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119,781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114,427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securities have been computed on a taxable-equivalent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interest income was $253.4 million for the nine months ended September 30, 2024, compared to $108.7 million for the nine months ended September 30, 2023, an increase of 133.1%. The increase in interest income was due to the effect of the Merger and the acquisition of additional interest-earning assets. Interest income on loans increased by $139.0 million and interest income on securities increased $4.6 million, for the nine months ended September 30, 2024, compared to the nine months ended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interest expense was $98.3 million for the nine months ended September 30, 2024, compared to $37.3 million for the nine months ended September 30, 2023. The increase in interest expense was a result of the Merger and the assumption of additional interest-bearing liabilities. Interest expense on interest-bearing deposits and borrowed funds increased by $56.0 million and $0.3 million, respectively, for the nine months ended September 30, 2024, compared to the nine months ended September 30, 2023. Interest on subordinated debt assumed in the Merger was $4.7 million for the nine months ended September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provision for credit losses was $23.4 million for the nine months ended September 30, 2024, compared to a provision of $1.0 million for the nine months ended September 30, 2023. The increased provision expense was due to a one-time CECL Day 2 provision for non-PCD assets acquired in the Merger and acquired commitments for unfunded commitments for the nine months ended September 30, 2024, compared to the nine months ended September 30, 2023. See </w:t>
      </w:r>
      <w:r>
        <w:rPr>
          <w:rFonts w:ascii="Times New Roman" w:cs="Times New Roman" w:eastAsia="Times New Roman" w:hAnsi="Times New Roman"/>
          <w:sz w:val="18"/>
          <w:szCs w:val="18"/>
          <w:u w:val="single" w:color="auto"/>
          <w:color w:val="0000FF"/>
        </w:rPr>
        <w:t>Note 4 - Allowance for Credit Losses</w:t>
      </w:r>
      <w:r>
        <w:rPr>
          <w:rFonts w:ascii="Times New Roman" w:cs="Times New Roman" w:eastAsia="Times New Roman" w:hAnsi="Times New Roman"/>
          <w:sz w:val="18"/>
          <w:szCs w:val="18"/>
          <w:color w:val="auto"/>
        </w:rPr>
        <w:t xml:space="preserve"> in Notes to Consolidated Financial Statements for further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12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124.8</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647.3</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62.7</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49.5</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85.7 %</w:t>
            </w: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Non-interest income increased 85.7% for the nine months ended September 30, 2024, compared to the nine months ended September 30, 2023. The increase was primarily driven by the Merger. The largest increase was a $6.2 million increase in service charges and fees for the nine months ended September 30, 2024, compared to the nine months ended September 30, 2023. A majority of the securities acquired in the Merger were sold, resulting in gains of $0.6 million for the nine months ended September 30, 2024, compared to losses of $0.1 million during the nine months ended September 30, 2023. Loan swap fees included in other non-interest income increased $0.1 million for the nine months ended September 30, 2024, compared to the nine months ended September 30, 2023. Other categories of non-interest income also increased due to the Merger, for the nine months ended September 30, 2024, compared to the nine months ended September 30,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21,988</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73.5</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78.0</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14,412</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340.6</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27,174</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142.7</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64,136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72,287</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112.7 %</w:t>
            </w: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Non-interest expense increased $72.3 million, or 112.7%, for the nine months ended September 30, 2024, compared to September 30, 2023. The increase was primarily due to effect of the Merger and also included higher legal fees, consulting fees, audit fees, investment banking fees, software contract terminations, change-in-control salary and benefit payments, funding a charitable donation (as contemplated by the Merger Agreement), and other expenses related to the Merger. For the nine months ended September 30, 2024, the Company incurred $27.5 million of merger-related expenses within non-interest expense for the nine months ended September 30, 2024. Other non-interest expense included $11.3 million of these costs, while the remaining amount of the total is included in the other line items of non-interest expense. See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 xml:space="preserve"> in Notes to Consolidated Financial Statements for further information on merger-related expenses and </w:t>
      </w:r>
      <w:r>
        <w:rPr>
          <w:rFonts w:ascii="Times New Roman" w:cs="Times New Roman" w:eastAsia="Times New Roman" w:hAnsi="Times New Roman"/>
          <w:sz w:val="18"/>
          <w:szCs w:val="18"/>
          <w:u w:val="single" w:color="auto"/>
          <w:color w:val="0000FF"/>
        </w:rPr>
        <w:t>Note 13 — Other Operating Expenses</w:t>
      </w:r>
      <w:r>
        <w:rPr>
          <w:rFonts w:ascii="Times New Roman" w:cs="Times New Roman" w:eastAsia="Times New Roman" w:hAnsi="Times New Roman"/>
          <w:sz w:val="18"/>
          <w:szCs w:val="18"/>
          <w:color w:val="auto"/>
        </w:rPr>
        <w:t xml:space="preserve"> in Notes to Consolidated Financial Statements for further information on “Other” non-interest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$3.7 million for the nine months ended September 30, 2024, an increase of $1.9 million from the tax provision for the nine months ended September 30, 2023. The increase was due to changes in estimated tax rates, additional estimated state tax liability, and tax credits resulting from the Merger for the nine months ended September 30, 2024, when compared to the nine months ended September 30, 2023. For the nine months ended September 30, 2024, the effective tax rate was 19.0%, while the effective tax rate was 9.6% for the nine months ended September 30,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8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Three Months Ended September 30, 2024, and September 30, 2023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applicable to common shares for the three months ended September 30, 2024, was $27.4 million, compared to net income applicable to common shares of $4.1 million during the three months ended September 30, 2023. The $23.3 million increase was primarily due to results that reflect combined income after the Merger completion for the three months ended September 30, 2024, compared to the three months ended September 30, 2023.</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income increased by $50.3 million to $73.2 million for the three months ended September 30, 2024, compared to $22.9 million for the three months ended September 30, 2023. The main driver for this increase was the impact of the Merger.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recorded credit provision expense of $0.1 million compared to a provision of $0.2 million for the three months ended September 30, 2023. For the three months ended September 30, 2024, the Company recognized less credit loss expense on loans and off-balance sheet credit exposures which led to a decrease in credit provision expense for the three months ended September 30, 2024, compared to the three months ended September 30, 2023.</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income increased by $6.3 million, or 147.5%, to $10.6 million for the three months ended September 30, 2024, as compared to $4.3 million for the three months ended September 30, 2023, as a result of the Merger. All categories of non-interest income increased as a result of the combined operations for the three months ended September 30, 2024, compared to the three months ended September 30, 2023.</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expense increased by $28.4 million, or 126.7%, to $50.8 million for the three months ended September 30, 2024, as compared to $22.4 million for the three months ended September 30, 2023. The increase was primarily due to effect of the Merger and also included higher legal fees, consulting fees, audit fees, investment banking fees, software contract terminations, and other expenses related to the Merger. For the three months ended September 30, 2024, the Company incurred $3.1 million of expenses related to the Merger with Summit.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totaled $73.2 million for the three months ended September 30, 2024, compared to $22.9 million for the three months ended September 30, 2023. The increase in net interest income was primarily driven by higher interest earning assets, higher rates, and higher accretion income, as a result of the Merger. Accretion income associated with acquired loans and borrowings totaled $15.4 million for the three months ended September 30, 2024. Amortization expense associated with fair value marks for time deposits, subordinated debt, and trust preferred securities totaled $3.8 million for the three months ended September 30, 2024.</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net interest margin was 4.07% for the three months ended September 30, 2024, compared to 2.76% for the three months ended September 30, 2023. The increase in tax-adjusted net interest margin was primarily driven by the effect of the Merger and the acquisition of additional, higher-yielding interest-earning assets.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yield for the taxable loan portfolio was 7.34% for the three months ended September 30, 2024, compared to 5.15% for the three months ended September 30, 2023. The increase was primarily the result of the effect of the Merger, which resulted in the acquisition of additional, higher-yielding loans.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3.91% for the three months ended September 30, 2024, compared to 3.37% for the three months ended September 30, 2023. The increase was partly due to higher yields in our investment portfolio in addition to the Merger, which resulted in the acquisition of additional securities with higher tax-adjusted yields.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interest-bearing deposits increased to 3.02% during the three months ended September 30, 2024, from 2.09% during the three months ended September 30, 2023. The increase was a result of the Merger, which resulted in the assumption of additional interest-bearing deposits with higher interest rates, and to a lesser extent, by higher market interest rates compared to the prior year quarter.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our short-term borrowings for the three months ended September 30, 2024, was 4.06%, compared to 4.69% for the three months ended September 30, 2023. The decrease was due to decreases in the Federal Funds Rate and other short-term market rates. The yield on our subordinated debt assumed in the Merger was 10.16%.</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three months ended September 30, 2024, and September 30, 2023,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 Yield /</w:t>
            </w:r>
          </w:p>
        </w:tc>
        <w:tc>
          <w:tcPr>
            <w:tcW w:w="18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8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4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52"/>
        </w:trPr>
        <w:tc>
          <w:tcPr>
            <w:tcW w:w="2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Loans, gross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5,621,531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103,682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7.34 %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2,034,275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26,425</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5.15 %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loans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5,625,841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103,743</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7.34 %</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2,034,275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26,425</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5.17 %</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54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52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996,749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8,909</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Tax-exempt securities </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1,437,530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14,121</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1,253,506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7,238,636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119,373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3,337,282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37,638</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564,528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244,488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1,389,134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2,144,567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537,644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0.56 %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Savings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1,725,387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1,328,076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16,079</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654,952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5,198,030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2,144,597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6,587,164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3,005,580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19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borrowings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debt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5,612,436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45,347</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2,407,118</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717,157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 income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74,026</w:t>
            </w:r>
          </w:p>
        </w:tc>
        <w:tc>
          <w:tcPr>
            <w:tcW w:w="10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23,255</w:t>
            </w:r>
          </w:p>
        </w:tc>
        <w:tc>
          <w:tcPr>
            <w:tcW w:w="8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2.10 %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spread </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 margin</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2.76 %</w:t>
            </w:r>
          </w:p>
        </w:tc>
        <w:tc>
          <w:tcPr>
            <w:tcW w:w="0" w:type="dxa"/>
            <w:vAlign w:val="bottom"/>
          </w:tcPr>
          <w:p>
            <w:pPr>
              <w:spacing w:after="0"/>
              <w:rPr>
                <w:sz w:val="1"/>
                <w:szCs w:val="1"/>
                <w:color w:val="auto"/>
              </w:rPr>
            </w:pPr>
          </w:p>
        </w:tc>
      </w:tr>
      <w:tr>
        <w:trPr>
          <w:trHeight w:val="108"/>
        </w:trPr>
        <w:tc>
          <w:tcPr>
            <w:tcW w:w="2560" w:type="dxa"/>
            <w:vAlign w:val="bottom"/>
          </w:tcPr>
          <w:p>
            <w:pPr>
              <w:ind w:left="180"/>
              <w:spacing w:after="0" w:line="108" w:lineRule="exact"/>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73,179</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22,889</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122"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yield of interest-bearing liabilities for the period.</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FTE net interest income as a percent of average interest-earning assets for the period.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9"/>
                <w:szCs w:val="19"/>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26,425</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taxable</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8,909</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tax-exempt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11,277</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22,889</w:t>
            </w:r>
          </w:p>
        </w:tc>
      </w:tr>
      <w:tr>
        <w:trPr>
          <w:trHeight w:val="253"/>
        </w:trPr>
        <w:tc>
          <w:tcPr>
            <w:tcW w:w="7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 -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2"/>
        </w:trPr>
        <w:tc>
          <w:tcPr>
            <w:tcW w:w="75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74,026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23,255</w:t>
            </w:r>
          </w:p>
        </w:tc>
      </w:tr>
    </w:tbl>
    <w:p>
      <w:pPr>
        <w:spacing w:after="0" w:line="180"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Yield/Rate and 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three months ended September 30, 2024, and September 30, 2023, are annualized using an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 compared to</w:t>
      </w: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Yield / Rate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6"/>
        </w:trPr>
        <w:tc>
          <w:tcPr>
            <w:tcW w:w="6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302,286</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310,914</w:t>
            </w: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11,889</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w:t>
            </w: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312,418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326,506</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65,999</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 deposits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w:t>
            </w: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42,903</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97,841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117,714</w:t>
            </w:r>
          </w:p>
        </w:tc>
      </w:tr>
      <w:tr>
        <w:trPr>
          <w:trHeight w:val="212"/>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9,555</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109,288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127,269</w:t>
            </w:r>
          </w:p>
        </w:tc>
      </w:tr>
      <w:tr>
        <w:trPr>
          <w:trHeight w:val="20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203,130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199,237</w:t>
            </w:r>
          </w:p>
        </w:tc>
      </w:tr>
    </w:tbl>
    <w:p>
      <w:pPr>
        <w:spacing w:after="0" w:line="18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securities have been computed on a taxable-equivalent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interest income was $118.5 million for the three months ended September 30, 2024, compared to $37.3 million for the three months ended September 30, 2023, an increase of 218.0%. The increase in interest income was due to the effect of the Merger and the acquisition of additional interest-earning assets. Interest income on loans increased by $77.3 million and interest income on securities increased $2.9 million, for the three months ended September 30, 2024, compared to the three months ended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interest expense was $45.3 million for the three months ended September 30, 2024, compared to $14.4 million for the three months ended September 30, 2023. The increase in interest expense was a result of the Merger and the assumption of additional interest-bearing liabilities. Interest expense on interest-bearing deposits increased by $28.2 million for the three months ended September 30, 2024, compared to the three months ended September 30, 2023. Interest on subordinated debt acquired in the Merger was $2.8 million for the three months ended September 30, 2024, while interest expense on short-term borrowings amounted to $3.1 million for the three months ended September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provision for credit losses was $0.1 million for the three months ended September 30, 2024, compared to a provision of $0.2 million for the three months ended September 30, 2023. The decreased provision expense is a function of the Merger closing last quarter and the Day 2 non-PCD provision expense captured for the acquired portfolio, resulting in a lower credit loss expense on loans and off-balance sheet credit exposures, compared to the three months ended September 30, 2023. See </w:t>
      </w:r>
      <w:r>
        <w:rPr>
          <w:rFonts w:ascii="Times New Roman" w:cs="Times New Roman" w:eastAsia="Times New Roman" w:hAnsi="Times New Roman"/>
          <w:sz w:val="18"/>
          <w:szCs w:val="18"/>
          <w:u w:val="single" w:color="auto"/>
          <w:color w:val="0000FF"/>
        </w:rPr>
        <w:t>Note 4 - Allowance for Credit Losses</w:t>
      </w:r>
      <w:r>
        <w:rPr>
          <w:rFonts w:ascii="Times New Roman" w:cs="Times New Roman" w:eastAsia="Times New Roman" w:hAnsi="Times New Roman"/>
          <w:sz w:val="18"/>
          <w:szCs w:val="18"/>
          <w:color w:val="auto"/>
        </w:rPr>
        <w:t xml:space="preserve"> in Notes to Consolidated Financial Statements for further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10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244.5</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125.8</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93.8</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10,616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6,327</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147.5 %</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increased 147.5% for the three months ended September 30, 2024, compared to the three months ended September 30, 2023. The increase was primarily driven by the Merger. The largest increase was a $3.9 million increase in service charges and fees for the three months ended September 30, 2024, compared to the three months ended September 30, 2023. All other categories of non-interest income also increased due to the Merger for the three months ended September 30, 2024, compared to the three months ended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12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10,991</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108.7</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133.4</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227.5</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131.6</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28,403</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126.7 %</w:t>
            </w: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Non-interest expense increased $28.4 million, or 126.7%, for the three months ended September 30, 2024, compared to September 30, 2023. The increase was primarily due to effect of the Merger and also included higher legal fees, consulting fees, audit fees, investment banking fees, software contract terminations and other merger-related expenses. For the three months ended September 30, 2024, the Company incurred $3.1 million of merger-related expenses within non-interest expense for the three months ended September 30, 2024. See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 xml:space="preserve"> in Notes to Consolidated Financial Statements for further information on merger-related expenses and </w:t>
      </w:r>
      <w:r>
        <w:rPr>
          <w:rFonts w:ascii="Times New Roman" w:cs="Times New Roman" w:eastAsia="Times New Roman" w:hAnsi="Times New Roman"/>
          <w:sz w:val="18"/>
          <w:szCs w:val="18"/>
          <w:u w:val="single" w:color="auto"/>
          <w:color w:val="0000FF"/>
        </w:rPr>
        <w:t>Note 13 — Other Operating Expenses</w:t>
      </w:r>
      <w:r>
        <w:rPr>
          <w:rFonts w:ascii="Times New Roman" w:cs="Times New Roman" w:eastAsia="Times New Roman" w:hAnsi="Times New Roman"/>
          <w:sz w:val="18"/>
          <w:szCs w:val="18"/>
          <w:color w:val="auto"/>
        </w:rPr>
        <w:t xml:space="preserve"> in Notes to Consolidated Financial Statements for further information on “Other” non-interest expense.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$5.2 million for the three months ended September 30, 2024, an increase of $4.7 million from the tax provision for the three months ended September 30, 2023. The increase was due to the increase in net income for the three months ended September 30, 2024, when compared to the three months ended September 30, 2023. For the three months ended September 30, 2024, the effective tax rate was 15.8%, while the effective tax rate was 10.3% for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for the Period Ended September 30, 2024, and December 31, 2023</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mostly to the Merger, assets increased by $4.25 billion to $7.86 billion as of September 30, 2024, compared to $3.62 billion as of December 31, 2023. Loans, net of ACL, increased by $3.44 billion from $2.06 billion as of December 31, 2023, to $5.51 billion as of September 30, 2024. Deposits increased by $3.60 billion and amounted to $6.60 billion at September 30, 2024, compared to $3.00 billion at December 31, 2023. Short-term borrowings increased by $48.2 million to $320.2 million as of September 30, 2024, compared to $272.0 million at December 31, 2023. Subordinated debt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subordinated debt owed to unconsolidated subsidiary trusts, which were assumed in the Merger, totaled $110.5 million at September 30, 2024, compared to zero at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nine months ended September 30, 2024, the unrealized losses on our holdings decreased $36.3 million from December 31, 2023.</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declines in market value were due to increases in interest rates and market movements and not due to credit factors. Therefore, the Company has concluded that the unrealized losses for the AFS securities do not require an ACL at September 30, 2024, or at December 31, 2023.</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amortized cost and fair market values for the total portfolio for each category of investment for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152,617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713,040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655,646</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54,766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277,476</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70,635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37,547</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1,524,302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94,962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1,436,431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179,071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463,203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177,061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1,372,575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124,225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1,248,439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maturity table below summarizes contractual maturities for our investment securities at September 30, 2024. The actual timing of principal payments may differ from remaining contractual maturities because obligors may have the right to repay certain obligations with or without penalties. The overall weighted average duration of the Company’s investment portfolio is 4.3 years at September 30, 2024.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One Year or Less</w:t>
            </w:r>
          </w:p>
        </w:tc>
        <w:tc>
          <w:tcPr>
            <w:tcW w:w="180" w:type="dxa"/>
            <w:vAlign w:val="bottom"/>
          </w:tcPr>
          <w:p>
            <w:pPr>
              <w:spacing w:after="0"/>
              <w:rPr>
                <w:sz w:val="12"/>
                <w:szCs w:val="12"/>
                <w:color w:val="auto"/>
              </w:rPr>
            </w:pPr>
          </w:p>
        </w:tc>
        <w:tc>
          <w:tcPr>
            <w:tcW w:w="164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One to Five Years</w:t>
            </w:r>
          </w:p>
        </w:tc>
        <w:tc>
          <w:tcPr>
            <w:tcW w:w="200" w:type="dxa"/>
            <w:vAlign w:val="bottom"/>
          </w:tcPr>
          <w:p>
            <w:pPr>
              <w:spacing w:after="0"/>
              <w:rPr>
                <w:sz w:val="12"/>
                <w:szCs w:val="12"/>
                <w:color w:val="auto"/>
              </w:rPr>
            </w:pP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Five to Ten Years</w:t>
            </w:r>
          </w:p>
        </w:tc>
        <w:tc>
          <w:tcPr>
            <w:tcW w:w="200" w:type="dxa"/>
            <w:vAlign w:val="bottom"/>
          </w:tcPr>
          <w:p>
            <w:pPr>
              <w:spacing w:after="0"/>
              <w:rPr>
                <w:sz w:val="12"/>
                <w:szCs w:val="12"/>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After Ten Years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6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Pr>
          <w:p>
            <w:pPr>
              <w:spacing w:after="0"/>
              <w:rPr>
                <w:sz w:val="9"/>
                <w:szCs w:val="9"/>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4"/>
              </w:rPr>
              <w:t>Amortized Cost</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Average Yield</w:t>
            </w:r>
          </w:p>
        </w:tc>
        <w:tc>
          <w:tcPr>
            <w:tcW w:w="7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0" w:type="dxa"/>
            <w:vAlign w:val="bottom"/>
          </w:tcPr>
          <w:p>
            <w:pPr>
              <w:spacing w:after="0"/>
              <w:rPr>
                <w:sz w:val="1"/>
                <w:szCs w:val="1"/>
                <w:color w:val="auto"/>
              </w:rPr>
            </w:pPr>
          </w:p>
        </w:tc>
      </w:tr>
      <w:tr>
        <w:trPr>
          <w:trHeight w:val="148"/>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166,000</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7"/>
              </w:rPr>
              <w:t>1.31 %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166,000</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97"/>
              </w:rPr>
              <w:t>1.31 %</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Obligations of states and municipalities</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145,926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395,005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172,109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713,040</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agency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20.94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19,427</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28,117</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9,529</w:t>
            </w:r>
          </w:p>
        </w:tc>
        <w:tc>
          <w:tcPr>
            <w:tcW w:w="80" w:type="dxa"/>
            <w:vAlign w:val="bottom"/>
          </w:tcPr>
          <w:p>
            <w:pPr>
              <w:spacing w:after="0"/>
              <w:rPr>
                <w:sz w:val="14"/>
                <w:szCs w:val="1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57,563</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47,696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78,607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123,102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36,403</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285,808</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4.23</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agency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25,752</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9,064</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34,848</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5.20</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91,673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60,771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157,569</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4.30</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Asset-backed</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5,551</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39,747</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25,775</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71,073</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6.44</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14,397</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9.15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38,401</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7.28</w:t>
            </w: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145,442</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4.33 %</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538,971</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3.23 %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607,451</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3.10 %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232,438</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3.58 %</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1,524,302</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7"/>
              </w:rPr>
              <w:t>3.40 %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Times New Roman" w:cs="Times New Roman" w:eastAsia="Times New Roman" w:hAnsi="Times New Roman"/>
          <w:sz w:val="18"/>
          <w:szCs w:val="18"/>
          <w:u w:val="single" w:color="auto"/>
          <w:color w:val="0000FF"/>
        </w:rPr>
        <w:t>Note 3 — Loans</w:t>
      </w:r>
      <w:r>
        <w:rPr>
          <w:rFonts w:ascii="Times New Roman" w:cs="Times New Roman" w:eastAsia="Times New Roman" w:hAnsi="Times New Roman"/>
          <w:sz w:val="18"/>
          <w:szCs w:val="18"/>
          <w:color w:val="auto"/>
        </w:rPr>
        <w:t xml:space="preserve"> in Notes to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composition of our loan portfolio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0"/>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2,526,945</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1,309,084</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131,381</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49,091</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67,847</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1,197,245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527,980</w:t>
            </w:r>
          </w:p>
        </w:tc>
      </w:tr>
      <w:tr>
        <w:trPr>
          <w:trHeight w:val="23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202,570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gross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5,574,037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2,087,756</w:t>
            </w:r>
          </w:p>
        </w:tc>
      </w:tr>
      <w:tr>
        <w:trPr>
          <w:trHeight w:val="22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(67,817)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(25,301)</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5,506,220</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2,062,455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portfolio, excluding ACL, at September 30, 2024, increased by $3.49 billion primarily due to the Merger.</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maturity distribution for total loans outstanding as of September 30, 2024. The maturity distribution is grouped by remaining scheduled principal payments that are due in the following periods. The principal balance of loans is indicated by both fixed and floating rate categories in the table below (in thousands).</w:t>
      </w:r>
    </w:p>
    <w:p>
      <w:pPr>
        <w:spacing w:after="0" w:line="15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Within One Year</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One Year to Five Years</w:t>
            </w: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Five Years to 15 Years</w:t>
            </w:r>
          </w:p>
        </w:tc>
        <w:tc>
          <w:tcPr>
            <w:tcW w:w="1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After 15 Years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Rates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148,782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111,818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980,465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248,464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305,104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357,339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331,440</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2,526,945</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Owner-occupied commercial real</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108,057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133,125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637,175</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Acquisition, construction &amp;</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101,949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133,777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26,703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83,368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447,449</w:t>
            </w:r>
          </w:p>
        </w:tc>
        <w:tc>
          <w:tcPr>
            <w:tcW w:w="0" w:type="dxa"/>
            <w:vAlign w:val="bottom"/>
          </w:tcPr>
          <w:p>
            <w:pPr>
              <w:spacing w:after="0"/>
              <w:rPr>
                <w:sz w:val="1"/>
                <w:szCs w:val="1"/>
                <w:color w:val="auto"/>
              </w:rPr>
            </w:pPr>
          </w:p>
        </w:tc>
      </w:tr>
      <w:tr>
        <w:trPr>
          <w:trHeight w:val="195"/>
        </w:trPr>
        <w:tc>
          <w:tcPr>
            <w:tcW w:w="2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development</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159,355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186,489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28,506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46,017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562,653</w:t>
            </w:r>
          </w:p>
        </w:tc>
        <w:tc>
          <w:tcPr>
            <w:tcW w:w="0" w:type="dxa"/>
            <w:vAlign w:val="bottom"/>
          </w:tcPr>
          <w:p>
            <w:pPr>
              <w:spacing w:after="0"/>
              <w:rPr>
                <w:sz w:val="1"/>
                <w:szCs w:val="1"/>
                <w:color w:val="auto"/>
              </w:rPr>
            </w:pPr>
          </w:p>
        </w:tc>
      </w:tr>
      <w:tr>
        <w:trPr>
          <w:trHeight w:val="189"/>
        </w:trPr>
        <w:tc>
          <w:tcPr>
            <w:tcW w:w="25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commercial loans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1,259,342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606,688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468,370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565,971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4,174,222</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78,611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464,597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1,197,245</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108,089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15,728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202,570</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261,053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520,894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1,339,779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626,216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562,709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656,009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543,437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1,063,940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5,574,037</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asset quality remained stable through the third quarter of 2024, but the nonaccrual loan balance increased $32.1 million from December 31, 2023. As a result of the Merger, the nonaccrual loan balance increased due to the acquired loan portfolio. The Company’s non-performing assets, which includes non-performing loans consisting of non-accrual loans, loans that are more than 90 days past due and still accruing, and other real estate owned as of September 30, 2024, totaled $38.4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as of September 30, 2024, and December 31, 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 days past due and still accruing</w:t>
            </w:r>
          </w:p>
        </w:tc>
        <w:tc>
          <w:tcPr>
            <w:tcW w:w="18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70"/>
        </w:trPr>
        <w:tc>
          <w:tcPr>
            <w:tcW w:w="7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4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r>
      <w:tr>
        <w:trPr>
          <w:trHeight w:val="20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in </w:t>
      </w:r>
      <w:r>
        <w:rPr>
          <w:rFonts w:ascii="Times New Roman" w:cs="Times New Roman" w:eastAsia="Times New Roman" w:hAnsi="Times New Roman"/>
          <w:sz w:val="18"/>
          <w:szCs w:val="18"/>
          <w:u w:val="single" w:color="auto"/>
          <w:color w:val="0000FF"/>
        </w:rPr>
        <w:t>Note 1. Nature of Business Activities and Significant Accounting Policies</w:t>
      </w:r>
      <w:r>
        <w:rPr>
          <w:rFonts w:ascii="Times New Roman" w:cs="Times New Roman" w:eastAsia="Times New Roman" w:hAnsi="Times New Roman"/>
          <w:sz w:val="18"/>
          <w:szCs w:val="18"/>
          <w:color w:val="auto"/>
        </w:rPr>
        <w:t xml:space="preserve"> in Notes to Consolidated Financial Statements for management’s approach to estimating the ACL.</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the ACL at a level deemed adequate by management for expected credit losses. On January 1, 2023, the Company implemented CECL and increased the ACL, previously the allowance for loan losses, with a cumulative-effect adjustment to the ACL for credit losses of $4.4 million, which included a cumulative-effect adjustment to the ACL for off-balance sheet exposures of $274.8 thousand.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a provision expense of $0.1 million and a provision expense of $0.2 million on loans for the three months ended September 30, 2024, and September 30, 2023, respectively, and a provision expense of $19.5 million and a provision expense of $1.0 million on loans for the nine months ended September 30, 2024, and September 30, 2023, respectively. The increase in provision expense for the nine months ended was due to the Merger and the requirement to record a provision expense for loans classified as non-PCD. The Company also recorded a $23.9 million provision directly to the allowance for credit losses as required for acquired PCD loans for the nine months ended September 30, 2024. This allowance for acquired PCD loans did not result in an additional provision expense for the nine months ended September 30, 2024.</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charged-off loans were $305.0 thousand and $13.0 thousand for the three months ended September 30, 2024, and September 30, 2023, respectively, and $947.0 thousand and $134.0 thousand for the nine months ended September 30, 2024, and September 30, 2023, respectively. Gross recoveries totaled $20.0 thousand and $5.0 thousand for the three months ended September 30, 2024, and September 30, 2023, respectively, and $38.0 thousand and $48.0 thousand for the nine months ended September 30, 2024, and September 30, 2023, respectively. The ACL as a percentage of gross loans, net of unearned income, was 1.22% and 1.26% as of September 30, 2024, and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credit loss experience by portfolio for the three and nine months ended September 30, 2024, and 2023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3140" w:type="dxa"/>
            <w:vAlign w:val="bottom"/>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2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outstanding at end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5,574,037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2,070,616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5,574,037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2,070,616</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of allowance at beginning of period</w:t>
            </w:r>
          </w:p>
        </w:tc>
        <w:tc>
          <w:tcPr>
            <w:tcW w:w="100" w:type="dxa"/>
            <w:vAlign w:val="bottom"/>
          </w:tcPr>
          <w:p>
            <w:pPr>
              <w:spacing w:after="0"/>
              <w:rPr>
                <w:sz w:val="18"/>
                <w:szCs w:val="18"/>
                <w:color w:val="auto"/>
              </w:rPr>
            </w:pPr>
          </w:p>
        </w:tc>
        <w:tc>
          <w:tcPr>
            <w:tcW w:w="1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(68,017)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(25,919)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(21,039)</w:t>
            </w: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the adoption of CECL</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(4,125)</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established for acquired PCD Loans</w:t>
            </w: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charged-off:</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10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r>
      <w:tr>
        <w:trPr>
          <w:trHeight w:val="207"/>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loans charged-off</w:t>
            </w:r>
          </w:p>
        </w:tc>
        <w:tc>
          <w:tcPr>
            <w:tcW w:w="100" w:type="dxa"/>
            <w:vAlign w:val="bottom"/>
          </w:tcPr>
          <w:p>
            <w:pPr>
              <w:spacing w:after="0"/>
              <w:rPr>
                <w:sz w:val="17"/>
                <w:szCs w:val="17"/>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Recoveries of loans charged-off:</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00" w:type="dxa"/>
            <w:vAlign w:val="bottom"/>
          </w:tcPr>
          <w:p>
            <w:pPr>
              <w:spacing w:after="0"/>
              <w:rPr>
                <w:sz w:val="18"/>
                <w:szCs w:val="18"/>
                <w:color w:val="auto"/>
              </w:rPr>
            </w:pPr>
          </w:p>
        </w:tc>
        <w:tc>
          <w:tcPr>
            <w:tcW w:w="1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100" w:type="dxa"/>
            <w:vAlign w:val="bottom"/>
          </w:tcPr>
          <w:p>
            <w:pPr>
              <w:spacing w:after="0"/>
              <w:rPr>
                <w:sz w:val="18"/>
                <w:szCs w:val="18"/>
                <w:color w:val="auto"/>
              </w:rPr>
            </w:pPr>
          </w:p>
        </w:tc>
        <w:tc>
          <w:tcPr>
            <w:tcW w:w="1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r>
      <w:tr>
        <w:trPr>
          <w:trHeight w:val="207"/>
        </w:trPr>
        <w:tc>
          <w:tcPr>
            <w:tcW w:w="4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recoveries of loans charged-off</w:t>
            </w:r>
          </w:p>
        </w:tc>
        <w:tc>
          <w:tcPr>
            <w:tcW w:w="1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 charge-offs (recoveries)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 for the period</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19,515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1,033</w:t>
            </w: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allowance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(67,817)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(26,111)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(67,817)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(26,111)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6" w:lineRule="exact"/>
        <w:rPr>
          <w:sz w:val="20"/>
          <w:szCs w:val="20"/>
          <w:color w:val="auto"/>
        </w:rPr>
      </w:pPr>
    </w:p>
    <w:p>
      <w:pPr>
        <w:ind w:left="20"/>
        <w:spacing w:after="0"/>
        <w:tabs>
          <w:tab w:leader="none" w:pos="4560" w:val="left"/>
        </w:tabs>
        <w:rPr>
          <w:sz w:val="20"/>
          <w:szCs w:val="20"/>
          <w:color w:val="auto"/>
        </w:rPr>
      </w:pPr>
      <w:r>
        <w:rPr>
          <w:rFonts w:ascii="Times New Roman" w:cs="Times New Roman" w:eastAsia="Times New Roman" w:hAnsi="Times New Roman"/>
          <w:sz w:val="16"/>
          <w:szCs w:val="16"/>
          <w:color w:val="auto"/>
        </w:rPr>
        <w:t>Average loans outstanding during the period</w:t>
      </w:r>
      <w:r>
        <w:rPr>
          <w:sz w:val="20"/>
          <w:szCs w:val="20"/>
          <w:color w:val="auto"/>
        </w:rPr>
        <w:tab/>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Allowance coverage ratio </w:t>
      </w:r>
      <w:r>
        <w:rPr>
          <w:rFonts w:ascii="Times New Roman" w:cs="Times New Roman" w:eastAsia="Times New Roman" w:hAnsi="Times New Roman"/>
          <w:sz w:val="21"/>
          <w:szCs w:val="21"/>
          <w:color w:val="auto"/>
          <w:vertAlign w:val="superscript"/>
        </w:rPr>
        <w:t>(1)</w:t>
      </w:r>
    </w:p>
    <w:p>
      <w:pPr>
        <w:ind w:left="20"/>
        <w:spacing w:after="0" w:line="218" w:lineRule="auto"/>
        <w:rPr>
          <w:sz w:val="20"/>
          <w:szCs w:val="20"/>
          <w:color w:val="auto"/>
        </w:rPr>
      </w:pPr>
      <w:r>
        <w:rPr>
          <w:rFonts w:ascii="Times New Roman" w:cs="Times New Roman" w:eastAsia="Times New Roman" w:hAnsi="Times New Roman"/>
          <w:sz w:val="16"/>
          <w:szCs w:val="16"/>
          <w:color w:val="auto"/>
        </w:rPr>
        <w:t xml:space="preserve">Net charge-offs to average outstanding loans during the period </w:t>
      </w:r>
      <w:r>
        <w:rPr>
          <w:rFonts w:ascii="Times New Roman" w:cs="Times New Roman" w:eastAsia="Times New Roman" w:hAnsi="Times New Roman"/>
          <w:sz w:val="21"/>
          <w:szCs w:val="21"/>
          <w:color w:val="auto"/>
          <w:vertAlign w:val="superscript"/>
        </w:rPr>
        <w:t>(2)</w:t>
      </w:r>
    </w:p>
    <w:p>
      <w:pPr>
        <w:ind w:left="20"/>
        <w:spacing w:after="0" w:line="182" w:lineRule="auto"/>
        <w:rPr>
          <w:sz w:val="20"/>
          <w:szCs w:val="20"/>
          <w:color w:val="auto"/>
        </w:rPr>
      </w:pPr>
      <w:r>
        <w:rPr>
          <w:rFonts w:ascii="Times New Roman" w:cs="Times New Roman" w:eastAsia="Times New Roman" w:hAnsi="Times New Roman"/>
          <w:sz w:val="12"/>
          <w:szCs w:val="12"/>
          <w:color w:val="auto"/>
        </w:rPr>
        <w:t>Allowance for credit losses as a percentage of non-performing loans</w:t>
      </w:r>
    </w:p>
    <w:p>
      <w:pPr>
        <w:ind w:left="20"/>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6"/>
              </w:rPr>
              <w:t>5,621,531</w:t>
            </w:r>
          </w:p>
        </w:tc>
        <w:tc>
          <w:tcPr>
            <w:tcW w:w="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2,034,275</w:t>
            </w:r>
          </w:p>
        </w:tc>
        <w:tc>
          <w:tcPr>
            <w:tcW w:w="5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4,068,804</w:t>
            </w:r>
          </w:p>
        </w:tc>
        <w:tc>
          <w:tcPr>
            <w:tcW w:w="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1,985,898</w:t>
            </w:r>
          </w:p>
        </w:tc>
      </w:tr>
      <w:tr>
        <w:trPr>
          <w:trHeight w:val="216"/>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4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1.26 %</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216"/>
        </w:trPr>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0.01</w:t>
            </w:r>
          </w:p>
        </w:tc>
        <w:tc>
          <w:tcPr>
            <w:tcW w:w="460" w:type="dxa"/>
            <w:vAlign w:val="bottom"/>
          </w:tcPr>
          <w:p>
            <w:pPr>
              <w:spacing w:after="0"/>
              <w:rPr>
                <w:sz w:val="18"/>
                <w:szCs w:val="18"/>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0.00</w:t>
            </w:r>
          </w:p>
        </w:tc>
        <w:tc>
          <w:tcPr>
            <w:tcW w:w="50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0.02</w:t>
            </w:r>
          </w:p>
        </w:tc>
        <w:tc>
          <w:tcPr>
            <w:tcW w:w="46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0.00</w:t>
            </w:r>
          </w:p>
        </w:tc>
      </w:tr>
      <w:tr>
        <w:trPr>
          <w:trHeight w:val="324"/>
        </w:trPr>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189.05</w:t>
            </w:r>
          </w:p>
        </w:tc>
        <w:tc>
          <w:tcPr>
            <w:tcW w:w="460" w:type="dxa"/>
            <w:vAlign w:val="bottom"/>
          </w:tcPr>
          <w:p>
            <w:pPr>
              <w:spacing w:after="0"/>
              <w:rPr>
                <w:sz w:val="24"/>
                <w:szCs w:val="24"/>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914.25</w:t>
            </w:r>
          </w:p>
        </w:tc>
        <w:tc>
          <w:tcPr>
            <w:tcW w:w="500" w:type="dxa"/>
            <w:vAlign w:val="bottom"/>
          </w:tcPr>
          <w:p>
            <w:pPr>
              <w:spacing w:after="0"/>
              <w:rPr>
                <w:sz w:val="24"/>
                <w:szCs w:val="24"/>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189.05</w:t>
            </w:r>
          </w:p>
        </w:tc>
        <w:tc>
          <w:tcPr>
            <w:tcW w:w="46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914.25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-612775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-338455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4680" w:space="620"/>
            <w:col w:w="5940"/>
          </w:cols>
          <w:pgMar w:left="320" w:top="121" w:right="339" w:bottom="1440" w:gutter="0" w:footer="0" w:header="0"/>
          <w:type w:val="continuous"/>
        </w:sectPr>
      </w:pPr>
    </w:p>
    <w:p>
      <w:pPr>
        <w:ind w:left="640" w:hanging="30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coverage ratio is calculated by dividing the ACL at the end of the period by gross loans, net of unearned income at the end of the period.</w:t>
      </w:r>
    </w:p>
    <w:p>
      <w:pPr>
        <w:spacing w:after="0" w:line="109"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as a percentage of non-performing loans ratio is calculated by dividing the ACL at the end of the period by non-accrual loans at the end of the period.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ACL by portfolio with a comparison of the percentage composition in relation to total ACL and allowance for credit losses and total loans as of September 30, 2024, and December 31, 2023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Allocated ACL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25,791</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11.43</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32.03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21.48</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67,817</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493"/>
        </w:trPr>
        <w:tc>
          <w:tcPr>
            <w:tcW w:w="6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Allocated Allowance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20,633</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25.29</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is described more fully in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The Company has available secured lines of credit with the Federal Reserve Bank of Richmond, such as the Borrower-In-Custody program, the FHLB of Atlanta, and unsecured federal funds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lines of credit from correspondent banking relationships. The Company also utilizes brokered time deposits. For more discussion of brokered time deposits, see the Deposits heading below this section.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has available unused borrowing capacity of $2.4 billion through its available lines of credit with the FHLB of Atlanta, the Federal Reserve Borrower-In-Custody Program line, and unsecured federal fund lines of credit from correspondent banking relationships. Advances on credit lines are secured by both securities and loans.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short-term borrowings as of the three months ended September 30, 2024, and December 31, 2023,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320,163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272,000</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120" w:type="dxa"/>
            <w:vAlign w:val="bottom"/>
          </w:tcPr>
          <w:p>
            <w:pPr>
              <w:spacing w:after="0"/>
              <w:rPr>
                <w:sz w:val="18"/>
                <w:szCs w:val="18"/>
                <w:color w:val="auto"/>
              </w:rPr>
            </w:pPr>
          </w:p>
        </w:tc>
        <w:tc>
          <w:tcPr>
            <w:tcW w:w="17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4.75%</w:t>
            </w:r>
          </w:p>
        </w:tc>
      </w:tr>
    </w:tbl>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long-term debt as of the three months ended September 30, 2024, and December 31, 2023,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2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Pr>
          <w:p>
            <w:pPr>
              <w:spacing w:after="0"/>
              <w:rPr>
                <w:sz w:val="18"/>
                <w:szCs w:val="18"/>
                <w:color w:val="auto"/>
              </w:rPr>
            </w:pP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N/A</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deposits increased by $3.6 billion from December 31, 2023, to September 30, 2024, primarily due to the completion of the Merger with Summit. The Company has brokered time deposits that amounted to $345.3 million as of September 30, 2024, and $389.0 million at December 31, 2023. The following table sets forth the balance of each category of deposits as of the dates indicated (in thousands):</w:t>
      </w:r>
    </w:p>
    <w:p>
      <w:pPr>
        <w:sectPr>
          <w:pgSz w:w="11900" w:h="16838" w:orient="portrait"/>
          <w:cols w:equalWidth="0" w:num="1">
            <w:col w:w="11240"/>
          </w:cols>
          <w:pgMar w:left="320" w:top="121" w:right="339" w:bottom="1440" w:gutter="0" w:footer="0" w:header="0"/>
        </w:sectPr>
      </w:pPr>
    </w:p>
    <w:p>
      <w:pPr>
        <w:spacing w:after="0" w:line="165"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21590</wp:posOffset>
            </wp:positionV>
            <wp:extent cx="12001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6"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Balance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21590</wp:posOffset>
            </wp:positionV>
            <wp:extent cx="12001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w:t>
      </w:r>
    </w:p>
    <w:p>
      <w:pPr>
        <w:spacing w:after="0" w:line="28" w:lineRule="exact"/>
        <w:rPr>
          <w:sz w:val="20"/>
          <w:szCs w:val="20"/>
          <w:color w:val="auto"/>
        </w:rPr>
      </w:pPr>
    </w:p>
    <w:p>
      <w:pPr>
        <w:sectPr>
          <w:pgSz w:w="11900" w:h="16838" w:orient="portrait"/>
          <w:cols w:equalWidth="0" w:num="2">
            <w:col w:w="8980" w:space="660"/>
            <w:col w:w="1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1,392,123</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830,320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2,182,632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509,646</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1,709,471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925,853</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345,328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389,011</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other</w:t>
            </w: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971,271</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347,051</w:t>
            </w:r>
          </w:p>
        </w:tc>
      </w:tr>
      <w:tr>
        <w:trPr>
          <w:trHeight w:val="20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5,208,702</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2,171,561</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6,600,825</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3,001,881</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deposits that meet or exceed the FDIC insurance limit of $250,000 in the amounts of $2.0 billion and $677.3 million at September 30, 2024, and December 31, 2023, respectively, with the increase being primarily attributable to the Merger.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maturity ranges of time deposits as of September 30, 2024, that meet or exceed the FDIC insurance limit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3 months or less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129,343</w:t>
            </w:r>
          </w:p>
        </w:tc>
      </w:tr>
      <w:tr>
        <w:trPr>
          <w:trHeight w:val="213"/>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3 months and within 6 months</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97,587</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6 months and within 12 months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26,583</w:t>
            </w:r>
          </w:p>
        </w:tc>
      </w:tr>
      <w:tr>
        <w:trPr>
          <w:trHeight w:val="21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12 months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11,552</w:t>
            </w:r>
          </w:p>
        </w:tc>
      </w:tr>
      <w:tr>
        <w:trPr>
          <w:trHeight w:val="20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uninsured, time deposits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265,065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September 30, 2024, was $738.1 million, compared to $314.8 million at December 31, 2023. Shareholders’ equity increased by $423.3 million mostly due to the Merger since December 31, 2023. Accumulated other comprehensive income/(loss) decreased $27.7 million from December 31, 2023, to September 30, 2024, from $(103.5) million to $(75.8)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 See </w:t>
      </w:r>
      <w:r>
        <w:rPr>
          <w:rFonts w:ascii="Times New Roman" w:cs="Times New Roman" w:eastAsia="Times New Roman" w:hAnsi="Times New Roman"/>
          <w:sz w:val="18"/>
          <w:szCs w:val="18"/>
          <w:u w:val="single" w:color="auto"/>
          <w:color w:val="0000FF"/>
        </w:rPr>
        <w:t>Item 2. Management’s Discussion and Analysis of Financial Condition and Results of Operations</w:t>
      </w:r>
      <w:r>
        <w:rPr>
          <w:rFonts w:ascii="Times New Roman" w:cs="Times New Roman" w:eastAsia="Times New Roman" w:hAnsi="Times New Roman"/>
          <w:sz w:val="18"/>
          <w:szCs w:val="18"/>
          <w:color w:val="auto"/>
        </w:rPr>
        <w:t>, Recent Events in the Financial Services Industry.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do so will be successful. See </w:t>
      </w:r>
      <w:r>
        <w:rPr>
          <w:rFonts w:ascii="Times New Roman" w:cs="Times New Roman" w:eastAsia="Times New Roman" w:hAnsi="Times New Roman"/>
          <w:sz w:val="18"/>
          <w:szCs w:val="18"/>
          <w:u w:val="single" w:color="auto"/>
          <w:color w:val="0000FF"/>
        </w:rPr>
        <w:t>Note 9 -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a discussion of our hedging activity.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several tools to manage its interest rate risk, including interest rate sensitivity analysis, or gap analysis, market value of portfolio equity analysis, interest rate simulations under various rate scenarios, and net interest margin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reports. The results of these reports are compared to limits established by the Company’s ALCO policies, and appropriate adjustments are made if the results are outside the established limits.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income over the next 12 months. This simulation assumes that there is no growth in interest-earning assets or interest-bearing liabilities over the next 12 months.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374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c>
          <w:tcPr>
            <w:tcW w:w="3740" w:type="dxa"/>
            <w:vAlign w:val="bottom"/>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ind w:left="32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4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74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ind w:left="32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4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3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ind w:left="32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(0.3)</w:t>
            </w:r>
          </w:p>
        </w:tc>
      </w:tr>
    </w:tbl>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Economic Value of Equity Analysis (“EVE”). </w:t>
      </w:r>
      <w:r>
        <w:rPr>
          <w:rFonts w:ascii="Times New Roman" w:cs="Times New Roman" w:eastAsia="Times New Roman" w:hAnsi="Times New Roman"/>
          <w:sz w:val="18"/>
          <w:szCs w:val="18"/>
          <w:color w:val="auto"/>
        </w:rPr>
        <w:t>We analyze the sensitivity of our financial condition to changes in interest rates through our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September 30, 2024, and December 31,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3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c>
          <w:tcPr>
            <w:tcW w:w="3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3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r>
      <w:tr>
        <w:trPr>
          <w:trHeight w:val="229"/>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37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r>
      <w:tr>
        <w:trPr>
          <w:trHeight w:val="891"/>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jc w:val="right"/>
              <w:ind w:right="1595"/>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September 30, 2024.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on May 3, 2024, Burke &amp; Herbert completed its Merger with Summit. During the second and third quarter of 2024, management commenced an evaluation of the design and operating effectiveness of internal controls over financial reporting related to the Summit acquired business. The evaluation of changes to processes, technology systems, and other components of internal control over financial reporting related to the Summit acquired business is ongoing. Except for the changes made in connection with the Merger, there were no changes in our internal control over financial reporting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operations, and from time to 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pacing w:after="0" w:line="1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that were disclosed in Item 1A, under the caption “Risk Factors” in our Form 10-K for the year ended December 31, 2023.</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4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994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Agreement and Plan of Reorganization between Burke &amp; Herbert Financial Services Corp. and Summit Financial Group, Inc., dated as of</w:t>
              </w:r>
            </w:hyperlink>
          </w:p>
        </w:tc>
      </w:tr>
      <w:tr>
        <w:trPr>
          <w:trHeight w:val="189"/>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9860" w:type="dxa"/>
            <w:vAlign w:val="bottom"/>
            <w:tcBorders>
              <w:top w:val="single" w:sz="8" w:color="0000FF"/>
              <w:bottom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August 24, 2023 (incorporated by reference to Exhibit 2.1 to the Registrant’s Registration Statement on Form S-4 filed October 2, 2023)</w:t>
              </w:r>
            </w:hyperlink>
          </w:p>
        </w:tc>
        <w:tc>
          <w:tcPr>
            <w:tcW w:w="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17"/>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Articles of Incorporation Burke &amp; Herbert Financial Services Corp. as amended (incorporated by reference to Exhibit 3.1 of the</w:t>
              </w:r>
            </w:hyperlink>
          </w:p>
        </w:tc>
      </w:tr>
      <w:tr>
        <w:trPr>
          <w:trHeight w:val="156"/>
        </w:trPr>
        <w:tc>
          <w:tcPr>
            <w:tcW w:w="1120" w:type="dxa"/>
            <w:vAlign w:val="bottom"/>
          </w:tcPr>
          <w:p>
            <w:pPr>
              <w:spacing w:after="0"/>
              <w:rPr>
                <w:sz w:val="13"/>
                <w:szCs w:val="13"/>
                <w:color w:val="auto"/>
              </w:rPr>
            </w:pPr>
          </w:p>
        </w:tc>
        <w:tc>
          <w:tcPr>
            <w:tcW w:w="71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Registrant’s Form 10-Q filed August 13, 2024)</w:t>
              </w:r>
            </w:hyperlink>
          </w:p>
        </w:tc>
        <w:tc>
          <w:tcPr>
            <w:tcW w:w="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112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Bylaws of Burke &amp; Herbert Financial Services Corp. as amended (incorporated by reference to Exhibit 3.4 to the Registrant’s Form 10-Q</w:t>
              </w:r>
            </w:hyperlink>
          </w:p>
        </w:tc>
      </w:tr>
      <w:tr>
        <w:trPr>
          <w:trHeight w:val="189"/>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0000FF"/>
              <w:bottom w:val="single" w:sz="8" w:color="0000FF"/>
            </w:tcBorders>
            <w:shd w:val="clear" w:color="auto" w:fill="CCEEFF"/>
          </w:tcPr>
          <w:p>
            <w:pPr>
              <w:spacing w:after="0" w:line="156"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filed May 10, 2024)</w:t>
              </w:r>
            </w:hyperlink>
          </w:p>
        </w:tc>
        <w:tc>
          <w:tcPr>
            <w:tcW w:w="846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9940" w:type="dxa"/>
            <w:vAlign w:val="bottom"/>
            <w:gridSpan w:val="17"/>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5.00% Fixed-to-Floating Rate Subordinated Notes due 2030 (included as Exhibit A to the Form of Subordinated Note Purchase</w:t>
              </w:r>
            </w:hyperlink>
          </w:p>
        </w:tc>
      </w:tr>
      <w:tr>
        <w:trPr>
          <w:trHeight w:val="156"/>
        </w:trPr>
        <w:tc>
          <w:tcPr>
            <w:tcW w:w="112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Agreement dated as of September 22, 2020, by and between Summit Financial Group, Inc. and each of the Purchasers) (incorporated by</w:t>
              </w:r>
            </w:hyperlink>
          </w:p>
        </w:tc>
        <w:tc>
          <w:tcPr>
            <w:tcW w:w="100" w:type="dxa"/>
            <w:vAlign w:val="bottom"/>
            <w:gridSpan w:val="4"/>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98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reference to Exhibit 10.1 to Summit Financial Group, Inc.’s Form 8-K filed on September 23, 2020 (File No. 000-16587))</w:t>
              </w:r>
            </w:hyperlink>
          </w:p>
        </w:tc>
        <w:tc>
          <w:tcPr>
            <w:tcW w:w="120" w:type="dxa"/>
            <w:vAlign w:val="bottom"/>
            <w:gridSpan w:val="5"/>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7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994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3.25% Fixed-to-Floating Rate Subordinated Note due 2031 (included as Exhibit A-1 and Exhibit A-2 to the Indenture, dated as</w:t>
              </w:r>
            </w:hyperlink>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of November 16, 2021, by and between Summit Financial Group, Inc. and UMB Bank, N.A., as Trustee) (incorporated by reference to</w:t>
              </w:r>
            </w:hyperlink>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6"/>
            <w:shd w:val="clear" w:color="auto" w:fill="CCEEFF"/>
          </w:tcPr>
          <w:p>
            <w:pPr>
              <w:spacing w:after="0"/>
              <w:rPr>
                <w:sz w:val="13"/>
                <w:szCs w:val="13"/>
                <w:color w:val="auto"/>
              </w:rPr>
            </w:pPr>
          </w:p>
        </w:tc>
      </w:tr>
      <w:tr>
        <w:trPr>
          <w:trHeight w:val="189"/>
        </w:trPr>
        <w:tc>
          <w:tcPr>
            <w:tcW w:w="1120" w:type="dxa"/>
            <w:vAlign w:val="bottom"/>
            <w:tcBorders>
              <w:top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9"/>
            <w:shd w:val="clear" w:color="auto" w:fill="CCEEFF"/>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Exhibit 4.1 to Summit Financial Group, Inc.’s Form 8-K filed on November 17, 2021 (File No. 000-16587))</w:t>
              </w:r>
            </w:hyperlink>
          </w:p>
        </w:tc>
        <w:tc>
          <w:tcPr>
            <w:tcW w:w="120" w:type="dxa"/>
            <w:vAlign w:val="bottom"/>
            <w:tcBorders>
              <w:top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tcBorders>
            <w:gridSpan w:val="6"/>
            <w:shd w:val="clear" w:color="auto" w:fill="CCEEFF"/>
          </w:tcPr>
          <w:p>
            <w:pPr>
              <w:spacing w:after="0"/>
              <w:rPr>
                <w:sz w:val="16"/>
                <w:szCs w:val="16"/>
                <w:color w:val="auto"/>
              </w:rPr>
            </w:pPr>
          </w:p>
        </w:tc>
      </w:tr>
      <w:tr>
        <w:trPr>
          <w:trHeight w:val="189"/>
        </w:trPr>
        <w:tc>
          <w:tcPr>
            <w:tcW w:w="11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78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2160" w:type="dxa"/>
            <w:vAlign w:val="bottom"/>
            <w:tcBorders>
              <w:top w:val="single" w:sz="8" w:color="CCEEFF"/>
            </w:tcBorders>
            <w:gridSpan w:val="11"/>
          </w:tcPr>
          <w:p>
            <w:pPr>
              <w:spacing w:after="0"/>
              <w:rPr>
                <w:sz w:val="16"/>
                <w:szCs w:val="16"/>
                <w:color w:val="auto"/>
              </w:rPr>
            </w:pPr>
          </w:p>
        </w:tc>
      </w:tr>
      <w:tr>
        <w:trPr>
          <w:trHeight w:val="21"/>
        </w:trPr>
        <w:tc>
          <w:tcPr>
            <w:tcW w:w="1120" w:type="dxa"/>
            <w:vAlign w:val="bottom"/>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7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7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5"/>
        </w:trPr>
        <w:tc>
          <w:tcPr>
            <w:tcW w:w="1120" w:type="dxa"/>
            <w:vAlign w:val="bottom"/>
          </w:tcPr>
          <w:p>
            <w:pPr>
              <w:spacing w:after="0"/>
              <w:rPr>
                <w:sz w:val="13"/>
                <w:szCs w:val="13"/>
                <w:color w:val="auto"/>
              </w:rPr>
            </w:pPr>
          </w:p>
        </w:tc>
        <w:tc>
          <w:tcPr>
            <w:tcW w:w="98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40" w:type="dxa"/>
            <w:vAlign w:val="bottom"/>
            <w:gridSpan w:val="6"/>
          </w:tcPr>
          <w:p>
            <w:pPr>
              <w:spacing w:after="0"/>
              <w:rPr>
                <w:sz w:val="13"/>
                <w:szCs w:val="13"/>
                <w:color w:val="auto"/>
              </w:rPr>
            </w:pPr>
          </w:p>
        </w:tc>
      </w:tr>
      <w:tr>
        <w:trPr>
          <w:trHeight w:val="34"/>
        </w:trPr>
        <w:tc>
          <w:tcPr>
            <w:tcW w:w="112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following materials from the registrant’s Form 10-Q Report for the quarterly period ended September 30, 2024, formatted in Inline</w:t>
            </w:r>
          </w:p>
        </w:tc>
      </w:tr>
      <w:tr>
        <w:trPr>
          <w:trHeight w:val="184"/>
        </w:trPr>
        <w:tc>
          <w:tcPr>
            <w:tcW w:w="1120" w:type="dxa"/>
            <w:vAlign w:val="bottom"/>
            <w:shd w:val="clear" w:color="auto" w:fill="CCEEFF"/>
          </w:tcPr>
          <w:p>
            <w:pPr>
              <w:spacing w:after="0"/>
              <w:rPr>
                <w:sz w:val="16"/>
                <w:szCs w:val="16"/>
                <w:color w:val="auto"/>
              </w:rPr>
            </w:pPr>
          </w:p>
        </w:tc>
        <w:tc>
          <w:tcPr>
            <w:tcW w:w="9940" w:type="dxa"/>
            <w:vAlign w:val="bottom"/>
            <w:gridSpan w:val="17"/>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XBRL: (i) the Consolidated Balance Sheets, (ii) the Consolidated Statements of Income, (iii) the Consolidated Statements of</w:t>
            </w:r>
          </w:p>
        </w:tc>
      </w:tr>
      <w:tr>
        <w:trPr>
          <w:trHeight w:val="180"/>
        </w:trPr>
        <w:tc>
          <w:tcPr>
            <w:tcW w:w="1120" w:type="dxa"/>
            <w:vAlign w:val="bottom"/>
            <w:shd w:val="clear" w:color="auto" w:fill="CCEEFF"/>
          </w:tcPr>
          <w:p>
            <w:pPr>
              <w:spacing w:after="0"/>
              <w:rPr>
                <w:sz w:val="15"/>
                <w:szCs w:val="15"/>
                <w:color w:val="auto"/>
              </w:rPr>
            </w:pPr>
          </w:p>
        </w:tc>
        <w:tc>
          <w:tcPr>
            <w:tcW w:w="994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Comprehensive Income (Loss), (iv) the Consolidated Statements of Changes in Shareholders’ Equity, (v) the Consolidated Statements of</w:t>
            </w:r>
          </w:p>
        </w:tc>
      </w:tr>
      <w:tr>
        <w:trPr>
          <w:trHeight w:val="229"/>
        </w:trPr>
        <w:tc>
          <w:tcPr>
            <w:tcW w:w="1120" w:type="dxa"/>
            <w:vAlign w:val="bottom"/>
            <w:shd w:val="clear" w:color="auto" w:fill="CCEEFF"/>
          </w:tcPr>
          <w:p>
            <w:pPr>
              <w:spacing w:after="0"/>
              <w:rPr>
                <w:sz w:val="19"/>
                <w:szCs w:val="19"/>
                <w:color w:val="auto"/>
              </w:rPr>
            </w:pP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and (vi) the Notes to Consolidated Financial Statements.</w:t>
            </w:r>
          </w:p>
        </w:tc>
      </w:tr>
      <w:tr>
        <w:trPr>
          <w:trHeight w:val="176"/>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The cover page of the registrant’s Quarterly Report on Form 10-Q for the quarterly period ended September 30, 2024, formatted in Inline</w:t>
            </w:r>
          </w:p>
        </w:tc>
      </w:tr>
      <w:tr>
        <w:trPr>
          <w:trHeight w:val="234"/>
        </w:trPr>
        <w:tc>
          <w:tcPr>
            <w:tcW w:w="1120" w:type="dxa"/>
            <w:vAlign w:val="bottom"/>
          </w:tcPr>
          <w:p>
            <w:pPr>
              <w:spacing w:after="0"/>
              <w:rPr>
                <w:sz w:val="20"/>
                <w:szCs w:val="20"/>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(contained in Exhibit 101).</w:t>
            </w:r>
          </w:p>
        </w:tc>
      </w:tr>
    </w:tbl>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37"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David P. Boyle</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David P. Boyle</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54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P. Boyle, certify that:</w:t>
      </w:r>
    </w:p>
    <w:p>
      <w:pPr>
        <w:spacing w:after="0" w:line="17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1"/>
          <w:szCs w:val="21"/>
          <w:color w:val="auto"/>
        </w:rPr>
        <w:t>November 13, 2024</w:t>
      </w:r>
    </w:p>
    <w:p>
      <w:pPr>
        <w:ind w:left="4540"/>
        <w:spacing w:after="0" w:line="212" w:lineRule="auto"/>
        <w:rPr>
          <w:sz w:val="20"/>
          <w:szCs w:val="20"/>
          <w:color w:val="auto"/>
        </w:rPr>
      </w:pPr>
      <w:r>
        <w:rPr>
          <w:rFonts w:ascii="Times New Roman" w:cs="Times New Roman" w:eastAsia="Times New Roman" w:hAnsi="Times New Roman"/>
          <w:sz w:val="20"/>
          <w:szCs w:val="20"/>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-6985</wp:posOffset>
            </wp:positionV>
            <wp:extent cx="10331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4540"/>
        <w:spacing w:after="0" w:line="197" w:lineRule="auto"/>
        <w:rPr>
          <w:sz w:val="20"/>
          <w:szCs w:val="20"/>
          <w:color w:val="auto"/>
        </w:rPr>
      </w:pPr>
      <w:r>
        <w:rPr>
          <w:rFonts w:ascii="Times New Roman" w:cs="Times New Roman" w:eastAsia="Times New Roman" w:hAnsi="Times New Roman"/>
          <w:sz w:val="20"/>
          <w:szCs w:val="20"/>
          <w:color w:val="auto"/>
        </w:rPr>
        <w:t>David P. Boyle</w:t>
      </w:r>
    </w:p>
    <w:p>
      <w:pPr>
        <w:spacing w:after="0" w:line="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157842105v1</w:t>
      </w:r>
    </w:p>
    <w:p>
      <w:pPr>
        <w:sectPr>
          <w:pgSz w:w="11900" w:h="16838" w:orient="portrait"/>
          <w:cols w:equalWidth="0" w:num="1">
            <w:col w:w="11240"/>
          </w:cols>
          <w:pgMar w:left="320" w:top="99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Roy E. Halyama, certify that:</w:t>
      </w:r>
    </w:p>
    <w:p>
      <w:pPr>
        <w:spacing w:after="0" w:line="17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1"/>
          <w:szCs w:val="21"/>
          <w:color w:val="auto"/>
        </w:rPr>
        <w:t>November 13, 2024</w:t>
      </w:r>
    </w:p>
    <w:p>
      <w:pPr>
        <w:ind w:left="4540"/>
        <w:spacing w:after="0" w:line="212" w:lineRule="auto"/>
        <w:rPr>
          <w:sz w:val="20"/>
          <w:szCs w:val="20"/>
          <w:color w:val="auto"/>
        </w:rPr>
      </w:pPr>
      <w:r>
        <w:rPr>
          <w:rFonts w:ascii="Times New Roman" w:cs="Times New Roman" w:eastAsia="Times New Roman" w:hAnsi="Times New Roman"/>
          <w:sz w:val="20"/>
          <w:szCs w:val="20"/>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-6985</wp:posOffset>
            </wp:positionV>
            <wp:extent cx="11093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4540"/>
        <w:spacing w:after="0" w:line="197" w:lineRule="auto"/>
        <w:rPr>
          <w:sz w:val="20"/>
          <w:szCs w:val="20"/>
          <w:color w:val="auto"/>
        </w:rPr>
      </w:pPr>
      <w:r>
        <w:rPr>
          <w:rFonts w:ascii="Times New Roman" w:cs="Times New Roman" w:eastAsia="Times New Roman" w:hAnsi="Times New Roman"/>
          <w:sz w:val="20"/>
          <w:szCs w:val="20"/>
          <w:color w:val="auto"/>
        </w:rPr>
        <w:t>Roy E. Halyama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157842164v1</w:t>
      </w:r>
    </w:p>
    <w:p>
      <w:pPr>
        <w:sectPr>
          <w:pgSz w:w="11900" w:h="16838" w:orient="portrait"/>
          <w:cols w:equalWidth="0" w:num="1">
            <w:col w:w="11240"/>
          </w:cols>
          <w:pgMar w:left="320" w:top="99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In connection with the Quarterly Report on Form 10-Q of Burke &amp; Herbert Financial Services Corp. (the “Company”) for the period ended September 30, 2024,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p>
      <w:pPr>
        <w:spacing w:after="0" w:line="114" w:lineRule="exact"/>
        <w:rPr>
          <w:sz w:val="20"/>
          <w:szCs w:val="20"/>
          <w:color w:val="auto"/>
        </w:rPr>
      </w:pPr>
    </w:p>
    <w:p>
      <w:pPr>
        <w:ind w:left="1600" w:hanging="791"/>
        <w:spacing w:after="0"/>
        <w:tabs>
          <w:tab w:leader="none" w:pos="1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32" w:lineRule="exact"/>
        <w:rPr>
          <w:rFonts w:ascii="Times New Roman" w:cs="Times New Roman" w:eastAsia="Times New Roman" w:hAnsi="Times New Roman"/>
          <w:sz w:val="16"/>
          <w:szCs w:val="16"/>
          <w:color w:val="auto"/>
        </w:rPr>
      </w:pPr>
    </w:p>
    <w:p>
      <w:pPr>
        <w:ind w:left="1600" w:hanging="791"/>
        <w:spacing w:after="0"/>
        <w:tabs>
          <w:tab w:leader="none" w:pos="1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13, 2024</w:t>
      </w:r>
      <w:r>
        <w:rPr>
          <w:sz w:val="20"/>
          <w:szCs w:val="20"/>
          <w:color w:val="auto"/>
        </w:rPr>
        <w:tab/>
      </w:r>
      <w:r>
        <w:rPr>
          <w:rFonts w:ascii="Times New Roman" w:cs="Times New Roman" w:eastAsia="Times New Roman" w:hAnsi="Times New Roman"/>
          <w:sz w:val="16"/>
          <w:szCs w:val="16"/>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David P. Boyle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13, 2024</w:t>
      </w:r>
      <w:r>
        <w:rPr>
          <w:sz w:val="20"/>
          <w:szCs w:val="20"/>
          <w:color w:val="auto"/>
        </w:rPr>
        <w:tab/>
      </w:r>
      <w:r>
        <w:rPr>
          <w:rFonts w:ascii="Times New Roman" w:cs="Times New Roman" w:eastAsia="Times New Roman" w:hAnsi="Times New Roman"/>
          <w:sz w:val="16"/>
          <w:szCs w:val="16"/>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Roy E. Halyama</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&amp;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157842178v1</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amp;"/>
      <w:numFmt w:val="bullet"/>
      <w:start w:val="1"/>
    </w:lvl>
  </w:abstractNum>
  <w:abstractNum w:abstractNumId="5">
    <w:nsid w:val="7FDCC233"/>
    <w:multiLevelType w:val="hybridMultilevel"/>
    <w:lvl w:ilvl="0">
      <w:lvlJc w:val="left"/>
      <w:lvlText w:val="(%1)"/>
      <w:numFmt w:val="lowerRoman"/>
      <w:start w:val="3"/>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lvl w:ilvl="1">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1">
    <w:nsid w:val="2443A85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21" Type="http://schemas.openxmlformats.org/officeDocument/2006/relationships/hyperlink" Target="https://www.sec.gov/ix?doc=/Archives/edgar/data/1964333/000162828023033325/bhrb-20230929.htm#i00f4b8bdfca949b68ea6b35e7fd34430_7380" TargetMode="External"/><Relationship Id="rId122" Type="http://schemas.openxmlformats.org/officeDocument/2006/relationships/hyperlink" Target="https://www.sec.gov/Archives/edgar/data/1964333/000196433324000316/bhrb-compiledarticlesofinc.htm" TargetMode="External"/><Relationship Id="rId123" Type="http://schemas.openxmlformats.org/officeDocument/2006/relationships/hyperlink" Target="https://www.sec.gov/Archives/edgar/data/1964333/000196433324000219/bhrb-ex341q202410xq.htm" TargetMode="External"/><Relationship Id="rId124" Type="http://schemas.openxmlformats.org/officeDocument/2006/relationships/hyperlink" Target="https://www.sec.gov/Archives/edgar/data/811808/000081180820000040/exhibit101.htm" TargetMode="External"/><Relationship Id="rId125" Type="http://schemas.openxmlformats.org/officeDocument/2006/relationships/hyperlink" Target="https://www.sec.gov/Archives/edgar/data/811808/000081180821000045/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2024-11-13T08:16:43Z</dcterms:created>
  <dcterms:modified xsi:type="dcterms:W3CDTF">2024-11-13T08:16:43Z</dcterms:modified>
</cp:coreProperties>
</file>