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1047115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1072515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4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(Mark One)</w:t>
      </w:r>
    </w:p>
    <w:p>
      <w:pPr>
        <w:sectPr>
          <w:pgSz w:w="11900" w:h="16838" w:orient="portrait"/>
          <w:cols w:equalWidth="0" w:num="1">
            <w:col w:w="11240"/>
          </w:cols>
          <w:pgMar w:left="320" w:top="226" w:right="339" w:bottom="24" w:gutter="0" w:footer="0" w:header="0"/>
        </w:sectPr>
      </w:pPr>
    </w:p>
    <w:p>
      <w:pPr>
        <w:spacing w:after="0" w:line="225" w:lineRule="exact"/>
        <w:rPr>
          <w:sz w:val="24"/>
          <w:szCs w:val="24"/>
          <w:color w:val="auto"/>
        </w:rPr>
      </w:pPr>
    </w:p>
    <w:p>
      <w:pPr>
        <w:ind w:left="3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00" w:space="720"/>
            <w:col w:w="9220"/>
          </w:cols>
          <w:pgMar w:left="320" w:top="226" w:right="339" w:bottom="24" w:gutter="0" w:footer="0" w:header="0"/>
          <w:type w:val="continuous"/>
        </w:sectPr>
      </w:pPr>
    </w:p>
    <w:p>
      <w:pPr>
        <w:spacing w:after="0" w:line="22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For the fiscal year ended December 31, 2024</w:t>
      </w:r>
    </w:p>
    <w:p>
      <w:pPr>
        <w:spacing w:after="0" w:line="17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OR</w:t>
      </w:r>
    </w:p>
    <w:p>
      <w:pPr>
        <w:sectPr>
          <w:pgSz w:w="11900" w:h="16838" w:orient="portrait"/>
          <w:cols w:equalWidth="0" w:num="1">
            <w:col w:w="11240"/>
          </w:cols>
          <w:pgMar w:left="320" w:top="226" w:right="339" w:bottom="24" w:gutter="0" w:footer="0" w:header="0"/>
          <w:type w:val="continuous"/>
        </w:sectPr>
      </w:pPr>
    </w:p>
    <w:p>
      <w:pPr>
        <w:spacing w:after="0" w:line="234" w:lineRule="exact"/>
        <w:rPr>
          <w:sz w:val="24"/>
          <w:szCs w:val="24"/>
          <w:color w:val="auto"/>
        </w:rPr>
      </w:pPr>
    </w:p>
    <w:p>
      <w:pPr>
        <w:ind w:left="340"/>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140" w:space="720"/>
            <w:col w:w="9380"/>
          </w:cols>
          <w:pgMar w:left="320" w:top="226" w:right="339" w:bottom="24" w:gutter="0" w:footer="0" w:header="0"/>
          <w:type w:val="continuous"/>
        </w:sectPr>
      </w:pPr>
    </w:p>
    <w:p>
      <w:pPr>
        <w:spacing w:after="0" w:line="24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For the transition period from to</w:t>
      </w:r>
    </w:p>
    <w:p>
      <w:pPr>
        <w:sectPr>
          <w:pgSz w:w="11900" w:h="16838" w:orient="portrait"/>
          <w:cols w:equalWidth="0" w:num="1">
            <w:col w:w="11240"/>
          </w:cols>
          <w:pgMar w:left="320" w:top="226" w:right="339" w:bottom="24" w:gutter="0" w:footer="0" w:header="0"/>
          <w:type w:val="continuous"/>
        </w:sect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5"/>
          <w:szCs w:val="15"/>
          <w:b w:val="1"/>
          <w:bCs w:val="1"/>
          <w:color w:val="auto"/>
        </w:rPr>
        <w:t>001-41633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Burke &amp; Herbert Financial Services Corp.</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6" w:right="339" w:bottom="24" w:gutter="0" w:footer="0" w:header="0"/>
          <w:type w:val="continuous"/>
        </w:sectPr>
      </w:pPr>
    </w:p>
    <w:p>
      <w:pPr>
        <w:spacing w:after="0" w:line="34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92-0289417</w:t>
      </w:r>
    </w:p>
    <w:p>
      <w:pPr>
        <w:spacing w:after="0" w:line="17" w:lineRule="exact"/>
        <w:rPr>
          <w:sz w:val="24"/>
          <w:szCs w:val="24"/>
          <w:color w:val="auto"/>
        </w:rPr>
      </w:pPr>
    </w:p>
    <w:p>
      <w:pPr>
        <w:sectPr>
          <w:pgSz w:w="11900" w:h="16838" w:orient="portrait"/>
          <w:cols w:equalWidth="0" w:num="2">
            <w:col w:w="7960" w:space="720"/>
            <w:col w:w="2560"/>
          </w:cols>
          <w:pgMar w:left="320" w:top="226" w:right="339" w:bottom="24" w:gutter="0" w:footer="0" w:header="0"/>
          <w:type w:val="continuous"/>
        </w:sectPr>
      </w:pPr>
    </w:p>
    <w:p>
      <w:pPr>
        <w:ind w:left="138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36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30" w:lineRule="exact"/>
        <w:rPr>
          <w:sz w:val="24"/>
          <w:szCs w:val="24"/>
          <w:color w:val="auto"/>
        </w:rPr>
      </w:pPr>
    </w:p>
    <w:p>
      <w:pPr>
        <w:sectPr>
          <w:pgSz w:w="11900" w:h="16838" w:orient="portrait"/>
          <w:cols w:equalWidth="0" w:num="2">
            <w:col w:w="7320" w:space="720"/>
            <w:col w:w="3200"/>
          </w:cols>
          <w:pgMar w:left="320" w:top="226" w:right="339" w:bottom="24" w:gutter="0" w:footer="0" w:header="0"/>
          <w:type w:val="continuous"/>
        </w:sectPr>
      </w:pPr>
    </w:p>
    <w:p>
      <w:pPr>
        <w:spacing w:after="0" w:line="48"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5"/>
          <w:szCs w:val="15"/>
          <w:b w:val="1"/>
          <w:bCs w:val="1"/>
          <w:color w:val="auto"/>
        </w:rPr>
        <w:t>100 S. Fairfax Street, Alexandria, Virginia</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22314</w:t>
      </w:r>
    </w:p>
    <w:p>
      <w:pPr>
        <w:spacing w:after="0" w:line="36" w:lineRule="exact"/>
        <w:rPr>
          <w:sz w:val="24"/>
          <w:szCs w:val="24"/>
          <w:color w:val="auto"/>
        </w:rPr>
      </w:pPr>
    </w:p>
    <w:p>
      <w:pPr>
        <w:sectPr>
          <w:pgSz w:w="11900" w:h="16838" w:orient="portrait"/>
          <w:cols w:equalWidth="0" w:num="2">
            <w:col w:w="8220" w:space="720"/>
            <w:col w:w="2300"/>
          </w:cols>
          <w:pgMar w:left="320" w:top="226" w:right="339" w:bottom="24"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100" w:space="720"/>
            <w:col w:w="2420"/>
          </w:cols>
          <w:pgMar w:left="320" w:top="226" w:right="339" w:bottom="24" w:gutter="0" w:footer="0" w:header="0"/>
          <w:type w:val="continuous"/>
        </w:sectPr>
      </w:pP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703-666-3555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ectPr>
          <w:pgSz w:w="11900" w:h="16838" w:orient="portrait"/>
          <w:cols w:equalWidth="0" w:num="1">
            <w:col w:w="11240"/>
          </w:cols>
          <w:pgMar w:left="320" w:top="226" w:right="339" w:bottom="24" w:gutter="0" w:footer="0" w:header="0"/>
          <w:type w:val="continuous"/>
        </w:sectPr>
      </w:pP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5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78"/>
        </w:trPr>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 par value $0.50 per share</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4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4"/>
        </w:trPr>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6" w:right="339" w:bottom="24" w:gutter="0" w:footer="0" w:header="0"/>
          <w:type w:val="continuous"/>
        </w:sectPr>
      </w:pPr>
    </w:p>
    <w:bookmarkStart w:id="1" w:name="page2"/>
    <w:bookmarkEnd w:id="1"/>
    <w:p>
      <w:pPr>
        <w:jc w:val="both"/>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2"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of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2"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2"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5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7"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The aggregate market value of the voting common equity held by non-affiliates of the registrant at June 30, 2024, was approximately $685,478,000. Registrant has assumed that all of its executive officers and directors are affiliates. Such assumption shall not be deemed to be conclusive for any other purpose.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March 10, 2025, was 14,982,655.</w:t>
      </w:r>
    </w:p>
    <w:p>
      <w:pPr>
        <w:spacing w:after="0" w:line="1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52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Document</w:t>
            </w:r>
          </w:p>
        </w:tc>
        <w:tc>
          <w:tcPr>
            <w:tcW w:w="5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Part of Form 10-K into which document is incorporated</w:t>
            </w:r>
          </w:p>
        </w:tc>
        <w:tc>
          <w:tcPr>
            <w:tcW w:w="340" w:type="dxa"/>
            <w:vAlign w:val="bottom"/>
          </w:tcPr>
          <w:p>
            <w:pPr>
              <w:spacing w:after="0"/>
              <w:rPr>
                <w:sz w:val="19"/>
                <w:szCs w:val="19"/>
                <w:color w:val="auto"/>
              </w:rPr>
            </w:pPr>
          </w:p>
        </w:tc>
      </w:tr>
      <w:tr>
        <w:trPr>
          <w:trHeight w:val="164"/>
        </w:trPr>
        <w:tc>
          <w:tcPr>
            <w:tcW w:w="360" w:type="dxa"/>
            <w:vAlign w:val="bottom"/>
          </w:tcPr>
          <w:p>
            <w:pPr>
              <w:spacing w:after="0"/>
              <w:rPr>
                <w:sz w:val="14"/>
                <w:szCs w:val="14"/>
                <w:color w:val="auto"/>
              </w:rPr>
            </w:pPr>
          </w:p>
        </w:tc>
        <w:tc>
          <w:tcPr>
            <w:tcW w:w="52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w w:val="97"/>
              </w:rPr>
              <w:t>Portions of the Registrant’s Proxy Statement for the Annual Meeting</w:t>
            </w:r>
          </w:p>
        </w:tc>
        <w:tc>
          <w:tcPr>
            <w:tcW w:w="532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b w:val="1"/>
                <w:bCs w:val="1"/>
                <w:color w:val="auto"/>
              </w:rPr>
              <w:t>Part III - Items 10, 11, 12, 13 and 14</w:t>
            </w:r>
          </w:p>
        </w:tc>
        <w:tc>
          <w:tcPr>
            <w:tcW w:w="340" w:type="dxa"/>
            <w:vAlign w:val="bottom"/>
          </w:tcPr>
          <w:p>
            <w:pPr>
              <w:spacing w:after="0"/>
              <w:rPr>
                <w:sz w:val="14"/>
                <w:szCs w:val="14"/>
                <w:color w:val="auto"/>
              </w:rPr>
            </w:pPr>
          </w:p>
        </w:tc>
      </w:tr>
      <w:tr>
        <w:trPr>
          <w:trHeight w:val="230"/>
        </w:trPr>
        <w:tc>
          <w:tcPr>
            <w:tcW w:w="3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 Shareholders expected to be held on May 22, 2025</w:t>
            </w:r>
          </w:p>
        </w:tc>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48"/>
        </w:trPr>
        <w:tc>
          <w:tcPr>
            <w:tcW w:w="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40" w:type="dxa"/>
            <w:vAlign w:val="bottom"/>
            <w:gridSpan w:val="8"/>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03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0360" w:type="dxa"/>
            <w:vAlign w:val="bottom"/>
            <w:gridSpan w:val="23"/>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5"/>
              </w:rPr>
              <w:t>Item 1. Business</w:t>
            </w:r>
          </w:p>
        </w:tc>
        <w:tc>
          <w:tcPr>
            <w:tcW w:w="8980" w:type="dxa"/>
            <w:vAlign w:val="bottom"/>
            <w:gridSpan w:val="20"/>
          </w:tcPr>
          <w:p>
            <w:pPr>
              <w:spacing w:after="0"/>
              <w:rPr>
                <w:sz w:val="16"/>
                <w:szCs w:val="16"/>
                <w:color w:val="auto"/>
              </w:rPr>
            </w:pPr>
          </w:p>
        </w:tc>
        <w:tc>
          <w:tcPr>
            <w:tcW w:w="8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540" w:type="dxa"/>
            <w:vAlign w:val="bottom"/>
            <w:gridSpan w:val="5"/>
          </w:tcPr>
          <w:p>
            <w:pPr>
              <w:spacing w:after="0" w:line="203" w:lineRule="exact"/>
              <w:rPr>
                <w:sz w:val="20"/>
                <w:szCs w:val="20"/>
                <w:color w:val="auto"/>
              </w:rPr>
            </w:pPr>
            <w:r>
              <w:rPr>
                <w:rFonts w:ascii="Times New Roman" w:cs="Times New Roman" w:eastAsia="Times New Roman" w:hAnsi="Times New Roman"/>
                <w:sz w:val="18"/>
                <w:szCs w:val="18"/>
                <w:color w:val="0000FF"/>
                <w:w w:val="95"/>
              </w:rPr>
              <w:t>Item 1A. Risk Factors</w:t>
            </w:r>
          </w:p>
        </w:tc>
        <w:tc>
          <w:tcPr>
            <w:tcW w:w="8600" w:type="dxa"/>
            <w:vAlign w:val="bottom"/>
            <w:gridSpan w:val="17"/>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2640" w:type="dxa"/>
            <w:vAlign w:val="bottom"/>
            <w:gridSpan w:val="12"/>
          </w:tcPr>
          <w:p>
            <w:pPr>
              <w:spacing w:after="0" w:line="203" w:lineRule="exact"/>
              <w:rPr>
                <w:sz w:val="20"/>
                <w:szCs w:val="20"/>
                <w:color w:val="auto"/>
              </w:rPr>
            </w:pPr>
            <w:r>
              <w:rPr>
                <w:rFonts w:ascii="Times New Roman" w:cs="Times New Roman" w:eastAsia="Times New Roman" w:hAnsi="Times New Roman"/>
                <w:sz w:val="18"/>
                <w:szCs w:val="18"/>
                <w:color w:val="0000FF"/>
                <w:w w:val="96"/>
              </w:rPr>
              <w:t>Item 1B. Unresolved Staff Comments</w:t>
            </w:r>
          </w:p>
        </w:tc>
        <w:tc>
          <w:tcPr>
            <w:tcW w:w="7500" w:type="dxa"/>
            <w:vAlign w:val="bottom"/>
            <w:gridSpan w:val="10"/>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64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0000FF"/>
                <w:w w:val="96"/>
              </w:rPr>
              <w:t>Item 1C. Cybersecurity</w:t>
            </w:r>
          </w:p>
        </w:tc>
        <w:tc>
          <w:tcPr>
            <w:tcW w:w="1000" w:type="dxa"/>
            <w:vAlign w:val="bottom"/>
            <w:gridSpan w:val="6"/>
          </w:tcPr>
          <w:p>
            <w:pPr>
              <w:spacing w:after="0"/>
              <w:rPr>
                <w:sz w:val="17"/>
                <w:szCs w:val="17"/>
                <w:color w:val="auto"/>
              </w:rPr>
            </w:pPr>
          </w:p>
        </w:tc>
        <w:tc>
          <w:tcPr>
            <w:tcW w:w="7500" w:type="dxa"/>
            <w:vAlign w:val="bottom"/>
            <w:gridSpan w:val="10"/>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64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0000FF"/>
              </w:rPr>
              <w:t>Item 2. Properties</w:t>
            </w:r>
          </w:p>
        </w:tc>
        <w:tc>
          <w:tcPr>
            <w:tcW w:w="8500" w:type="dxa"/>
            <w:vAlign w:val="bottom"/>
            <w:gridSpan w:val="16"/>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014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Item 3. Legal Proceedings</w:t>
            </w: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2260" w:type="dxa"/>
            <w:vAlign w:val="bottom"/>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6"/>
              </w:rPr>
              <w:t>Item 4. Mine Safety Disclosures</w:t>
            </w:r>
          </w:p>
        </w:tc>
        <w:tc>
          <w:tcPr>
            <w:tcW w:w="7880" w:type="dxa"/>
            <w:vAlign w:val="bottom"/>
            <w:gridSpan w:val="12"/>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1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8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30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0000FF"/>
                <w:w w:val="95"/>
              </w:rPr>
              <w:t>Item 6. (Reserved)</w:t>
            </w:r>
          </w:p>
        </w:tc>
        <w:tc>
          <w:tcPr>
            <w:tcW w:w="7080" w:type="dxa"/>
            <w:vAlign w:val="bottom"/>
            <w:gridSpan w:val="17"/>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680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w w:val="96"/>
              </w:rPr>
              <w:t>Item 7. Management's Discussion and Analysis of Financial Condition and Results of Operations</w:t>
            </w:r>
          </w:p>
        </w:tc>
        <w:tc>
          <w:tcPr>
            <w:tcW w:w="3340" w:type="dxa"/>
            <w:vAlign w:val="bottom"/>
            <w:gridSpan w:val="3"/>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680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3340" w:type="dxa"/>
            <w:vAlign w:val="bottom"/>
            <w:gridSpan w:val="3"/>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80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4840" w:type="dxa"/>
            <w:vAlign w:val="bottom"/>
            <w:gridSpan w:val="16"/>
          </w:tcPr>
          <w:p>
            <w:pPr>
              <w:spacing w:after="0" w:line="203" w:lineRule="exact"/>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5300" w:type="dxa"/>
            <w:vAlign w:val="bottom"/>
            <w:gridSpan w:val="6"/>
          </w:tcPr>
          <w:p>
            <w:pPr>
              <w:spacing w:after="0"/>
              <w:rPr>
                <w:sz w:val="17"/>
                <w:szCs w:val="17"/>
                <w:color w:val="auto"/>
              </w:rPr>
            </w:pP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82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014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150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236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w w:val="94"/>
              </w:rPr>
              <w:t>Item 9A. Controls and Procedures</w:t>
            </w:r>
          </w:p>
        </w:tc>
        <w:tc>
          <w:tcPr>
            <w:tcW w:w="4440" w:type="dxa"/>
            <w:vAlign w:val="bottom"/>
            <w:gridSpan w:val="8"/>
          </w:tcPr>
          <w:p>
            <w:pPr>
              <w:spacing w:after="0"/>
              <w:rPr>
                <w:sz w:val="17"/>
                <w:szCs w:val="17"/>
                <w:color w:val="auto"/>
              </w:rPr>
            </w:pPr>
          </w:p>
        </w:tc>
        <w:tc>
          <w:tcPr>
            <w:tcW w:w="33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w w:val="88"/>
              </w:rPr>
              <w:t>151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236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rPr>
              <w:t>Item 9B. Other Information</w:t>
            </w:r>
          </w:p>
        </w:tc>
        <w:tc>
          <w:tcPr>
            <w:tcW w:w="778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w w:val="88"/>
              </w:rPr>
              <w:t>152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420" w:type="dxa"/>
            <w:vAlign w:val="bottom"/>
            <w:gridSpan w:val="17"/>
          </w:tcPr>
          <w:p>
            <w:pPr>
              <w:spacing w:after="0" w:line="203" w:lineRule="exact"/>
              <w:rPr>
                <w:sz w:val="20"/>
                <w:szCs w:val="20"/>
                <w:color w:val="auto"/>
              </w:rPr>
            </w:pPr>
            <w:r>
              <w:rPr>
                <w:rFonts w:ascii="Times New Roman" w:cs="Times New Roman" w:eastAsia="Times New Roman" w:hAnsi="Times New Roman"/>
                <w:sz w:val="18"/>
                <w:szCs w:val="18"/>
                <w:color w:val="0000FF"/>
                <w:w w:val="96"/>
              </w:rPr>
              <w:t>Item 9C. Disclosure Regarding Foreign Jurisdictions that Prevent Inspections</w:t>
            </w:r>
          </w:p>
        </w:tc>
        <w:tc>
          <w:tcPr>
            <w:tcW w:w="472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w w:val="88"/>
              </w:rPr>
              <w:t>153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1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8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154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464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550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w w:val="88"/>
              </w:rPr>
              <w:t>155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0140" w:type="dxa"/>
            <w:vAlign w:val="bottom"/>
            <w:gridSpan w:val="22"/>
          </w:tcPr>
          <w:p>
            <w:pPr>
              <w:spacing w:after="0" w:line="203"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860" w:type="dxa"/>
            <w:vAlign w:val="bottom"/>
            <w:gridSpan w:val="5"/>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156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4"/>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920" w:type="dxa"/>
            <w:vAlign w:val="bottom"/>
            <w:gridSpan w:val="18"/>
          </w:tcPr>
          <w:p>
            <w:pPr>
              <w:spacing w:after="0" w:line="203" w:lineRule="exact"/>
              <w:rPr>
                <w:sz w:val="20"/>
                <w:szCs w:val="20"/>
                <w:color w:val="auto"/>
              </w:rPr>
            </w:pPr>
            <w:r>
              <w:rPr>
                <w:rFonts w:ascii="Times New Roman" w:cs="Times New Roman" w:eastAsia="Times New Roman" w:hAnsi="Times New Roman"/>
                <w:sz w:val="18"/>
                <w:szCs w:val="18"/>
                <w:color w:val="0000FF"/>
                <w:w w:val="96"/>
              </w:rPr>
              <w:t>Item 13. Certain Relationships and Related Transactions, and Director Independence</w:t>
            </w:r>
          </w:p>
        </w:tc>
        <w:tc>
          <w:tcPr>
            <w:tcW w:w="1780" w:type="dxa"/>
            <w:vAlign w:val="bottom"/>
            <w:gridSpan w:val="2"/>
          </w:tcPr>
          <w:p>
            <w:pPr>
              <w:spacing w:after="0"/>
              <w:rPr>
                <w:sz w:val="17"/>
                <w:szCs w:val="17"/>
                <w:color w:val="auto"/>
              </w:rPr>
            </w:pPr>
          </w:p>
        </w:tc>
        <w:tc>
          <w:tcPr>
            <w:tcW w:w="244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w w:val="88"/>
              </w:rPr>
              <w:t>157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4"/>
            <w:shd w:val="clear" w:color="auto" w:fill="0000FF"/>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920" w:type="dxa"/>
            <w:vAlign w:val="bottom"/>
            <w:gridSpan w:val="18"/>
          </w:tcPr>
          <w:p>
            <w:pPr>
              <w:spacing w:after="0" w:line="203" w:lineRule="exact"/>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422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w w:val="88"/>
              </w:rPr>
              <w:t>158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37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15. Exhibits and Financial Statement Schedules</w:t>
            </w:r>
          </w:p>
        </w:tc>
        <w:tc>
          <w:tcPr>
            <w:tcW w:w="6440" w:type="dxa"/>
            <w:vAlign w:val="bottom"/>
            <w:gridSpan w:val="8"/>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159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4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3700" w:type="dxa"/>
            <w:vAlign w:val="bottom"/>
            <w:gridSpan w:val="14"/>
          </w:tcPr>
          <w:p>
            <w:pPr>
              <w:spacing w:after="0" w:line="203" w:lineRule="exact"/>
              <w:rPr>
                <w:sz w:val="20"/>
                <w:szCs w:val="20"/>
                <w:color w:val="auto"/>
              </w:rPr>
            </w:pPr>
            <w:r>
              <w:rPr>
                <w:rFonts w:ascii="Times New Roman" w:cs="Times New Roman" w:eastAsia="Times New Roman" w:hAnsi="Times New Roman"/>
                <w:sz w:val="18"/>
                <w:szCs w:val="18"/>
                <w:color w:val="0000FF"/>
              </w:rPr>
              <w:t>Item 16. Form 10-K Summary</w:t>
            </w:r>
          </w:p>
        </w:tc>
        <w:tc>
          <w:tcPr>
            <w:tcW w:w="644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w w:val="88"/>
              </w:rPr>
              <w:t>162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8"/>
            <w:shd w:val="clear" w:color="auto" w:fill="0000FF"/>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0000FF"/>
                <w:w w:val="94"/>
              </w:rPr>
              <w:t>Signatures</w:t>
            </w:r>
          </w:p>
        </w:tc>
        <w:tc>
          <w:tcPr>
            <w:tcW w:w="1380" w:type="dxa"/>
            <w:vAlign w:val="bottom"/>
            <w:gridSpan w:val="8"/>
          </w:tcPr>
          <w:p>
            <w:pPr>
              <w:spacing w:after="0"/>
              <w:rPr>
                <w:sz w:val="17"/>
                <w:szCs w:val="17"/>
                <w:color w:val="auto"/>
              </w:rPr>
            </w:pPr>
          </w:p>
        </w:tc>
        <w:tc>
          <w:tcPr>
            <w:tcW w:w="8020" w:type="dxa"/>
            <w:vAlign w:val="bottom"/>
            <w:gridSpan w:val="13"/>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w w:val="88"/>
              </w:rPr>
              <w:t>163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Names</w:t>
      </w:r>
    </w:p>
    <w:p>
      <w:pPr>
        <w:spacing w:after="0" w:line="163"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As used throughout this Form 10-K, the “Company,” “we,” “our,” and “us” refer to Burke &amp; Herbert Financial Services Corp., and the “Bank” refers to Burke &amp; Herbert Bank &amp; Trust Company, a Virginia chartered bank and wholly owned subsidiary of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63"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This Form 10-K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10-K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Securities and Exchange Commission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41"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Risks, uncertainties, and other factors which may cause the actual results, performance, or achievements of the Company, as applicable, to be materially different from any future results, performance, or achievements expressed or implied by such forward-looking information and statements include, but are not limited to, the risks described in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xml:space="preserve"> in this Form 10-K.</w:t>
      </w:r>
    </w:p>
    <w:p>
      <w:pPr>
        <w:spacing w:after="0" w:line="135"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Readers are cautioned not to place undue reliance on any forward-looking statements contained in this Form 10-K,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Form 10-K.</w:t>
      </w:r>
    </w:p>
    <w:p>
      <w:pPr>
        <w:spacing w:after="0" w:line="99"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We have made, and will continue to make, various forward-looking statements with respect to financial and business matters. Comments regarding our business that are not historical facts are considered forward-looking statements that involve inherent risks and uncertainties. Actual results may differ materially from those contained in these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under the JOBS Act and as defined in Section 2(a) of the Securities Act of 1934, as amended (the “Securities Act”). For as long as we are an emerging growth company, we may choose to take advantage of exemptions from various reporting requirements applicable to other public companies but not to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an emerging growth company:</w:t>
      </w:r>
    </w:p>
    <w:p>
      <w:pPr>
        <w:spacing w:after="0" w:line="161" w:lineRule="exact"/>
        <w:rPr>
          <w:sz w:val="20"/>
          <w:szCs w:val="20"/>
          <w:color w:val="auto"/>
        </w:rPr>
      </w:pPr>
    </w:p>
    <w:p>
      <w:pPr>
        <w:ind w:left="640" w:hanging="320"/>
        <w:spacing w:after="0" w:line="267"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the requirement to obtain an attestation and report from our auditors on management’s assessment of our internal control over financial reporting under the Sarbanes-Oxley Act of 2002;</w:t>
      </w:r>
    </w:p>
    <w:p>
      <w:pPr>
        <w:spacing w:after="0" w:line="11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permitted to provide less extensive disclosure about our executive compensation arrangements; and</w:t>
      </w:r>
    </w:p>
    <w:p>
      <w:pPr>
        <w:spacing w:after="0" w:line="160"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permitted to include less extensive narrative disclosures than required of other reporting companies, including with respect to executive compensation.</w:t>
      </w:r>
    </w:p>
    <w:p>
      <w:pPr>
        <w:spacing w:after="0" w:line="117"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In this Form 10-K (including the portions of our proxy statement for our 2025 annual meeting, being incorporated herein by reference), we have elected to take advantage of the reduced disclosure requirements relating to executive compensation, and the exemption for auditor attestation over our internal controls, and in the future, we may take advantage of any or all of these exemptions for so long as we remain an emerging growth company. We could remain an emerging growth company until the last day of the fiscal year following the fifth anniversary of the first sale of our common equity securities in an offering registered under the Securities Act or until the earliest of (i) the end of the first fiscal year during which we have total annual gross revenues of $1.235 billion or more, (ii) the date on which we have, during the previous three-year period, issued more than $1.0 billion in non-convertible debt, or (iii) the date on which we are deemed to be a “large accelerated filer” as defined in Exchange Act Rule 12b-2.</w:t>
      </w:r>
    </w:p>
    <w:p>
      <w:pPr>
        <w:spacing w:after="0" w:line="137"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In addition to the relief described above, the JOBS Act exempts emerging growth companies from compliance with new or revised financial accounting standards until private companies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1A — Risk Factors</w:t>
      </w:r>
      <w:r>
        <w:rPr>
          <w:rFonts w:ascii="Times New Roman" w:cs="Times New Roman" w:eastAsia="Times New Roman" w:hAnsi="Times New Roman"/>
          <w:sz w:val="18"/>
          <w:szCs w:val="18"/>
          <w:color w:val="auto"/>
        </w:rPr>
        <w:t xml:space="preserve"> of this Form 10-K for more information on emerging growth companies.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3"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This Form 10-K contains data concerning the Company’s industry and the markets in which it operates that is based on publicly available third-party sources as well as industry and forecast data prepared by Company management on the basis of its knowledge of the banking industries, gained through its experience and participation in the industry. Company management believes that this data is accurate and that its estimates and assumptions are reasonable. The Company has not independently verified any of the data from third-party sources referred to in this Form 10-K or analyzed or verified the underlying studies or surveys relied upon or referred to by such sources, or ascertained the underlying economic assumptions relied upon or referred to by such sources. None of these third-party sources has provided any form of consultation, advice or counsel regarding any aspect of, or is in any way whatsoever associated with this Form 10-K. Such data involves risks and uncertainties and is subject to change based on various factors, including those discussed under the headings “Disclosure Regarding Forward-Looking Statements” and “Risk Factors”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5"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Burke &amp; Herbert Bank &amp; Trust Company. The Company became a bank holding company when it commenced operations on October 1, 2022, following a reorganization transaction in which it acquired control of the Bank under the Bank Holding Company Act of 1956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Board of Governors of the Federal Reserve System (the “Federal Reserve”) and the Bureau of Financial Institutions of the Virginia State Corporation Commission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9"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Company is authorized to issue forty million (40,000,000) shares of common stock, par value $0.50 per share (“Common Stock”), of which there were 14,982,655 outstanding as of the date of this Form 10-K. The Company’s authorized capital also consists of up to two million (2,000,000) shares of serial preferred stock, par value $1.00 (“Serial Preferred Stock”) of which there were 1,500 outstanding shares of the Burke &amp; Herbert Series 2021 Preferred Stock (the “Burke &amp; Herbert Series 2021 Preferred Stock”) as of the date of this Form 10-K. These authorized capital share amounts reflect a share-split authorized and approved by the Company’s Board of Directors (the “Board”) and effective November 15, 2022, that provided for a forty-for-one split of the Company’s Common Stock, with each shareholder receiving forty (40) post-split shares for each one (1) share held prior to the split. All share amounts presented throughout this Form 10-K are presented on a post-split basis.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Common Stock is currently quoted on the Nasdaq Stock Market LLC (“Nasdaq”) under the symbol “BHRB.”</w:t>
      </w:r>
    </w:p>
    <w:p>
      <w:pPr>
        <w:spacing w:after="0" w:line="161"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We primarily serve small to medium-sized businesses, their owners and employees, professional corporations, non-profits, and individuals with a broad range of banking products and financial services. Some of the products and services that we offer include checking, savings and money market accounts, certificates of deposit, treasury and cash management services, commercial and industrial loans, commercial real estate loans, residential mortgage, acquisition, construction &amp; development loans, online banking, mobile banking, and wealth &amp; trust services. As of December 31, 2024, we had total consolidated assets of $7.8 billion, gross loans of $5.6 billion, total deposits of $6.5 billion, and total shareholders’ equity of $730 million.</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65" w:lineRule="exact"/>
        <w:rPr>
          <w:sz w:val="20"/>
          <w:szCs w:val="20"/>
          <w:color w:val="auto"/>
        </w:rPr>
      </w:pPr>
    </w:p>
    <w:p>
      <w:pPr>
        <w:jc w:val="both"/>
        <w:ind w:firstLine="315"/>
        <w:spacing w:after="0" w:line="283" w:lineRule="auto"/>
        <w:rPr>
          <w:sz w:val="20"/>
          <w:szCs w:val="20"/>
          <w:color w:val="auto"/>
        </w:rPr>
      </w:pPr>
      <w:r>
        <w:rPr>
          <w:rFonts w:ascii="Times New Roman" w:cs="Times New Roman" w:eastAsia="Times New Roman" w:hAnsi="Times New Roman"/>
          <w:sz w:val="16"/>
          <w:szCs w:val="16"/>
          <w:color w:val="auto"/>
        </w:rPr>
        <w:t>We are a community-oriented financial institution. We seek to be the provider of choice for financial solutions to customers who value exceptional personalized service, local decision making, and modern banking technology. Our business involves attracting deposits from local businesses and individual customers and using these deposits to originate commercial, mortgage, and consumer loans in our market area. We also invest in securities consisting primarily of U.S Government Treasuries, obligations of U.S. government-sponsored entities (“GSEs”), municipal obligations, mortgage-backed securities issued by Federal National Mortgage Association (“Fannie Mae”), the Federal Home Loan Mortgage Corporation (“Freddie Mac”), and the Government National Mortgage Association (“Ginnie Mae”), and the subordinated debt of other financial institutions. We are the owner and beneficiary of Company-owned life insurance policies on certain current and former Bank employees. These policies generate income and can be liquidated, if necessary, with associated tax costs.</w:t>
      </w:r>
    </w:p>
    <w:p>
      <w:pPr>
        <w:spacing w:after="0" w:line="109"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We are focused on growing business relationships and building core deposits, profitable loans, and non-interest income. We believe that we have a solid franchise that meets the financial needs of our clients and communities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providing an array of personalized products and services delivered by seasoned professionals with decisions made at the local level. We strive to be the leading community bank in our markets.</w:t>
      </w:r>
    </w:p>
    <w:p>
      <w:pPr>
        <w:spacing w:after="0" w:line="11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Management believes that the Company is well positioned to build on its core performance and continue to grow profitably. Although we have successfully attracted new associates, providing depth and talent in key positions, additional employees and infrastructure are expected to be needed to manage the increasing customer relationships that will come with sustained growth.</w:t>
      </w:r>
    </w:p>
    <w:p>
      <w:pPr>
        <w:spacing w:after="0" w:line="128"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Federal Reserve and the Virginia State Corporation Commission, through the Virginia BFI, regulate and monitor operations of the Company and the Bank. The Federal Reserve and the Virginia BFI conduct periodic onsite and offsite examinations. We must comply with a wide variety of reporting requirements and banking regulations. The laws and regulations governing us generally have been promulgated to protect depositors, borrowers, the financial system, and the federal Deposit Insurance Fund (“DIF”) and not to protect shareholders. Additionally, we must bear the cost of compliance with the reporting and regulations; these costs can be significant and may have an effect on our financial performance.</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Effective on May 3, 2024 (“the Closing Date”), the Company completed its merger (the “Merger”) with Summit Financial Group, Inc., a West Virginia corporation (“Summit”), pursuant to the Agreement and Plan of Reorganization and accompanying Plan of Merger dated August 24, 2023 between the Company and Summit (the “Merger Agreement).</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the Company with the Company as the surviving entity, and (ii) immediately following the Merger, Summit Community Bank, Inc., a West Virginia chartered bank and wholly-owned subsidiary of Summit (“SCB”) merged with and into the Bank, with the Bank as the surviving bank.</w:t>
      </w:r>
    </w:p>
    <w:p>
      <w:pPr>
        <w:spacing w:after="0" w:line="128"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color w:val="auto"/>
        </w:rPr>
        <w:t>In the Merger, holders of Summit common stock outstanding at the effective time of the Merger received 0.5043 shares of the Company Common Stock for each share of Summit common stock they owned, subject to the payment of cash in lieu of fractional shares. The total aggregate consideration payable in the Merger was approximately 7,405,772 shares of the Company Common Stock. Additionally, each share of the 6.0% Fixed Rate Non-Cumulative Perpetual Preferred Stock, Series 2021 of Summit (the “Summit Series 2021 Preferred Stock”) issued and outstanding was converted into the right to receive a share of a newly created series of preferred stock of the Company, the Burke &amp; Herbert Series 2021 Preferred Stock. Summit’s results of operations are included from the Closing Date forward. As of December 31, 2024, the Company had recognized $36.5 million in merger-related expenses in connection with this transaction.</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Area</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 key factor in our ability to achieve our strategic goals and create shareholder value is the attractiveness of our market area. The market area in which we operate has seen considerable population and economic growth over the past several decades. The most recent economic data suggests that the relative economic strength of our market area will continue, enabling us to further grow our customer base and provide opportunities to grow our market share.</w:t>
      </w:r>
    </w:p>
    <w:p>
      <w:pPr>
        <w:spacing w:after="0" w:line="128"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32"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greater Washington, D.C. area is the seventh largest Metropolitan Statistical Areas (“MSA”) in the country, according to the U.S. Census Bureau, with over 6.3 million residents. The real gross domestic product (“GDP”) of the MSA was $600 million in 2023, and if the MSA were a U.S. state it would have ranked 14th in GDP for such period. Twenty of the largest Fortune 500 companies are headquartered within the region as of 2024. Many employers within this MSA thrive and grow due to a large, well-educated labor force and over nineteen colleges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universities. According to the U.S. Census Bureau, as of 2023, nearly 55% of the population 25 years and over has a bachelor’s degree or higher (compared to the U.S. average of 38%). Local academic institutions proactively invest in programs and facilities, particularly in technical fields, which benefit the area’s ability to produce well-trained workers to satisfy the demands of area employers.</w:t>
      </w:r>
    </w:p>
    <w:p>
      <w:pPr>
        <w:spacing w:after="0" w:line="128"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With respect to banking statistics in the Washington, D.C. market, as of June 30, 2024, the MSA had total deposits of $291.7 billion, ranking it the 13th largest MSA in the United States in total deposits, according to the Federal Deposit Insurance Corporation (the “FDIC”). FDIC data also shows that the top five banks inside the Washington, D.C. MSA are mostly nationally chartered and control 66.7% of the area’s deposit base. As of June 30, 2024, our deposits on account within the Washington, D.C. MSA were $3.2 billion, or 1.1% market share, ranking the Company 15th in the MSA. Over half of the banks that ranked ahead of the Company are headquartered outside of our market area. Our market area has experienced a significant degree of banking consolidation over the last several decades. We believe that as financial institutions are merged with or acquired by remote, larger institutions, their customers can become further removed from the point of decision making. The consolidation trend provides an opportunity for the Company to execute a focused strategy of offering personalized services to attract potential customers who are underserved or dissatisfied.</w:t>
      </w:r>
    </w:p>
    <w:p>
      <w:pPr>
        <w:spacing w:after="0" w:line="134"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We expect the Washington D.C. MSA will build upon its rank as a stable and growing economy by fostering education, technological innovation, job creation, capital formation, and economic diversification. We believe the size, growth, economic diversity, and banking consolidation within the Washington D.C. MSA, when combined with our business strategy, will provide the Company with excellent opportunities for long-term, sustainable growth.</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Strengths</w:t>
      </w:r>
    </w:p>
    <w:p>
      <w:pPr>
        <w:spacing w:after="0" w:line="165"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We continually review our product offerings, and based on these reviews, may selectively add additional products to provide further diversification of our revenue sources and to capture our customers’ full banking relationships. We believe that the following business strengths have been instrumental to the success of our core operations and will enable us to continue profitable growth and to maximize value to our shareholders, while remaining fundamentally sound.</w:t>
      </w:r>
    </w:p>
    <w:p>
      <w:pPr>
        <w:spacing w:after="0" w:line="91" w:lineRule="exact"/>
        <w:rPr>
          <w:sz w:val="20"/>
          <w:szCs w:val="20"/>
          <w:color w:val="auto"/>
        </w:rPr>
      </w:pPr>
    </w:p>
    <w:p>
      <w:pPr>
        <w:jc w:val="both"/>
        <w:ind w:left="640" w:hanging="320"/>
        <w:spacing w:after="0" w:line="247"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Community Banking Philosophy. </w:t>
      </w:r>
      <w:r>
        <w:rPr>
          <w:rFonts w:ascii="Times New Roman" w:cs="Times New Roman" w:eastAsia="Times New Roman" w:hAnsi="Times New Roman"/>
          <w:sz w:val="18"/>
          <w:szCs w:val="18"/>
          <w:color w:val="auto"/>
        </w:rPr>
        <w:t>We provide our clients with local decision making and individualized service, coupled with products and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to those offered by our larger institutional competitors. As our business lenders, officers, and Bank directors are based in or reside in the communities we serve, we are able to maintain a high level of involvement in local organizations and establish a strong understanding of the banking needs of the respective communities. We believe that our customer-centric business philosophy and service-oriented sales approach enables us to build long-term relationships with desirable customers, which enhances the quality and stability of our funding and lending operations. Our mission and philosophy have positioned us well in the communities across our market area and have enabled us to attract and maintain a highly talented and experienced management team.</w:t>
      </w:r>
    </w:p>
    <w:p>
      <w:pPr>
        <w:spacing w:after="0" w:line="136" w:lineRule="exact"/>
        <w:rPr>
          <w:rFonts w:ascii="Times New Roman" w:cs="Times New Roman" w:eastAsia="Times New Roman" w:hAnsi="Times New Roman"/>
          <w:sz w:val="18"/>
          <w:szCs w:val="18"/>
          <w:color w:val="auto"/>
        </w:rPr>
      </w:pPr>
    </w:p>
    <w:p>
      <w:pPr>
        <w:jc w:val="both"/>
        <w:ind w:left="640" w:hanging="320"/>
        <w:spacing w:after="0" w:line="248"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Disciplined Credit Culture. </w:t>
      </w:r>
      <w:r>
        <w:rPr>
          <w:rFonts w:ascii="Times New Roman" w:cs="Times New Roman" w:eastAsia="Times New Roman" w:hAnsi="Times New Roman"/>
          <w:sz w:val="18"/>
          <w:szCs w:val="18"/>
          <w:color w:val="auto"/>
        </w:rPr>
        <w:t>In originating loans, our relationship managers focus on experienced business owners with demonstrated capacity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 their financial obligations. Loan officers have relatively low individual discretionary loan authority levels, which generally results in loan committee vetting to uphold appropriate structure and terms prior to approval. Loan committee meetings are held regularly and on an as-needed basis to promote prompt decisions. We utilize an independent, nationally recognized loan review firm to validate our risk ratings and assess our underwriting and loan administration. We believe that our rigorous underwriting and diligent monitoring of the loan portfolio is consistent with our desired risk profile.</w:t>
      </w:r>
    </w:p>
    <w:p>
      <w:pPr>
        <w:spacing w:after="0" w:line="134" w:lineRule="exact"/>
        <w:rPr>
          <w:rFonts w:ascii="Times New Roman" w:cs="Times New Roman" w:eastAsia="Times New Roman" w:hAnsi="Times New Roman"/>
          <w:sz w:val="18"/>
          <w:szCs w:val="18"/>
          <w:color w:val="auto"/>
        </w:rPr>
      </w:pPr>
    </w:p>
    <w:p>
      <w:pPr>
        <w:jc w:val="both"/>
        <w:ind w:left="640" w:hanging="320"/>
        <w:spacing w:after="0" w:line="25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Conservative Balance Sheet and Capital Position. </w:t>
      </w:r>
      <w:r>
        <w:rPr>
          <w:rFonts w:ascii="Times New Roman" w:cs="Times New Roman" w:eastAsia="Times New Roman" w:hAnsi="Times New Roman"/>
          <w:sz w:val="18"/>
          <w:szCs w:val="18"/>
          <w:color w:val="auto"/>
        </w:rPr>
        <w:t>The Bank exceeds the regulatory guidelines to be classified as “well capitalized,” and our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sheet provides the foundation for prudent growth. The Company has ample liquidity to meet its obligations and fund anticipated loan growth. The Company has retained a nationally recognized asset/liability management consultancy, and we believe our balance sheet is well positioned for organic growth and potential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banking business is highly competitive, and we face competition in our market area from many other local, regional, and national financial institutions. Competition among financial institutions is based on interest rates offered on deposit accounts, interest rates charged on loans, other credit and service charges relating to loans, the quality and scope of the services rendered, the convenience of banking services, and, in the case of loans to commercial borrowers, relative lending limits. We compete with commercial banks, credit unions, savings institutions, mortgage banking firms, finance companies, including “fintech” companies, securities brokerage firms, insurance companies, money market funds and other mutual funds, as well as regional and national financial institutions that operate offices in our market area and elsewhere.</w:t>
      </w:r>
    </w:p>
    <w:p>
      <w:pPr>
        <w:spacing w:after="0" w:line="13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increasingly competitive environment is the result of changes in regulation, changes in technology and product delivery systems, additional financial service providers, and the accelerating pace of consolidation among financial services providers. Banks, securities firms, and insurance companies can affiliate under the umbrella of a financial holding company, which can offer most types of financial services, including banking, securities underwriting, and insurance. Also, technology has lowered barriers to entry and made it possible for non-banks to offer products and services traditionally provided by banks, such as automatic transfer and automatic payment systems.</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Some of our non-banking competitors, such as fintech companies, have fewer regulatory constraints and may have lower cost structures. In addition, some of our competitors have assets, capital, and lending limits greater than that of the Bank, have greater access to capital markets, and can offer a broader range of products and services than the Bank. These institutions may have the ability to finance wide-ranging advertising campaigns and may also be able to offer lower rates on loans and higher rates on deposits than we can offer.</w:t>
      </w:r>
    </w:p>
    <w:p>
      <w:pPr>
        <w:spacing w:after="0" w:line="132"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We compete with these institutions by focusing on our position as an independent community bank and rely upon relationships established by our officers, directors, and employees with our customers, promotional activities, and specialized services tailored to meet the needs of the customers we serve. We strive to provide innovative products to our customers that are value-driven. We actively cultivate relationships with our customers that extend beyond a single loan to a full suite of products that serve the needs of our commercial customers. Our goal is to develop long-standing connections with our customers and the communities that we serve. Our management believes that we can compete effectively as a result of local market knowledge, local decision making, awareness of customer needs, and by providing exceptional customer experiences.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Services</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We emphasize providing traditional banking and wealth management services. Our dedicated relationship managers serve as direct points of contact for owners, management, and employees of small and medium-sized businesses. We provide subject matter expertise in a variety of industries: manufacturing, government contractors, distribution, health services, non-profits and associations, professional services, property management companies, and title companies. We focus on customers living and working in and near our service area. We offer retail banking services to accommodate the needs of both corporate customers as well as individuals residing and working in the communities we serve. We also offer digital banking, mobile banking, and a remote deposit service, which allows customers to facilitate and expedite deposit transactions through the use of electronic devices. A sophisticated suite of treasury management products is a key feature of our customer focused, relationship driven marketing.</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Lending Services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We provide a range of commercial lending services, including commercial real estate loans, acquisition, construction &amp; development, commercial and industrial loans, consumer and mortgage warehouse lines of credit, and residential real estate loans to customers generally located or conducting business in our market area. Loan terms, including interest rates, loan-to-value ratios, and maturities, are tailored to meet the needs of the borrower.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special effort is made to keep loan products as flexible as possible within the guidelines of prudent banking practices in terms of interest rate and credit risk.</w:t>
      </w:r>
    </w:p>
    <w:p>
      <w:pPr>
        <w:spacing w:after="0" w:line="184"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 xml:space="preserve">Our 10 largest borrowing relationships accounted for approximately 8.8% of our total loans at December 31, 2024. With this concentration of credit risk among a limited number of borrowers, we may face a greater risk of material credit losses if any one of these borrowers fail to perform in accordance with their loans, compared to a bank with a more diversified portfolio. While we believe our underwriting standards are designed to manage normal lending risks, it is difficult to determine, at the time of underwriting, if any of these loans will become non-performing or delinquent, or whether we will hold non-performing or delinquent loans that may adversely affect our future performance. Refer to the Lending Activities section within </w:t>
      </w:r>
      <w:r>
        <w:rPr>
          <w:rFonts w:ascii="Times New Roman" w:cs="Times New Roman" w:eastAsia="Times New Roman" w:hAnsi="Times New Roman"/>
          <w:sz w:val="18"/>
          <w:szCs w:val="18"/>
          <w:u w:val="single" w:color="auto"/>
          <w:color w:val="0000FF"/>
        </w:rPr>
        <w:t>Item 7 — 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Analysis of Financial Condition and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information regarding the composition of our loan portfolio as of December 31, 2024,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December 31, 2023.</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Lending Services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Commercial lending services include commercial real estate loans, acquisition, construction &amp; development, and commercial &amp; industrial loans. Our commercial loan clients represent a diverse cross-section of small to mid-size local businesses within our market footprint, whose owners and employees are often established Bank customers. Such banking relationships are a natural business for us with our long-standing community roots and extensive experience in serving and lending to this market segment.</w:t>
      </w:r>
    </w:p>
    <w:p>
      <w:pPr>
        <w:spacing w:after="0" w:line="132" w:lineRule="exact"/>
        <w:rPr>
          <w:sz w:val="20"/>
          <w:szCs w:val="20"/>
          <w:color w:val="auto"/>
        </w:rPr>
      </w:pPr>
    </w:p>
    <w:p>
      <w:pPr>
        <w:jc w:val="both"/>
        <w:ind w:firstLine="315"/>
        <w:spacing w:after="0" w:line="280" w:lineRule="auto"/>
        <w:rPr>
          <w:sz w:val="20"/>
          <w:szCs w:val="20"/>
          <w:color w:val="auto"/>
        </w:rPr>
      </w:pPr>
      <w:r>
        <w:rPr>
          <w:rFonts w:ascii="Times New Roman" w:cs="Times New Roman" w:eastAsia="Times New Roman" w:hAnsi="Times New Roman"/>
          <w:sz w:val="16"/>
          <w:szCs w:val="16"/>
          <w:color w:val="auto"/>
        </w:rPr>
        <w:t xml:space="preserve">Commercial loans are evaluated for the adequacy of repayment sources at the time of approval and are regularly reviewed for any possible deterioration in the ability of the borrower to repay the loan. Collateral generally is required to provide us with an additional source of repayment in the event of default by a commercial borrower. The structure of the collateral package, including the type and amount of the collateral, varies from loan to loan depending on the financial strength of the borrower, the amount and terms of the loan, and the collateral available to be pledged by the borrower, but generally may include real estate, accounts receivable, inventory, equipment, or other assets. Loans also may be supported by personal guarantees from the principals of the commercial loan borrowers. The financial condition and cash flow of commercial borrowers are closely monitored through the submission of corporate financial statements, personal financial statements, and income tax returns. The frequency of submissions of required information depends upon the size and complexity of the credit and the collateral that secures the loan. Credit risk for commercial loans arises from borrowers lacking the ability or willingness to repay the loan and, in the case of secured loans, by a shortfall in the collateral value in relation to the outstanding loan balance in the event of a default and subsequent liquidation of collateral. A risk rating system is applied to the commercial loan portfolio to measure credit risk and differentiate the level of risk posed by individual credits. See </w:t>
      </w:r>
      <w:r>
        <w:rPr>
          <w:rFonts w:ascii="Times New Roman" w:cs="Times New Roman" w:eastAsia="Times New Roman" w:hAnsi="Times New Roman"/>
          <w:sz w:val="16"/>
          <w:szCs w:val="16"/>
          <w:u w:val="single" w:color="auto"/>
          <w:color w:val="0000FF"/>
        </w:rPr>
        <w:t>Item 7 — Management’s Discussion and Analysis of Financial Condition and Results of Operations — Overview</w:t>
      </w:r>
      <w:r>
        <w:rPr>
          <w:rFonts w:ascii="Times New Roman" w:cs="Times New Roman" w:eastAsia="Times New Roman" w:hAnsi="Times New Roman"/>
          <w:sz w:val="16"/>
          <w:szCs w:val="16"/>
          <w:color w:val="auto"/>
        </w:rPr>
        <w:t xml:space="preserve"> for further information.</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Real Estate Loans</w:t>
      </w:r>
    </w:p>
    <w:p>
      <w:pPr>
        <w:spacing w:after="0" w:line="163"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 xml:space="preserve">Our commercial real estate loans consist of both loans secured by owner-occupied properties and non-owner-occupied properties (“investor real estate loans”). The commercial real estate categories contain mortgage loans to developers and owners of commercial real estate. Commercial real estate loans are governed by the same lending policies and subject to credit risk as previously described for commercial loans. Commercial real estate loans secured by owner-occupied properties are based upon the borrower’s financial condition and the ability of the borrower and the business to provide for repayment. Investor real estate loans secured by non-owner-occupied properties involve investment properties for multi-family, warehouse, retail, and office space with a history of occupancy and cash flow. See </w:t>
      </w:r>
      <w:r>
        <w:rPr>
          <w:rFonts w:ascii="Times New Roman" w:cs="Times New Roman" w:eastAsia="Times New Roman" w:hAnsi="Times New Roman"/>
          <w:sz w:val="18"/>
          <w:szCs w:val="18"/>
          <w:u w:val="single" w:color="auto"/>
          <w:color w:val="0000FF"/>
        </w:rPr>
        <w:t>Item 7 — Management’s Discussion and Analysis of Financial Condition and Results of Operations — Overview</w:t>
      </w:r>
      <w:r>
        <w:rPr>
          <w:rFonts w:ascii="Times New Roman" w:cs="Times New Roman" w:eastAsia="Times New Roman" w:hAnsi="Times New Roman"/>
          <w:sz w:val="18"/>
          <w:szCs w:val="18"/>
          <w:color w:val="auto"/>
        </w:rPr>
        <w:t xml:space="preserve"> for further information on commercial real estate sector concentration. We seek to reduce the risks associated with commercial mortgage lending by generally lending in our market area, focusing on debt service coverage ratio, using conservative loan-to-value ratios, and obtaining periodic financial statements and tax returns from borrowers to perform loan reviews. In addition, when underwriting specific loans, the proposed debt should be supported by cash flows that are stable, predictable, diverse, and sufficient for adequate repayment at acceptable margins. Furthermore, we stress test each aspect of the cash flow, including stressing the interest rate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It is also our general policy to obtain personal guarantees from the principals of the borrowers and to underwrite the business entity from a cash flow perspective. Interest rate risks are managed by using either floating interest rates or by fixing rates that reset at the end of the first five years and then convert to a margin-adjusted applicable index. While loan amortizations may be approved for up to 360 months, each loan generally has a call provision (maturity date) of five to ten years.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Acquisition, Construction &amp; Development Loans</w:t>
      </w:r>
    </w:p>
    <w:p>
      <w:pPr>
        <w:spacing w:after="0" w:line="163"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Acquisition, construction &amp; development loans are loans made for the purpose of financing construction or development projects. This portfolio includes commercial and residential land development loans, one-to-four family housing construction, both pre-sold and speculative in nature, multifamily housing construction, non-residential building construction, and undeveloped land. This commercial real estate lending business extends to providing commercial construction financing of owner-occupied properties as well as non-owner-occupied properties. Construction lending on these properties is based upon the provision for repayment based on cash flow, collateral values, and loan-to-value ratios. Typically, these loans have guarantees, an amount of owner equity in the project, and an assessment of economic feasibility and viability related to each project. Terms of each loan are based upon current pricing and the extent of the project.</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Commercial &amp; Industrial Loans</w:t>
      </w:r>
    </w:p>
    <w:p>
      <w:pPr>
        <w:spacing w:after="0" w:line="163" w:lineRule="exact"/>
        <w:rPr>
          <w:sz w:val="20"/>
          <w:szCs w:val="20"/>
          <w:color w:val="auto"/>
        </w:rPr>
      </w:pPr>
    </w:p>
    <w:p>
      <w:pPr>
        <w:jc w:val="both"/>
        <w:ind w:firstLine="315"/>
        <w:spacing w:after="0" w:line="279" w:lineRule="auto"/>
        <w:rPr>
          <w:sz w:val="20"/>
          <w:szCs w:val="20"/>
          <w:color w:val="auto"/>
        </w:rPr>
      </w:pPr>
      <w:r>
        <w:rPr>
          <w:rFonts w:ascii="Times New Roman" w:cs="Times New Roman" w:eastAsia="Times New Roman" w:hAnsi="Times New Roman"/>
          <w:sz w:val="16"/>
          <w:szCs w:val="16"/>
          <w:color w:val="auto"/>
        </w:rPr>
        <w:t>We also originate commercial &amp; industrial (“C&amp;I”) loans. C&amp;I loans are made to provide funds for equipment and general corporate needs. This loan category is designed to support borrowers who have a proven ability to service debt. We generally require a first lien position on all collateral and require guarantees from owners having at least a 10% interest in the involved business. Interest rates on C&amp;I loans are generally floating or fixed for a term not to exceed seven years. Management monitors industry and collateral concentrations to avoid loan exposures to a large group of similar industries or similar collateral. C&amp;I loans are evaluated for historical and projected cash flow attributes, balance sheet strength, and primary and alternate resources of personal guarantors. C&amp;I loan documents require borrowers to forward regular financial information on both the business and personal guarantors. Loan covenants require at least annual submission of complete financial information, and in certain cases, this information is required monthly, quarterly, or semi-annually, depending on the degree to which we desire information resources for monitoring a borrower’s financial condition and compliance with loan covenants. Examples of properly margined collateral for loans, as required by our policy, would be an 80% advance on the lesser of appraised value or recent sales price on commercial property, an 80% or less advance on eligible receivables, a 50% or less advance on eligible inventory, and an 80% advance on appraised residential property. Collateral borrowing certificates may be required to monitor certain collateral categories on a monthly or quarterly basis. Loans may require personal guarantees. Key person life insurance may be required, as appropriate and as necessary, to mitigate the risk of loss of a primary owner or manager.</w:t>
      </w:r>
    </w:p>
    <w:p>
      <w:pPr>
        <w:spacing w:after="0" w:line="32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Commercial lines of credit are granted to finance a business borrower’s short-term credit needs and/or to finance a percentage of eligible receivables and inventory. In addition to the risks inherent in term loan facilities, line of credit borrowers typically require additional monitoring to protect the lender against increasing loan volumes and diminishing collateral values. Commercial lines of credit are generally revolving in nature and require close scrutiny. We generally require at least an annual out of debt period (for seasonal borrowers) or regular financial information (monthly or quarterly financial statements, borrowing base certificates, etc.) for borrowers with more growth and greater permanent working capital financing needs. Advances against collateral value are limited. Lines of credit and term loans to the same borrowers generally are cross-defaulted and cross-collateralized. Interest rate charges on this group of loans generally float at a factor at or above the prime lending rate.</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Residential Real Estate Loans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residential real estate category contains loans principally to consumers secured by residential real estate. Loans for residential real estate may carry either a fixed rate of interest or an adjustable rate over the life of loan. Adjustable rate mortgage (“ARM”) loans have a 30-year amortization period with a fixed rate of interest for the first five, seven, or ten years, re-pricing at stated interval thereafter at a predetermined spread to an index. Our residential real estate lending policy requires each loan to have viable repayment sources. Residential real estate loans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evaluated for the adequacy of these repayment sources at the time of approval, based upon measures including credit scores, debt-to-income ratios, and collateral values. Credit risk for residential real estate loans arises from borrowers lacking the ability or willingness to repay the loan or by a shortfall in the value of the residential real estate in relation to the outstanding loan balance in the event of a default and subsequent liquidation of the real estate collateral. The residential real estate portfolio includes both conforming and non-conforming mortgage loans.</w:t>
      </w:r>
    </w:p>
    <w:p>
      <w:pPr>
        <w:spacing w:after="0" w:line="132" w:lineRule="exact"/>
        <w:rPr>
          <w:sz w:val="20"/>
          <w:szCs w:val="20"/>
          <w:color w:val="auto"/>
        </w:rPr>
      </w:pPr>
    </w:p>
    <w:p>
      <w:pPr>
        <w:jc w:val="both"/>
        <w:ind w:firstLine="315"/>
        <w:spacing w:after="0" w:line="282" w:lineRule="auto"/>
        <w:rPr>
          <w:sz w:val="20"/>
          <w:szCs w:val="20"/>
          <w:color w:val="auto"/>
        </w:rPr>
      </w:pPr>
      <w:r>
        <w:rPr>
          <w:rFonts w:ascii="Times New Roman" w:cs="Times New Roman" w:eastAsia="Times New Roman" w:hAnsi="Times New Roman"/>
          <w:sz w:val="16"/>
          <w:szCs w:val="16"/>
          <w:color w:val="auto"/>
        </w:rPr>
        <w:t>Conforming mortgage loans represent loans originated in accordance with underwriting standards set forth by U.S. GSEs, including Fannie Mae, Freddie Mac, and Ginnie Mae, which serve as the primary purchasers of loans sold in the secondary mortgage market by mortgage lenders. These loans are generally collateralized by one-to-four-family residential real estate, have loan-to-collateral value ratios of 80% or less or have mortgage insurance to insure down to 80%, and are made to borrowers in good credit standing. In recent years, we have sold the majority of new mortgage loan production in the secondary market using large mortgage loan companies that package these loans to be sold to the GSEs. For any loans retained by us, title insurance insuring the priority of our mortgage lien, as well as fire and extended coverage casualty insurance protecting the properties securing the loans, is required. Borrowers may be required to advance funds with each monthly payment of principal and interest to a loan escrow account from which we make disbursements for items, such as real estate taxes and mortgage insurance premiums. Appraisers approved by us appraise the properties securing substantially all of our residential mortgage loans.</w:t>
      </w:r>
    </w:p>
    <w:p>
      <w:pPr>
        <w:spacing w:after="0" w:line="109"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color w:val="auto"/>
        </w:rPr>
        <w:t>Non-conforming mortgage loans represent loans that generally are not saleable in the secondary market to the GSEs for inclusion in conventional mortgage-backed securities due to the credit characteristics of the borrower, the underlying documentation, the loan-to-value ratio, or the size of the loan, among other factors. We originate non-conforming loans for our own portfolio and for sale to third-party investors, usually large mortgage companies, under commitments by the mortgage company to purchase the loans subject to compliance with pre-established investor criteria. Non-conforming loans generated for sale include loans that may not be underwritten using customary underwriting standards. These loans typically are held after funding for thirty days or less, and are included in residential mortgages held-for-sale. We currently sell both conforming and non-conforming loans on a servicing released basis.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Activities</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Bank balances its liquidity needs based on loan and deposit growth through the investment portfolio and purchased funds. It is the Bank’s goal to provide adequate liquidity to support the loan growth of the Bank. In the event the Bank has excess liquidity, investment securities are used to generate additional income. In the event deposit growth does not fully support the Bank’s loan growth, the Bank may utilize third-party deposit listing services to obtain brokered certificates of deposit, access secured advances with the Federal Home Loan Bank of Atlanta and the Federal Reserve Bank of Richmond, and access unsecured federal fund lines of credit from correspondent banking relationships. The Bank may also incorporate a combination of sales of investment securities or Federal Funds purchased to augment the Bank’s funding position.</w:t>
      </w:r>
    </w:p>
    <w:p>
      <w:pPr>
        <w:spacing w:after="0" w:line="13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current investment policy authorizes the Bank to invest in debt securities issued by the United States Government, agencies of the United States Government, or GSEs. The policy permits investments in mortgage-backed securities, including pass-through securities, issued and guaranteed by Fannie Mae, Freddie Mac, and Ginnie Mae. The investment policy also permits investments in federal funds and deposits in other insured institutions. In addition, management is authorized to invest in investment grade state and municipal obligations, private mortgage-backed securities, and the subordinated debt of other financial institutions. The Company is also the beneficiary of life insurance policies on certain current and former Bank employees. These policies generate income and can be liquidated, if necessary, with associated tax costs.</w:t>
      </w:r>
    </w:p>
    <w:p>
      <w:pPr>
        <w:spacing w:after="0" w:line="13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Generally accepted accounting principles require that, at the time of purchase, the Bank designate a security as “held-to-maturity,” “available-for-sale,” or “trading,” depending on our ability and intent to hold such security. Debt securities available-for-sale are reported at fair value, while debt securities held-to-maturity are reported at amortized cost. The Bank does not maintain a trading or a held-to-maturity portfolio.</w:t>
      </w:r>
    </w:p>
    <w:p>
      <w:pPr>
        <w:spacing w:after="0" w:line="12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investment portfolio is actively managed and consists of investments classified as available-for-sale and under the available-for-sale classification, investment instruments may be sold as deemed appropriate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On a monthly basis, the investment portfolio is marked to market as required by ASC 320 - </w:t>
      </w:r>
      <w:r>
        <w:rPr>
          <w:rFonts w:ascii="Times New Roman" w:cs="Times New Roman" w:eastAsia="Times New Roman" w:hAnsi="Times New Roman"/>
          <w:sz w:val="18"/>
          <w:szCs w:val="18"/>
          <w:i w:val="1"/>
          <w:iCs w:val="1"/>
          <w:color w:val="auto"/>
        </w:rPr>
        <w:t>Investments - Debt &amp; Equity Securities</w:t>
      </w:r>
      <w:r>
        <w:rPr>
          <w:rFonts w:ascii="Times New Roman" w:cs="Times New Roman" w:eastAsia="Times New Roman" w:hAnsi="Times New Roman"/>
          <w:sz w:val="18"/>
          <w:szCs w:val="18"/>
          <w:color w:val="auto"/>
        </w:rPr>
        <w:t>. Additionally, the investment portfolio is used to balance the Bank’s asset and liability position. The Bank invests in fixed rate or floating rate instruments as necessary to reduce interest rate risk exposure.</w:t>
      </w:r>
    </w:p>
    <w:p>
      <w:pPr>
        <w:spacing w:after="0" w:line="127"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Our investment policy is reviewed annually by our Board. The Company’s Board has delegated the responsibility of monitoring our investment activities to management consistent with the requirements of the Bank’s Asset Liability Management policy. We actively monitor our investments on an ongoing basis to identify any material changes in the securities. We also review our available-for-sale securities in an unrealized loss position for allowance for credit losses at least quarterly.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Deposit Activities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Deposits are the major source of funding for the Bank. The Bank offers a broad array of consumer and commercial deposit products that include digital banking, demand, negotiable order of withdrawal (“NOW”), money market and savings accounts, as well as certificates of deposit. The Bank typically pays a competitive rate on the interest-bearing deposits. As a relationship-oriented organization, we seek generally to obtain deposit relationships with our loan clients. Through our membership in the IntraFi Network®, we can arrange FDIC insurance of up to $135 million of demand deposits, $100 million of savings, or a combination of $175 million. In addition, we can arrange FDIC insurance up to $50 million on certificates of deposits.</w:t>
      </w:r>
    </w:p>
    <w:p>
      <w:pPr>
        <w:spacing w:after="0" w:line="134"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As the Bank’s overall balance sheet positions dictate, we may become more or less competitive in our interest rate structure as our liquidity position changes. Additionally, we may use wholesale deposits to augment our funding position or achieve a desired interest rate risk management position.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Services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Our business solutions include small business and commercial checking and savings options as well as investments via our wealth management group. Treasury management solutions include a suite of digital banking, payables, receivables, risk management, and automated cash flow, such as enhanced reporting, automated clearing house (“ACH”), wires, remote deposit capture, bill pay, lockbox, credit and debit cards, merchant services, fraud protection, and deposit and loan sweeps.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we had 815 full-time equivalent employees. None of our employees are covered by a collective bargaining agreement.</w:t>
      </w:r>
    </w:p>
    <w:p>
      <w:pPr>
        <w:spacing w:after="0" w:line="161" w:lineRule="exact"/>
        <w:rPr>
          <w:sz w:val="20"/>
          <w:szCs w:val="20"/>
          <w:color w:val="auto"/>
        </w:rPr>
      </w:pPr>
    </w:p>
    <w:p>
      <w:pPr>
        <w:jc w:val="both"/>
        <w:ind w:firstLine="315"/>
        <w:spacing w:after="0" w:line="283" w:lineRule="auto"/>
        <w:rPr>
          <w:sz w:val="20"/>
          <w:szCs w:val="20"/>
          <w:color w:val="auto"/>
        </w:rPr>
      </w:pPr>
      <w:r>
        <w:rPr>
          <w:rFonts w:ascii="Times New Roman" w:cs="Times New Roman" w:eastAsia="Times New Roman" w:hAnsi="Times New Roman"/>
          <w:sz w:val="16"/>
          <w:szCs w:val="16"/>
          <w:color w:val="auto"/>
        </w:rPr>
        <w:t>We consider our diverse employee base and our culture to be a competitive advantage. Our employees are from many different countries across the world, whether by birth or descent. This diversity provides us the opportunity to serve our customers, communities, and each other in meaningful and impactful ways that result in long lasting relationships. Our overall human capital strategy focuses on attracting, engaging, and retaining qualified, diverse, and innovative talent at all levels of the Company. We are a committed equal opportunity employer, and all qualified candidates receive consideration for employment without regard to race, color, religion, national origin, age, disability, sex, sexual orientation, gender, gender identity, pregnancy, genetic information, or other characteristics protected by applicable law. Beyond nondiscrimination compliance, we are committed to maintaining a workforce committed to our core values to serve &amp; lead, deliver more, elevate everyone, and always being invested in the long-term success of our customers, colleagues, and communities..</w:t>
      </w:r>
    </w:p>
    <w:p>
      <w:pPr>
        <w:spacing w:after="0" w:line="109"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We seek to actively listen to our employees throughout the year using a defined and continual listening strategy designed to gather regular feedback on well-being, engagement, leadership, ethics, culture and values, and other top of mind topics. These surveys allow us to respond to employee concerns, benefit from employee perspectives, and better design and develop processes to support our Company culture. Employees can learn about changes through our ongoing employee updates or employee town hall meetings delivered by senior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Our success depends not only on attracting and retaining talented employees, but also in developing our current employees and providing opportunities for their growth. We offer our employees numerous live and on-demand training programs and resources to help them build knowledge and improve skills. These trainings include mandatory programs, as well as recommended programs in areas, including leadership development and technical skills.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Wellness and Safety</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emphasizes the safety and well-being of our employees as a top priority. We define wellness comprehensively and include mental, physical, emotional, financial, psychological, and environmental considerations. We offer a competitive compensation and benefits package and support dedicated campaigns that communicate directly to employees about wellness. Employee well-being is further supported through policies such as remote work, paid parental leave, military service leave, educational assistance, and bereavement leave policies.</w:t>
      </w:r>
    </w:p>
    <w:p>
      <w:pPr>
        <w:spacing w:after="0" w:line="13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We provide a competitive compensation and benefits program to our employees. In addition to salaries, these programs include annual bonus opportunities, a 401(k) plan with an employer matching contribution, healthcare and insurance benefits, flexible spending accounts, paid time off, and an employee assistance program.</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Corporate Information</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 xml:space="preserve">Our headquarters is located at 100 S. Fairfax Street, Alexandria, Virginia 22314, and our telephone number at that address is 703-666-3555. We also maintain executive offices and a key operations center in Moorefield, West Virginia to support bank-wide operations across our market footprint. See </w:t>
      </w:r>
      <w:r>
        <w:rPr>
          <w:rFonts w:ascii="Times New Roman" w:cs="Times New Roman" w:eastAsia="Times New Roman" w:hAnsi="Times New Roman"/>
          <w:sz w:val="18"/>
          <w:szCs w:val="18"/>
          <w:u w:val="single" w:color="auto"/>
          <w:color w:val="0000FF"/>
        </w:rPr>
        <w:t>Item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Properties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information on our locations. Additional information can be found on our website at https://www.burkeandherbertbank.com.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 on our website or any other website is not incorporated by reference herein and does not constitute a part of this Form 10-K.</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Supervision and Regulation</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and the Bank are highly regulated under both federal and state laws. The following description briefly addresses certain provisions of federal and state laws and regulations and their potential effects on the Company and the Bank. To the extent statutory or regulatory provisions or proposals are described in this Form 10-K, the description is qualified in its entirety by reference to the particular statutory or regulatory provisions or proposals.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Company</w:t>
      </w:r>
    </w:p>
    <w:p>
      <w:pPr>
        <w:spacing w:after="0" w:line="161"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As a bank holding company that has elected financial holding company status under the BHCA, the Company is subject to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supervision, and examination by the Federal Reserve (through the Federal Reserve Bank of Richmond). The Company is a bank holding company under the banking laws of Virginia, and is subject to regulation, supervision, and examination by the Virginia BFI.</w:t>
      </w:r>
    </w:p>
    <w:p>
      <w:pPr>
        <w:spacing w:after="0" w:line="125"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Permitted Activities. </w:t>
      </w:r>
      <w:r>
        <w:rPr>
          <w:rFonts w:ascii="Times New Roman" w:cs="Times New Roman" w:eastAsia="Times New Roman" w:hAnsi="Times New Roman"/>
          <w:sz w:val="16"/>
          <w:szCs w:val="16"/>
          <w:color w:val="auto"/>
        </w:rPr>
        <w:t>The permitted activities of a bank holding company are limited to managing or controlling banks, furnishing services to or performing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for its subsidiaries, and engaging in other activities that the Federal Reserve determines by regulation or order to be closely related to banking or managing or controlling banks. In addition, bank holding companies that qualify and elect to be financial holding companies, such as the Company, may engage in any activity, or acquire and retain the shares of a company engaged in any activity, that is either (i) financial in nature or incidental to such financial activity (as determined by the Federal Reserve in consultation with the Secretary of the Treasury) or (ii) complementary to a financial activity and does not pose a substantial risk to the safety and soundness of depository institutions or the financial system generally (as solely determined by the Federal Reserve), without prior approval of the Federal Reserve. Activities that are financial in nature include, but are not limited to, securities underwriting and dealing, insurance underwriting, and making merchant banking investments. Despite prior approval or permissibility, the Federal Reserve may order the Company or its subsidiaries to terminate any activity or to terminate ownership or control of any subsidiary when the Federal Reserve has reasonable cause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that a serious risk to the financial safety, soundness, or stability of any bank subsidiary may result from such an activity.</w:t>
      </w:r>
    </w:p>
    <w:p>
      <w:pPr>
        <w:spacing w:after="0" w:line="161" w:lineRule="exact"/>
        <w:rPr>
          <w:sz w:val="20"/>
          <w:szCs w:val="20"/>
          <w:color w:val="auto"/>
        </w:rPr>
      </w:pPr>
    </w:p>
    <w:p>
      <w:pPr>
        <w:jc w:val="both"/>
        <w:ind w:firstLine="315"/>
        <w:spacing w:after="0" w:line="280" w:lineRule="auto"/>
        <w:rPr>
          <w:sz w:val="20"/>
          <w:szCs w:val="20"/>
          <w:color w:val="auto"/>
        </w:rPr>
      </w:pPr>
      <w:r>
        <w:rPr>
          <w:rFonts w:ascii="Times New Roman" w:cs="Times New Roman" w:eastAsia="Times New Roman" w:hAnsi="Times New Roman"/>
          <w:sz w:val="16"/>
          <w:szCs w:val="16"/>
          <w:color w:val="auto"/>
        </w:rPr>
        <w:t>To maintain financial holding company status, a financial holding company and all of its depository institution subsidiaries must be “well capitalized” and “well managed” as defined under applicable Federal Reserve requirements. If a financial holding company ceases to meet these capital and management requirements, the Federal Reserve’s regulations provide that the financial holding company must enter into an agreement with the Federal Reserve to comply with all applicable capital and management requirements. Until the financial holding company returns to compliance, the Federal Reserve may impose limitations or conditions on the conduct of its activities, and the company may not commence any of the broader financial activities permissible for financial holding companies or acquire a company engaged in such financial activities without prior approval of the Federal Reserve. If the company does not return to compliance within 180 days, the Federal Reserve may require the financial holding company to divest its depository institution subsidiaries or to cease engaging in any activity that is financial in nature (or incident to such financial activity) or complementary to a financial activity. Further, in order for a financial holding company to commence any new activity permitted by the BHCA or to acquire a company engaged in any new activity permitted by the BHCA, each insured depository institution subsidiary of the financial holding company must have received a rating of at least “satisfactory” in its most recent examination under the Community Reinvestment Act of 1977 (the “CRA”). See below under “The Bank – Community Reinvestment Act.”</w:t>
      </w:r>
    </w:p>
    <w:p>
      <w:pPr>
        <w:spacing w:after="0" w:line="320"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6"/>
          <w:szCs w:val="16"/>
          <w:i w:val="1"/>
          <w:iCs w:val="1"/>
          <w:color w:val="auto"/>
        </w:rPr>
        <w:t>Bank Acquisitions; Change in Control</w:t>
      </w:r>
      <w:r>
        <w:rPr>
          <w:rFonts w:ascii="Times New Roman" w:cs="Times New Roman" w:eastAsia="Times New Roman" w:hAnsi="Times New Roman"/>
          <w:sz w:val="16"/>
          <w:szCs w:val="16"/>
          <w:color w:val="auto"/>
        </w:rPr>
        <w:t>. The BHCA and related regulations require, among other things, the prior approval of the Federal Reserve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case where a bank holding company proposes to (i) acquire direct or indirect ownership or control of more than 5% of the outstanding voting stock of any bank or bank holding company (unless it already owns a majority of such voting shares), (ii) acquire all or substantially all of the assets of another bank or bank holding company, or (iii) merge or consolidate with any other bank holding company. In determining whether to approve a proposed bank acquisition, the Federal Reserve will consider, among other factors, the effect of the acquisition on competition, the public benefits expected to be received from the acquisition, any outstanding regulatory compliance issues of any institution that is a party to the transaction, the projected capital ratios and levels on a post-acquisition basis, the financial condition of each institution that is a party to the transaction and of the combined institution after the transaction, the parties’ managerial resources and risk management and governance processes and systems, the parties’ compliance with the Bank Secrecy Act (“BSA”) and anti-money laundering requirements, and the acquiring institution’s performance under the CRA and compliance with fair housing and other consumer protection laws.</w:t>
      </w:r>
    </w:p>
    <w:p>
      <w:pPr>
        <w:spacing w:after="0" w:line="111"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On July 9, 2021, the U.S. president issued an executive order that encouraged the federal banking agencies to review merger oversight under the BHCA and the Bank Merger Act. While the FDIC updated its bank merger policy statement, the Federal Reserve made no changes to its merger rules and guidelines. It is possible that the current President could rescind the executive order, and any changes related to implementation of the Bank Merger Act are uncertain and cannot be predicted at this time. However, the adoption of more expansive or stringent standards may have an impact on the Company’s ability to engage in acquisition activities.</w:t>
      </w:r>
    </w:p>
    <w:p>
      <w:pPr>
        <w:spacing w:after="0" w:line="134"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Subject to certain exceptions, the BHCA and the Change in Bank Control Act, together with the applicable regulations, require Federal Reserve approval (or depending on the circumstances, no notice of disapproval) prior to any person or company’s acquiring “control” of a bank or bank holding company. A conclusive presumption of control exists if any individual or company acquires the power, directly or indirectly, to direct the management or policies of an insured depository institution or to vote 25% or more of any class of voting securities of any insured depository institution. A rebuttable presumption of control exists if a person or company acquires 10% or more but less than 25% of any class of voting securities of an insured depository institution and either the institution has registered its securities with the SEC under Section 12 of the Securities Exchange Act of 1934, as amended (the “Exchange Act”) or no other person will own a greater percentage of that class of voting securities immediately after the acquisition.</w:t>
      </w:r>
    </w:p>
    <w:p>
      <w:pPr>
        <w:spacing w:after="0" w:line="13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In addition, Virginia law requires prior approval from the Virginia BFI for (i) the acquisition by a Virginia bank holding company of more than 5% of the voting shares of a Virginia bank or any holding company that controls a Virginia bank, or (ii) the acquisition by a Virginia bank holding company of a bank or its holding company domiciled outside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Source of Strength. </w:t>
      </w:r>
      <w:r>
        <w:rPr>
          <w:rFonts w:ascii="Times New Roman" w:cs="Times New Roman" w:eastAsia="Times New Roman" w:hAnsi="Times New Roman"/>
          <w:sz w:val="18"/>
          <w:szCs w:val="18"/>
          <w:color w:val="auto"/>
        </w:rPr>
        <w:t>Federal Reserve policy has historically required bank holding companies to act as a source of financial and managerial strength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banks, which was codified in Section 38A of the Federal Deposit Insurance Act (“FDIA”). Under this requirement, the Company is expected to commit resources to support the Bank, including at times when the Company may not be in a financial position to provide such resources.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the priority of payment.</w:t>
      </w:r>
    </w:p>
    <w:p>
      <w:pPr>
        <w:spacing w:after="0" w:line="13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Safety and Soundness. </w:t>
      </w:r>
      <w:r>
        <w:rPr>
          <w:rFonts w:ascii="Times New Roman" w:cs="Times New Roman" w:eastAsia="Times New Roman" w:hAnsi="Times New Roman"/>
          <w:sz w:val="18"/>
          <w:szCs w:val="18"/>
          <w:color w:val="auto"/>
        </w:rPr>
        <w:t>There are a number of obligations and restrictions imposed on bank holding companies and their subsidiary banks by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policy that are designed to minimize potential loss to the depositors of such depository institutions and the Deposit Insurance Fund (“DIF”) in the event of a depository institution insolvency, receivership, or default. For example, under the Federal Deposit Insurance Corporation Improvement Act of 1991, to avoid receivership of an insured depository institution subsidiary, a bank holding company is required to guarantee the compliance of any subsidiary bank that may become “undercapitalized” with the terms of any capital restoration plan filed by such subsidiary with its appropriate federal bank regulatory agency up to the lesser of (i) an amount equal to 5% of the institution’s total assets at the time the institution became “undercapitalized,” or (ii) the amount that is necessary (or would have been necessary) to bring the institution into compliance with all applicable capital standards as of the time the institution fails to comply with such capital restoration plan.</w:t>
      </w:r>
    </w:p>
    <w:p>
      <w:pPr>
        <w:spacing w:after="0" w:line="136"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Under the FDIA, federal bank regulatory agencies have adopted guidelines prescribing safety and soundness standards. These guidelines establish general standards relating to capital management, internal controls and information systems, data security, loan documentation, credit underwriting, interest rate exposure, risk management vendor management, corporate governance, asset growth, and compensation, fees, and benefits. In general, the guidelines require, among other things, appropriate systems and practices to identify and manage the risk and exposures specified in the guidelines.</w:t>
      </w:r>
    </w:p>
    <w:p>
      <w:pPr>
        <w:spacing w:after="0" w:line="130"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Capital Requirements</w:t>
      </w:r>
      <w:r>
        <w:rPr>
          <w:rFonts w:ascii="Times New Roman" w:cs="Times New Roman" w:eastAsia="Times New Roman" w:hAnsi="Times New Roman"/>
          <w:sz w:val="18"/>
          <w:szCs w:val="18"/>
          <w:color w:val="auto"/>
        </w:rPr>
        <w:t>. The Federal Reserve imposes certain capital requirements on bank holding companies under the BHCA, including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ratio and a minimum ratio of “qualifying” capital to risk-weighted assets. These requirements are described below under “The Bank – Capital Requirements.” Subject to its capital requirements and certain other restrictions, the Company is able to borrow money to make a capital contribution to the Bank, and such loans may be repaid from dividends paid by the Bank to the Company.</w:t>
      </w:r>
    </w:p>
    <w:p>
      <w:pPr>
        <w:spacing w:after="0" w:line="128"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Limits on Dividends, Capital Distributions, and Other Payments. </w:t>
      </w:r>
      <w:r>
        <w:rPr>
          <w:rFonts w:ascii="Times New Roman" w:cs="Times New Roman" w:eastAsia="Times New Roman" w:hAnsi="Times New Roman"/>
          <w:sz w:val="18"/>
          <w:szCs w:val="18"/>
          <w:color w:val="auto"/>
        </w:rPr>
        <w:t>The Company is a legal entity, separate and distinct from its Bank subsidiary.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portion of the revenues of the Company result from dividends paid to it by the Bank. There are various legal limitations applicable to the payment of dividends by the Bank to the Company, to the payment of dividends by the Company to its shareholders, and to the repurchase by the Company of outstanding shares of its capital stock. The Bank is subject to various statutory and regulatory restrictions on its ability to pay dividends to the Company. Under current regulations, prior approval from the Federal Reserve is required if cash dividends declared by the Bank or the Company would be an unsafe or unsound practice, and may be limited by other factors, such as requirements to maintain capital above regulatory guidelines. Bank regulatory agencies have the authority to prohibit the Bank and the Company from engaging in unsafe or unsound practices in conducting their respective businesses. The payment of dividends, or the repurchase of outstanding capital stock, depending on the financial condition of the Bank or the Company, could be deemed to constitute such an unsafe or unsound practice.</w:t>
      </w:r>
    </w:p>
    <w:p>
      <w:pPr>
        <w:spacing w:after="0" w:line="14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Under the FDIA, insured depository institutions, such as the Bank, are prohibited from making capital distributions, including the payment of dividends, if after making such distributions the institution would become “undercapitalized” (as such term is used in the FDIA).</w:t>
      </w:r>
    </w:p>
    <w:p>
      <w:pPr>
        <w:spacing w:after="0" w:line="11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may receive fees from or pay fees to its affiliated companies for expenses incurred related to certain activities performed by or for the Company for the benefit of its affiliated companies or for its benefit. These fees are charged to/received from each affiliated company based upon various specific allocation methods measuring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usage of such services by that company. The fees are eliminated from reported financial statements in the consolidation process.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Bank</w:t>
      </w:r>
    </w:p>
    <w:p>
      <w:pPr>
        <w:spacing w:after="0" w:line="161"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Bank is subject to federal and state regulation, supervision, and examination. The Bank’s principal federal regulator was the FDIC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On that date, the Bank became a member of the Federal Reserve System, and now both the Bank and the Company are supervised and regularly examined by the Federal Reserve and the Virginia BFI. The various laws and regulations administered by the bank regulatory agencies affect corporate practices, such as the payment of dividends, incurrence of debt, and the acquisition of financial institutions and other companies. These laws and regulations also affect business practices, such as the payment of interest on deposits, the charging of interest on loans, credit policies, the types of business conducted, and the location of offices. Certain of these laws and regulations are referenced above under “The Company.”</w:t>
      </w:r>
    </w:p>
    <w:p>
      <w:pPr>
        <w:spacing w:after="0" w:line="135"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Capital Requirements. </w:t>
      </w:r>
      <w:r>
        <w:rPr>
          <w:rFonts w:ascii="Times New Roman" w:cs="Times New Roman" w:eastAsia="Times New Roman" w:hAnsi="Times New Roman"/>
          <w:sz w:val="18"/>
          <w:szCs w:val="18"/>
          <w:color w:val="auto"/>
        </w:rPr>
        <w:t>The Federal Reserve and the other federal banking agencies have issued risk-based and leverage capital rules applicable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organizations, based on updated capital standards from the Basel Committee on Banking Supervision (“Basel III Framework”). Those regulatory agencies may from time to time require that a banking organization maintain capital above the minimum levels because of its financial condition or actual or anticipated growth.</w:t>
      </w:r>
    </w:p>
    <w:p>
      <w:pPr>
        <w:spacing w:after="0" w:line="130"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These capital rules require the Bank to comply with the following minimum capital ratios: (i) a minimum ratio of common equity Tier 1 to risk-weighted assets of 4.5%, plus a 2.5% capital conservation buffer, resulting in a minimum ratio of common equity Tier 1 to risk-weighted assets of 7.0%, (ii) a minimum ratio of Tier 1 capital to risk-weighted assets of 6.0%, plus the 2.5% capital conservation buffer, resulting in a minimum Tier 1 capital ratio of 8.5%, (iii) a minimum ratio of total risk-based capital to risk-weighted assets of 8.0%, plus the 2.5% capital conservation buffer, resulting in a minimum total risk-based capital ratio of 10.5%, and (iv) a minimum leverage ratio of 4.0%, calculated as the ratio of Tier 1 capital to average assets. The capital conservation buffer is designed to absorb losses during periods of economic stress. Banking institutions with a ratio of common equity Tier 1 to risk-weighted assets above the minimum but below the conservation buffer will face constraints on dividends, equity repurchases, and discretionary compensation paid to certain officers, based on the amount of the shortfall.</w:t>
      </w:r>
    </w:p>
    <w:p>
      <w:pPr>
        <w:spacing w:after="0" w:line="13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 xml:space="preserve">The Tier 1, common equity Tier 1, and total capital to risk-weighted asset ratios of the Company were 11.96%, 11.53%, and 14.57%, respectively, as of December 31, 2024, thus exceeding the minimum requirements for “well capitalized” status. The Tier 1, common equity Tier 1, and total capital to risk-weighted asset ratios of the Bank were 13.29%, 13.29%, and 14.41%, respectively, as of December 31, 2024, also exceeding the minimum requirements for “well capitalized” status. See </w:t>
      </w:r>
      <w:r>
        <w:rPr>
          <w:rFonts w:ascii="Times New Roman" w:cs="Times New Roman" w:eastAsia="Times New Roman" w:hAnsi="Times New Roman"/>
          <w:sz w:val="18"/>
          <w:szCs w:val="18"/>
          <w:u w:val="single" w:color="auto"/>
          <w:color w:val="0000FF"/>
        </w:rPr>
        <w:t>Note 12 — Regulatory Capital Matters</w:t>
      </w:r>
      <w:r>
        <w:rPr>
          <w:rFonts w:ascii="Times New Roman" w:cs="Times New Roman" w:eastAsia="Times New Roman" w:hAnsi="Times New Roman"/>
          <w:sz w:val="18"/>
          <w:szCs w:val="18"/>
          <w:color w:val="auto"/>
        </w:rPr>
        <w:t>, in Notes to the December 31, 2024 Consolidated Financial Statements of the Company (the “Notes to Consolidated Financial Statements”) for additional information.</w:t>
      </w:r>
    </w:p>
    <w:p>
      <w:pPr>
        <w:spacing w:after="0" w:line="134"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On November 4, 2019, the federal banking agencies jointly issued a final rule that permits qualifying banks that have less than $10 billion in total consolidated assets to elect to be subject to a 9% “community bank leverage ratio” (“CBLR”). Under the final rule, a qualifying bank that has chosen the proposed framework would not be required to calculate the existing risk-based and leverage capital requirements and would be considered to have met the capital ratio requirements to be “well capitalized” under “prompt corrective action” rules provided it has a CBLR greater than 9%. The Bank has not yet opted into the CBLR framework, but continues to assess the potential impact of making this election as part of its ongoing capital management and planning processes.</w:t>
      </w:r>
    </w:p>
    <w:p>
      <w:pPr>
        <w:spacing w:after="0" w:line="13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In 2016, the Financial Accounting Standards Board (“FASB”) issued Accounting Standards Update (“ASU”) 2016-13, Financial Instruments – Credit Losses (Topic 326): Measurement of Credit Losses on Financial Instruments, which requires financial institutions to estimate and establish an allowance for credit losses using a current expected credit loss (“CECL”) model. The CECL model will estimate credit losses over the lifetime of our financial assets measured at amortized cost at the date of origination or acquisition, as opposed to reserving for incurred or probable losses through the balance sheet date. The Company implemented ASU 2016-13 on January 1, 2023, and recognized a one-time cumulative effect adjustment to the allowance through retained earnings as a result of applying this ASU. The Federal Reserve has adopted a rule providing for an optional three-year phase-in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day-one adverse regulatory capital effects upon adopting the standard, which the Company has not elected to implement. See “</w:t>
      </w:r>
      <w:r>
        <w:rPr>
          <w:rFonts w:ascii="Times New Roman" w:cs="Times New Roman" w:eastAsia="Times New Roman" w:hAnsi="Times New Roman"/>
          <w:sz w:val="18"/>
          <w:szCs w:val="18"/>
          <w:b w:val="1"/>
          <w:bCs w:val="1"/>
          <w:i w:val="1"/>
          <w:iCs w:val="1"/>
          <w:color w:val="auto"/>
        </w:rPr>
        <w:t>Adoption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Accounting Standards</w:t>
      </w:r>
      <w:r>
        <w:rPr>
          <w:rFonts w:ascii="Times New Roman" w:cs="Times New Roman" w:eastAsia="Times New Roman" w:hAnsi="Times New Roman"/>
          <w:sz w:val="18"/>
          <w:szCs w:val="18"/>
          <w:color w:val="auto"/>
        </w:rPr>
        <w:t>”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Note 1 — Nature of Banking Activities and Significant Accounting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Notes to the December 31, 2024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for further information regarding the implementation of CECL.</w:t>
      </w:r>
    </w:p>
    <w:p>
      <w:pPr>
        <w:spacing w:after="0" w:line="12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Prompt Corrective Action. </w:t>
      </w:r>
      <w:r>
        <w:rPr>
          <w:rFonts w:ascii="Times New Roman" w:cs="Times New Roman" w:eastAsia="Times New Roman" w:hAnsi="Times New Roman"/>
          <w:sz w:val="18"/>
          <w:szCs w:val="18"/>
          <w:color w:val="auto"/>
        </w:rPr>
        <w:t>Federal banking regulators are authorized and, under certain circumstances, required to take certain actions against banks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 to meet their capital requirements. The federal bank regulatory agencies have additional enforcement authority with respect to “undercapitalized” depository institutions. As described above, the final rules to implement the Basel III Framework also integrated new requirements into the “prompt corrective action” framework. “Well capitalized” institutions may generally operate without additional supervisory restriction. With respect to “adequately capitalized” institutions, such banks cannot normally pay dividends or make any capital contributions that would leave the bank “undercapitalized;” they cannot pay a management fee to a controlling person if after paying the fee, it would be “undercapitalized;” and they cannot accept, renew, or rollover any brokered deposit unless the bank has applied for and been granted a waiver by the FDIC.</w:t>
      </w:r>
    </w:p>
    <w:p>
      <w:pPr>
        <w:spacing w:after="0" w:line="139"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Immediately upon becoming “undercapitalized,” a depository institution becomes subject to the provisions of Section 38 of the FDIA, which: (i) restrict payment of capital distributions and management fees; (ii) require that the appropriate federal banking agency monitor the condition of the institution and its efforts to restore its capital; (iii) require submission of a capital restoration plan; (iv) restrict the growth of the institution’s assets; and (v) require prior approval of certain expansion proposals. The appropriate federal banking agency for an “undercapitalized” institution also may take any number of discretionary supervisory actions if the agency determines that any of these actions is necessary to resolve the problems of the institution at the least possible long-term cost to the DIF, subject in certain cases to specified procedures. These discretionary supervisory actions include: (i) requiring the institution to raise additional capital; (ii) restricting transactions with affiliates; (iii) requiring divestiture of the institution or the sale of the institution to a willing purchaser; and (iv) any other supervisory action that the agency deems appropriate. These and additional mandatory and permissive supervisory actions may be taken with respect to significantly “undercapitalized” and “critically undercapitalized” institutions.</w:t>
      </w:r>
    </w:p>
    <w:p>
      <w:pPr>
        <w:spacing w:after="0" w:line="139"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To be “well-capitalized” under the federal banking agencies’ “prompt corrective action” regulations adopted pursuant to Section 38 of the FDIA, banks must maintain a minimum Tier 1 leverage ratio of 5.0%, a minimum common equity Tier 1 capital ratio of 6.5%, a minimum Tier 1 capital ratio of 8.0%, and a minimum total capital ratio of 10.0%. The Bank met the definition of being “well capitalized” as of December 31, 2024, and December 31, 2023. See “The Bank – Capital Requirements,” above.</w:t>
      </w:r>
    </w:p>
    <w:p>
      <w:pPr>
        <w:spacing w:after="0" w:line="130"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Deposit Insurance. </w:t>
      </w:r>
      <w:r>
        <w:rPr>
          <w:rFonts w:ascii="Times New Roman" w:cs="Times New Roman" w:eastAsia="Times New Roman" w:hAnsi="Times New Roman"/>
          <w:sz w:val="18"/>
          <w:szCs w:val="18"/>
          <w:color w:val="auto"/>
        </w:rPr>
        <w:t>The deposits of the Bank are insured by the FDIC up to applicable limits by the DIF. The basic limit on FDIC deposit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is $250,000 per ownership category. Under the FDIA, the FDIC may terminate deposit insurance upon a finding that the institution has engaged in unsafe or unsound practices, is in an unsafe or unsound condition to continue operations as an insured depository institution, or has violated any applicable law, regulation, rule, order, or condition imposed by the FDIC, subject to administrative and potential judicial hearing and review processes.</w:t>
      </w:r>
    </w:p>
    <w:p>
      <w:pPr>
        <w:spacing w:after="0" w:line="130"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Bank is subject to deposit insurance assessments to maintain the DIF. Deposit insurance pricing is based on CAMELS composite ratings and certain other financial ratios to determine assessment rates for small-established institutions with less than $10 billion in assets. The CAMELS rating system is a supervisory rating system designed to take into account and reflect all financial and operational risks that a bank may face, including Capital adequacy, Asset quality, Management capability, Earnings, Liquidity, and Sensitivity to market risk (“CAMELS”). CAMELS composite ratings set a maximum insurance assessment for CAMELS 1 (highest) and 2 rated banks and set minimum assessments for lower rated institutions.</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In March 2016, the FDIC raised the DIF’s minimum reserve ratio from 1.15% to 1.35%. The FDIC imposed a 4.5 basis point annual surcharge on insured depository institutions with total consolidated assets of $10 billion or more. The rule granted credits to smaller banks for the portion of their regular assessments that contributed to increasing the reserve ratio from 1.15% to 1.35%. For the years ended December 31, 2024, December 31, 2023, and December 31, 2022, the Company recorded expense of $3.0 million, $1.65 million, and $958 thousand, respectively, for FDIC insurance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On October 18, 2022, the FDIC adopted a final rule to increase initial base deposit insurance assessment rate schedules uniformly by 2 basis points, beginning in the first quarterly assessment period of 2023. This increase in assessment rate schedules is intended to increase the likelihood that the reserve ratio reaches 1.35% by the statutory deadline of September 30, 2028. The new assessment rate schedules will remain in effect unless and until the reserve ratio meets or exceeds 2%. Progressively lower assessment rate schedules will take effect when the reserve ratio reaches 2%, and again when it reaches 2.5%.</w:t>
      </w:r>
    </w:p>
    <w:p>
      <w:pPr>
        <w:spacing w:after="0" w:line="97" w:lineRule="exact"/>
        <w:rPr>
          <w:sz w:val="20"/>
          <w:szCs w:val="20"/>
          <w:color w:val="auto"/>
        </w:rPr>
      </w:pPr>
    </w:p>
    <w:p>
      <w:pPr>
        <w:jc w:val="both"/>
        <w:ind w:firstLine="31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Transactions with Affiliates. </w:t>
      </w:r>
      <w:r>
        <w:rPr>
          <w:rFonts w:ascii="Times New Roman" w:cs="Times New Roman" w:eastAsia="Times New Roman" w:hAnsi="Times New Roman"/>
          <w:sz w:val="18"/>
          <w:szCs w:val="18"/>
          <w:color w:val="auto"/>
        </w:rPr>
        <w:t>Pursuant to Sections 23A and 23B of the Federal Reserve Act and Regulation W, the authority of the Bank to engage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with related parties or “affiliates,” or to make loans to insiders, is limited. Loan transactions with an affiliate generally must be collateralized and certain transactions between the Bank and its affiliates, including the sale of assets, the payment of money, or the provision of services, must be on terms and conditions that are substantially the same, or at least as favorable to the Bank, as those prevailing for comparable nonaffiliated transactions. In addition, the Bank generally may not purchase securities issued or underwritten by affiliates.</w:t>
      </w:r>
    </w:p>
    <w:p>
      <w:pPr>
        <w:spacing w:after="0" w:line="132"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Loans to executive officers, directors, or to any person who directly or indirectly, or acting through or in concert with one or more persons, owns, controls, or has the power to vote more than 10% of any class of voting securities of a bank are subject to Sections 22(g) and 22(h) of the Federal Reserve Act and their corresponding regulations (Regulation O) and Section 13(k) of the Exchange Act, relating to the prohibition on personal loans to executives (which exempts financial institutions in compliance with the insider lending restrictions of Section 22(h) of the Federal Reserve Act). Among other things, these loans must be made on terms substantially the same as those prevailing on transactions made to unaffiliated individuals and certain extensions of credit to those persons must first be approved in advance by a disinterested majority of the entire Board. Section 22(h) of the Federal Reserve Act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of the Federal Reserve Act identifies limited circumstances in which a bank is permitted to extend credit to executive officers.</w:t>
      </w:r>
    </w:p>
    <w:p>
      <w:pPr>
        <w:spacing w:after="0" w:line="135"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Community Reinvestment Act. </w:t>
      </w:r>
      <w:r>
        <w:rPr>
          <w:rFonts w:ascii="Times New Roman" w:cs="Times New Roman" w:eastAsia="Times New Roman" w:hAnsi="Times New Roman"/>
          <w:sz w:val="16"/>
          <w:szCs w:val="16"/>
          <w:color w:val="auto"/>
        </w:rPr>
        <w:t>The Bank is subject to the requirements of the CRA. The CRA imposes on financial institutions an affirmative and ongoing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 to meet the credit needs of the local communities they serve, including low-income and moderate-income neighborhoods. If the Bank receives a rating from the Federal Reserve of less than “satisfactory” under the CRA, restrictions on operating activities would be imposed. In addition, in order for a financial holding company, like the Company, to commence any new activity permitted by the BHCA, or to acquire any company engaged in any new activity permitted by the BHCA, each insured depository institution subsidiary of the financial holding company must have received a rating of at least “satisfactory” in its most recent examination under the CRA. The Bank received a “satisfactory” CRA rating in its most recent examination, dated May 1, 2023.</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On October 24, 2023, the federal bank regulatory agencies jointly issued a final rule to modernize CRA regulations consistent with the following key goals:</w:t>
      </w:r>
    </w:p>
    <w:p>
      <w:pPr>
        <w:spacing w:after="0" w:line="44" w:lineRule="exact"/>
        <w:rPr>
          <w:sz w:val="20"/>
          <w:szCs w:val="20"/>
          <w:color w:val="auto"/>
        </w:rPr>
      </w:pPr>
    </w:p>
    <w:p>
      <w:pPr>
        <w:jc w:val="both"/>
        <w:ind w:firstLine="5"/>
        <w:spacing w:after="0" w:line="244" w:lineRule="auto"/>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encourage banks to expand access to credit, investment, and banking services in low to moderate income communities; (2) to adapt to changes in the banking industry, including internet and mobile banking and the growth of non-branch delivery systems; (3) to provide greater clarity and consistency in the application of the CRA regulations, including adoption of a new metrics-based approach to evaluating bank retail lending and community development financing; and (4) to tailor CRA evaluations and data collection to bank size and type, recognizing that differences in bank size and business models may impact CRA evaluations and qualifying activities. Most of the final CRA rule’s requirements will be applicable beginning January 1, 2026, with certain requirements, including the data reporting requirements, applicable as of January 1, 2027. The Bank is currently evaluating the impact of the modified CRA regulations, but does not anticipate any resulting material impact to its operations or compliance objectives. The Bank anticipates that final and formal changes to interagency CRA regulations will require an extended process, and any such changes are uncertain and cannot be predicted at this time. The final rule is currently enjoined as to the plaintiff trade associations while a federal court considers a lawsuit challenging the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Federal Home Loan Banks (“FHLBs”). </w:t>
      </w:r>
      <w:r>
        <w:rPr>
          <w:rFonts w:ascii="Times New Roman" w:cs="Times New Roman" w:eastAsia="Times New Roman" w:hAnsi="Times New Roman"/>
          <w:sz w:val="18"/>
          <w:szCs w:val="18"/>
          <w:color w:val="auto"/>
        </w:rPr>
        <w:t>The Bank is a member of the FHLB of Atlanta, which is one of 12 regional FHLBs that provide funding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for making housing loans as well as for affordable housing and community development loans. Each FHLB serves as a reserve, or central bank, for the members within its assigned region, and makes loans to its members in accordance with policies and procedures established by the board of directors of the applicable FHLB. As a member, the Bank must purchase and maintain stock in the FHLB of Atlanta.</w:t>
      </w:r>
    </w:p>
    <w:p>
      <w:pPr>
        <w:spacing w:after="0" w:line="128"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i w:val="1"/>
          <w:iCs w:val="1"/>
          <w:color w:val="auto"/>
        </w:rPr>
        <w:t xml:space="preserve">Privacy Legislation. </w:t>
      </w:r>
      <w:r>
        <w:rPr>
          <w:rFonts w:ascii="Times New Roman" w:cs="Times New Roman" w:eastAsia="Times New Roman" w:hAnsi="Times New Roman"/>
          <w:sz w:val="16"/>
          <w:szCs w:val="16"/>
          <w:color w:val="auto"/>
        </w:rPr>
        <w:t>Several laws, including the Right to Financial Privacy Act and the Gramm-Leach-Bliley Act (“GLB Act”), and related regulations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by the federal bank regulatory agencies, provide protections against the transfer and use of customer information by financial institutions. A financial institution must provide its customers information regarding its policies and procedures with respect to the handling of customers’ personal information. Each institution must conduct an internal risk assessment of its ability to protect customer information. These privacy provisions generally prohibit a financial institution from providing a customer’s personal financial information to unaffiliated parties without prior notice to and approval from the customer.</w:t>
      </w:r>
    </w:p>
    <w:p>
      <w:pPr>
        <w:spacing w:after="0" w:line="106"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In March 2021, the Governor of Virginia signed into law the Virginia Consumer Data Protection Act (the “VCDPA”), which went into effect on January 1, 2023. The VCDPA grants Virginia residents the right to access, correct, delete, know, and opt-out of the sale and processing for targeted advertising purposes of their personal information, similar to the protections provided by similar consumer data privacy laws in California and in Europe. The VCDPA also imposes data protection assessment requirements and authorizes the Attorney General of Virginia to enforce the VCDPA, but does not provide a private right of action for consumers. As a financial institution subject to the GLB Act, the Bank is exempt from the VCDPA, but certain third-party vendors of the Company or the Bank will be subject to the VCDPA, which may impact the products or services that we obtain from those vendors.</w:t>
      </w:r>
    </w:p>
    <w:p>
      <w:pPr>
        <w:spacing w:after="0" w:line="13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Collectively, these privacy laws and regulations impose compliance costs and create obligations and, in some cases, reporting obligations, and compliance with these laws, regulations, and obligations may require significant resources of the Company and the Bank.</w:t>
      </w:r>
    </w:p>
    <w:p>
      <w:pPr>
        <w:spacing w:after="0" w:line="115"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Anti-Money Laundering Laws and Regulations. </w:t>
      </w:r>
      <w:r>
        <w:rPr>
          <w:rFonts w:ascii="Times New Roman" w:cs="Times New Roman" w:eastAsia="Times New Roman" w:hAnsi="Times New Roman"/>
          <w:sz w:val="18"/>
          <w:szCs w:val="18"/>
          <w:color w:val="auto"/>
        </w:rPr>
        <w:t>The Bank is subject to several federal laws that are designed to combat money laundering, terrorist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and transactions with persons, companies or foreign governments designated by U.S. authorities (“AML laws”). This category of laws includes the BSA, the Money Laundering Control Act of 1986, the Uniting and Strengthening America by Providing Appropriate Tools Required to Intercept and Obstruct Terrorism Act of 2001 (“USA PATRIOT Act”), and the Anti-Money Laundering Act of 2020.</w:t>
      </w:r>
    </w:p>
    <w:p>
      <w:pPr>
        <w:spacing w:after="0" w:line="130"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AML laws and their implementing regulations require insured depository institutions, broker-dealers, and certain other financial institutions to have policies, procedures, and controls to detect, prevent, and report money laundering and terrorist financing. The AML laws and their regulations also provide for information sharing, subject to conditions, between federal law enforcement agencies and financial institutions, as well as among financial institutions, for counter-terrorism purposes. Federal banking regulators are required, when reviewing bank holding company acquisition and bank merger applications, to take into account the effectiveness of the anti-money laundering activities of the applicants. To comply with these obligations, the Bank has implemented appropriate internal practices, procedures, and controls.</w:t>
      </w:r>
    </w:p>
    <w:p>
      <w:pPr>
        <w:spacing w:after="0" w:line="133"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Reporting Terrorist Activities. </w:t>
      </w:r>
      <w:r>
        <w:rPr>
          <w:rFonts w:ascii="Times New Roman" w:cs="Times New Roman" w:eastAsia="Times New Roman" w:hAnsi="Times New Roman"/>
          <w:sz w:val="18"/>
          <w:szCs w:val="18"/>
          <w:color w:val="auto"/>
        </w:rPr>
        <w:t>The Office of Foreign Assets Control (“OFAC”), which is a division of the Department of the Treasury, is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helping to ensure that United States entities do not engage in transactions with “enemies” of the United States, as defined by various executive orders and acts of Congress. OFAC has sent, and will send, our bank regulatory agencies lists of names of persons and organizations suspected of aiding, harboring, or engaging in terrorist acts. If the Bank finds a name on any transaction, account, or wire transfer that is on an OFAC list, it must freeze such account, file a suspicious activity report, and notify the Federal Bureau of Investigation. The Bank has appointed an OFAC compliance officer to oversee the inspection of its accounts and the filing of any notifications. The Bank actively checks high-risk OFAC areas, such as new accounts, wire transfers, and customer files. The Bank performs these checks utilizing software, which is updated each time a modification is made to the lists provided by OFAC and other agencies of Specially Designated Nationals and Blocked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Consumer Financial Protection. </w:t>
      </w:r>
      <w:r>
        <w:rPr>
          <w:rFonts w:ascii="Times New Roman" w:cs="Times New Roman" w:eastAsia="Times New Roman" w:hAnsi="Times New Roman"/>
          <w:sz w:val="18"/>
          <w:szCs w:val="18"/>
          <w:color w:val="auto"/>
        </w:rPr>
        <w:t>The Bank is subject to a number of federal and state consumer protection laws that extensively govern its relationship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the Service Members Civil Relief Act, laws governing flood insurance, federal and state laws prohibiting unfair and deceptive business practices, foreclosure laws, and various regulations that implement some or all of the foregoing. These laws and regulations mandate certain disclosure requirements and regulate the manner in which financial institutions must deal with customers when taking deposits, making loans, collecting loans, and providing other services. If the Bank fails to comply with these laws and regulations, it may be subject to various penalties. Failure to comply with consumer protection requirements may also result in failure to obtain any required bank regulatory approval for merger or acquisition transactions the Bank may wish to pursue or being prohibited from engaging in such transactions, even if approval is not required.</w:t>
      </w:r>
    </w:p>
    <w:p>
      <w:pPr>
        <w:spacing w:after="0" w:line="141"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Consumer Financial Protection Bureau (the “CFPB”) is responsible for implementing, examining, and enforcing compliance with federal consumer financial protection laws. The CFPB focuses on (i) risks to consumers and compliance with the federal consumer financial laws, (ii) the markets in which firms operate and risks to consumers posed by activities in those markets, (iii) depository institutions that offer a wide variety of consumer financial products and services, and (iv) non-depository companies that offer one or more consumer financial products or services. The CFPB is responsible for examining and enforcing compliance with federal consumer financial laws for institutions with more than $10 billion of assets. While the Bank, like all banks, is subject to federal consumer protection rules enacted by the CFPB, because the Company and the Bank have total consolidated assets of less than $10 billion, the Federal Reserve oversees most of the consumer financial protection laws and regulations applicable to the Bank.</w:t>
      </w:r>
    </w:p>
    <w:p>
      <w:pPr>
        <w:spacing w:after="0" w:line="137" w:lineRule="exact"/>
        <w:rPr>
          <w:sz w:val="20"/>
          <w:szCs w:val="20"/>
          <w:color w:val="auto"/>
        </w:rPr>
      </w:pPr>
    </w:p>
    <w:p>
      <w:pPr>
        <w:jc w:val="both"/>
        <w:ind w:firstLine="315"/>
        <w:spacing w:after="0" w:line="283" w:lineRule="auto"/>
        <w:rPr>
          <w:sz w:val="20"/>
          <w:szCs w:val="20"/>
          <w:color w:val="auto"/>
        </w:rPr>
      </w:pPr>
      <w:r>
        <w:rPr>
          <w:rFonts w:ascii="Times New Roman" w:cs="Times New Roman" w:eastAsia="Times New Roman" w:hAnsi="Times New Roman"/>
          <w:sz w:val="16"/>
          <w:szCs w:val="16"/>
          <w:color w:val="auto"/>
        </w:rPr>
        <w:t>The CFPB has broad rulemaking authority for a wide range of consumer financial laws that apply to all banks, including, among other things, the authority to prohibit “unfair, deceptive or abusive” acts and practices. Abusive acts or practices are defined as those that materially interfere with a consumer’s ability to understand a term or condition of a consumer financial product or service or take unreasonable advantage of a consumer’s (i) lack of financial savvy, (ii) inability to protect himself or herself in the selection or use of consumer financial products or services, or (iii) reasonable reliance on a covered entity to act in the consumer’s interests. The CFPB can issue cease-and-desist orders against banks and other entities that violate consumer financial laws. The CFPB may also institute a civil action against an entity in violation of federal consumer financial law in order to impose a civil penalty or injunction. Further regulatory positions taken by the CFPB may influence how other regulatory agencies may apply the subject consumer financial protection laws and regulations.</w:t>
      </w:r>
    </w:p>
    <w:p>
      <w:pPr>
        <w:spacing w:after="0" w:line="109"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Notwithstanding the foregoing, the recent changes in the U.S. presidential administration and the composition of the U.S. Congress is expected to lead to potentially significant changes to the existence, priorities, scope, practices and/or staffing levels of various regulatory agencies. For example, in February 2025, the U.S. presidential administration directed the CFPB to, among other things, suspend rule implementations and cease supervision activities.</w:t>
      </w:r>
    </w:p>
    <w:p>
      <w:pPr>
        <w:spacing w:after="0" w:line="126"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i w:val="1"/>
          <w:iCs w:val="1"/>
          <w:color w:val="auto"/>
        </w:rPr>
        <w:t>Incentive Compensation</w:t>
      </w:r>
      <w:r>
        <w:rPr>
          <w:rFonts w:ascii="Times New Roman" w:cs="Times New Roman" w:eastAsia="Times New Roman" w:hAnsi="Times New Roman"/>
          <w:sz w:val="18"/>
          <w:szCs w:val="18"/>
          <w:color w:val="auto"/>
        </w:rPr>
        <w:t>. In 2016, the SEC and the federal banking agencies proposed rules that prohibit covered financial institutions (including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companies and banks) from establishing or maintaining incentive-based compensation arrangements that encourage inappropriate risk taking by providing covered persons (consisting of senior executive officers and significant risk takers, as defined in the rules) with excessive compensation, fees, or benefits that could lead to material financial loss to the financial institution. The comment period for these proposed rules has closed, and although the agencies indicated that the incentive compensation proposal would be on their collective 2024 regulatory agenda, a final rule has not yet been published. If the rules are adopted as currently proposed, they will restrict the manner in which executive compensation is structured.</w:t>
      </w:r>
    </w:p>
    <w:p>
      <w:pPr>
        <w:spacing w:after="0" w:line="135"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Mortgage Banking Regulation. </w:t>
      </w:r>
      <w:r>
        <w:rPr>
          <w:rFonts w:ascii="Times New Roman" w:cs="Times New Roman" w:eastAsia="Times New Roman" w:hAnsi="Times New Roman"/>
          <w:sz w:val="18"/>
          <w:szCs w:val="18"/>
          <w:color w:val="auto"/>
        </w:rPr>
        <w:t>In connection with making mortgage loans, the Bank is subject to rules and regulations that, among other things,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for loan origination, prohibit discrimination, provide for inspections and appraisals of property, require credit reports on prospective borrowers, in some cases, restrict certain loan features and fix maximum interest rates and fees, require the disclosure of certain basic information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mortgagors concerning credit and settlement costs, limit payment for settlement services to the reasonable value of the services rendered, and require the maintenance and disclosure of information regarding the disposition of mortgage applications based on race, gender, geographical distribution, and income level. The Bank is also subject to rules and regulations that require the collection and reporting of significant amounts of information with respect to mortgage loans and borrowers. The Bank’s mortgage origination activities are subject to Regulation Z, which implements the Truth in Lending Act. Certain provisions of Regulation Z require creditors to make a reasonable and good faith determination based on verified and documented information that a consumer applying for a mortgage loan has a reasonable ability to repay the loan according to its terms.</w:t>
      </w:r>
    </w:p>
    <w:p>
      <w:pPr>
        <w:spacing w:after="0" w:line="133"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Brokered Deposits. </w:t>
      </w:r>
      <w:r>
        <w:rPr>
          <w:rFonts w:ascii="Times New Roman" w:cs="Times New Roman" w:eastAsia="Times New Roman" w:hAnsi="Times New Roman"/>
          <w:sz w:val="16"/>
          <w:szCs w:val="16"/>
          <w:color w:val="auto"/>
        </w:rPr>
        <w:t>Section 29 of the FDIA and FDIC regulations generally limit the ability of any bank to accept, renew, or roll over any brokered deposit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unless it is “well capitalized” or, with the FDIC’s approval, “adequately capitalized.” On December 15, 2020, the FDIC issued rules to revise brokered deposit regulations in light of modern deposit-taking methods. The rules established a new framework for certain provisions of the “deposit broker” definition and amended the FDIC’s interest rate methodology calculating rates and rate caps. The rules became effective on April 1, 2021. The Bank has not experienced any material impact to its operations as a result of the rules. In July 2024, the FDIC proposed further revisions to the brokered deposit regulations that would reverse many of the changes made in 2020. The comment period for the proposed rule has closed, but a final rule has not yet been published.</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Future Regulation</w:t>
      </w:r>
    </w:p>
    <w:p>
      <w:pPr>
        <w:spacing w:after="0" w:line="163"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From time to time, various legislative and regulatory initiatives are introduced in Congress and state legislatures, as well as by regulatory agencies. Such initiatives may include proposals to expand or contract the powers of bank holding companies, financial holding companies, and depository institutions or proposals to substantially change the financial institution regulatory system. Such legislation could change banking statutes and the operating environment of the Company and the Bank in substantial and unpredictable ways. If enacted, such legislation could increase or decrease the cost of doing business, limit or expand permissible activities, or affect the competitive balance among banks, savings associations, credit unions, and other financial institutions. The Company cannot predict whether any such legislation will be enacted, and, if enacted, the effect that it, or any implementing regulations, would have on the financial condition or results of operations of the Company or the Bank.</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Effect of Governmental Monetary Policies</w:t>
      </w:r>
    </w:p>
    <w:p>
      <w:pPr>
        <w:spacing w:after="0" w:line="163"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Company’s operations are affected not only by general economic conditions but also by the policies of various regulatory authorities. In particular, the Federal Reserve uses monetary policy tools to impact money market and credit market conditions and interest rates to influence general economic conditions. These policies have a significant impact on overall growth and distribution of loans, investments, and deposits; they affect market interest rates charged on loans or paid for time and savings deposits, and can significantly influence employment and inflation rates. Federal Reserve monetary policies have had a significant effect on the operating results of commercial banks, including the Company, in the past and are expected to do so in the future.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Reporting Obligations under Securities Laws</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Company is subject to the periodic and other reporting requirements of the Exchange Act, including the filing of annual, quarterly, and other reports, and amendments to those reports, with the SEC. The Company’s SEC filings will be posted and available at no cost on its website as soon as reasonably practicable after the reports are filed or furnished electronically with the SEC. The Company’s website address is at http://investor.burkeandherbertbank.com. The information on the Company’s website is not incorporated into this report or any other filing the Company makes with the SEC. The SEC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An investment in our Common Stock involves risks and uncertainties. In addition to the other information set forth in this Form 10-K, including information addressed under “Disclosure Regarding Forward-Looking Statements,” investors in our Common Stock should carefully consider the factors discussed below. These factors could materially and adversely affect our business, financial condition, liquidity, results of operations, and capital position and could cause our actual results to differ materially from our historical results or the results contemplated by the forward-looking statements contained in our Form 10-K, in which case the trading price of our Common Stock could decline. The Risk Factors Summary that follows should be read in conjunction with the detailed description of risk factors following this summary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1"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Lending Activities</w:t>
      </w:r>
    </w:p>
    <w:p>
      <w:pPr>
        <w:spacing w:after="0" w:line="22" w:lineRule="exact"/>
        <w:rPr>
          <w:rFonts w:ascii="Times New Roman" w:cs="Times New Roman" w:eastAsia="Times New Roman" w:hAnsi="Times New Roman"/>
          <w:sz w:val="18"/>
          <w:szCs w:val="18"/>
          <w:i w:val="1"/>
          <w:iCs w:val="1"/>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measure and limit our credit risk adequately.</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regarding credit risk could be inaccurate and our allowance for credit losses may be inadequate.</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non-performing assets increase, our earnings will be adversely affected.</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lending to small to medium-sized businesses may increase our credit risk.</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6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real estate market or economy in our market area could lead to higher levels of problem loans and charge-offs, adversely affecting our earnings and financial condition.</w:t>
      </w:r>
    </w:p>
    <w:p>
      <w:pPr>
        <w:ind w:left="640" w:hanging="320"/>
        <w:spacing w:after="0" w:line="243" w:lineRule="auto"/>
        <w:tabs>
          <w:tab w:leader="none" w:pos="6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higher credit risk by commercial real estate, commercial and industrial, and acquisition, construction &amp; development-based lending, as well as large lending relationships.</w:t>
      </w: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lending secured by real estate and may be forced to foreclose on the collateral.</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loans are attributable to a relatively small number of borrowers.</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appraisals and other valuation techniques we use may not accurately reflect the net value of the asset.</w:t>
      </w:r>
    </w:p>
    <w:p>
      <w:pPr>
        <w:spacing w:after="0" w:line="14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Funding and Liquidity</w:t>
      </w:r>
    </w:p>
    <w:p>
      <w:pPr>
        <w:spacing w:after="0" w:line="22" w:lineRule="exact"/>
        <w:rPr>
          <w:rFonts w:ascii="Times New Roman" w:cs="Times New Roman" w:eastAsia="Times New Roman" w:hAnsi="Times New Roman"/>
          <w:sz w:val="18"/>
          <w:szCs w:val="18"/>
          <w:i w:val="1"/>
          <w:iCs w:val="1"/>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could impair our ability to fund operations and meet our obligations as they become due.</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deposits or a change in deposit mix could increase our cost of funding.</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use brokered deposits as part of our funding strategy may affect our profitability.</w:t>
      </w:r>
    </w:p>
    <w:p>
      <w:pPr>
        <w:spacing w:after="0" w:line="14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Business, Industry, and Markets</w:t>
      </w:r>
    </w:p>
    <w:p>
      <w:pPr>
        <w:spacing w:after="0" w:line="22" w:lineRule="exact"/>
        <w:rPr>
          <w:rFonts w:ascii="Times New Roman" w:cs="Times New Roman" w:eastAsia="Times New Roman" w:hAnsi="Times New Roman"/>
          <w:sz w:val="18"/>
          <w:szCs w:val="18"/>
          <w:i w:val="1"/>
          <w:iCs w:val="1"/>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face increasing competition.</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may be negatively affected if we are unable to execute our strategy.</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6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keep up with the rapid technological changes in the financial services industry could have an adverse effect on our competitive position and profitability.</w:t>
      </w:r>
    </w:p>
    <w:p>
      <w:pPr>
        <w:ind w:left="640" w:hanging="320"/>
        <w:spacing w:after="0" w:line="243" w:lineRule="auto"/>
        <w:tabs>
          <w:tab w:leader="none" w:pos="6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a relationship-based operating model, and our ability to maintain our reputation is critical to the success of our business, and the failure to do so may materially adversely affect our performance.</w:t>
      </w: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management team and key employees.</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interest rates and monetary policy may negatively affect our earnings, income and financial condition, as well as the value of our assets.</w:t>
      </w:r>
    </w:p>
    <w:p>
      <w:pPr>
        <w:spacing w:after="0" w:line="26"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physical and financial risks associated with climate change impacts.</w:t>
      </w:r>
    </w:p>
    <w:p>
      <w:pPr>
        <w:spacing w:after="0" w:line="14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Operations</w:t>
      </w:r>
    </w:p>
    <w:p>
      <w:pPr>
        <w:spacing w:after="0" w:line="22" w:lineRule="exact"/>
        <w:rPr>
          <w:rFonts w:ascii="Times New Roman" w:cs="Times New Roman" w:eastAsia="Times New Roman" w:hAnsi="Times New Roman"/>
          <w:sz w:val="18"/>
          <w:szCs w:val="18"/>
          <w:i w:val="1"/>
          <w:iCs w:val="1"/>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our operational, technological, and organizational infrastructure.</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6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breaches of our network security, including as a result of cyber-attacks or data security breaches, could subject us to increased operating costs, litigation, and other liabilities.</w:t>
      </w: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key components of our business infrastructure.</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6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losses, regulatory action, or reputational harm due to fraudulent and negligent acts on the part of loan applicants, our employees, and vendors.</w:t>
      </w: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claims and litigation pertaining to intellectual property.</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lack of soundness of other financial institutions and market participants.</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framework may not be effective in mitigating risks and/or losses to us.</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the Company’s services is influenced by general economic and consumer trends.</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suffer if we do not effectively manage our expanded operations, including complying with any enhanced regulatory requirements.</w:t>
      </w:r>
    </w:p>
    <w:p>
      <w:pPr>
        <w:spacing w:after="0" w:line="14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Regulatory Environment</w:t>
      </w:r>
    </w:p>
    <w:p>
      <w:pPr>
        <w:spacing w:after="0" w:line="22" w:lineRule="exact"/>
        <w:rPr>
          <w:rFonts w:ascii="Times New Roman" w:cs="Times New Roman" w:eastAsia="Times New Roman" w:hAnsi="Times New Roman"/>
          <w:sz w:val="18"/>
          <w:szCs w:val="18"/>
          <w:i w:val="1"/>
          <w:iCs w:val="1"/>
          <w:color w:val="auto"/>
        </w:rPr>
      </w:pPr>
    </w:p>
    <w:p>
      <w:pPr>
        <w:ind w:left="640" w:hanging="320"/>
        <w:spacing w:after="0" w:line="243" w:lineRule="auto"/>
        <w:tabs>
          <w:tab w:leader="none" w:pos="6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regulated, and the regulatory framework, together with any future legislative or regulatory changes, may have a materially adverse effect on our operations.</w:t>
      </w:r>
    </w:p>
    <w:p>
      <w:pPr>
        <w:ind w:left="640" w:hanging="320"/>
        <w:spacing w:after="0"/>
        <w:tabs>
          <w:tab w:leader="none" w:pos="6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capital requirements, which could have an adverse effect on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hanging="32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risk of noncompliance and enforcement action with the BSA and other anti-money laundering statutes and regulations.</w:t>
      </w:r>
    </w:p>
    <w:p>
      <w:pPr>
        <w:spacing w:after="0" w:line="2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regarding the privacy, information security, and protection of personal information.</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use of third-party vendors and our other ongoing third-party business relationships are subject to increasing regulatory requirements and attention.</w:t>
      </w:r>
    </w:p>
    <w:p>
      <w:pPr>
        <w:spacing w:after="0" w:line="26" w:lineRule="exact"/>
        <w:rPr>
          <w:rFonts w:ascii="Times New Roman" w:cs="Times New Roman" w:eastAsia="Times New Roman" w:hAnsi="Times New Roman"/>
          <w:sz w:val="16"/>
          <w:szCs w:val="16"/>
          <w:color w:val="auto"/>
        </w:rPr>
      </w:pPr>
    </w:p>
    <w:p>
      <w:pPr>
        <w:ind w:left="640" w:hanging="320"/>
        <w:spacing w:after="0" w:line="243"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affecting our loans secured by commercial real estate could limit our ability to leverage our capital and adversely affect our growth and profitability.</w:t>
      </w:r>
    </w:p>
    <w:p>
      <w:pPr>
        <w:ind w:left="640" w:hanging="320"/>
        <w:spacing w:after="0" w:line="24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expectations from customers, regulators, investors, and other stakeholders with respect to Environmental, Social, and Governance (“ESG”) practices may impose additional costs on us or expose us to new or additional risks.</w:t>
      </w:r>
    </w:p>
    <w:p>
      <w:pPr>
        <w:spacing w:after="0" w:line="132"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an Investment in Our Common Stock</w:t>
      </w:r>
    </w:p>
    <w:p>
      <w:pPr>
        <w:spacing w:after="0" w:line="22" w:lineRule="exact"/>
        <w:rPr>
          <w:rFonts w:ascii="Times New Roman" w:cs="Times New Roman" w:eastAsia="Times New Roman" w:hAnsi="Times New Roman"/>
          <w:sz w:val="18"/>
          <w:szCs w:val="18"/>
          <w:i w:val="1"/>
          <w:iCs w:val="1"/>
          <w:color w:val="auto"/>
        </w:rPr>
      </w:pPr>
    </w:p>
    <w:p>
      <w:pPr>
        <w:ind w:left="640" w:hanging="320"/>
        <w:spacing w:after="0" w:line="243" w:lineRule="auto"/>
        <w:tabs>
          <w:tab w:leader="none" w:pos="6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qualify as an “emerging growth company”, and the reduced disclosures and relief from certain other significant disclosure requirements that are available to emerging growth companies may make our Common Stock less attractive to investors.</w:t>
      </w:r>
    </w:p>
    <w:p>
      <w:pPr>
        <w:ind w:left="640" w:hanging="320"/>
        <w:spacing w:after="0" w:line="243" w:lineRule="auto"/>
        <w:tabs>
          <w:tab w:leader="none" w:pos="6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ind w:left="640" w:hanging="320"/>
        <w:spacing w:after="0" w:line="243" w:lineRule="auto"/>
        <w:tabs>
          <w:tab w:leader="none" w:pos="6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equity securities, or engage in other transactions, which could affect the priority of our Common Stock, which may adversely affect the market price of our Common Stock.</w:t>
      </w:r>
    </w:p>
    <w:p>
      <w:pPr>
        <w:ind w:left="640" w:hanging="320"/>
        <w:spacing w:after="0"/>
        <w:tabs>
          <w:tab w:leader="none" w:pos="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Stock is not an insured deposit and is not guaranteed by the FDIC.</w:t>
      </w:r>
    </w:p>
    <w:p>
      <w:pPr>
        <w:spacing w:after="0" w:line="3"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junior subordinated debentures and preferred stock have rights that are senior to those of our common stockholders.</w:t>
      </w:r>
    </w:p>
    <w:p>
      <w:pPr>
        <w:spacing w:after="0" w:line="3" w:lineRule="exact"/>
        <w:rPr>
          <w:rFonts w:ascii="Times New Roman" w:cs="Times New Roman" w:eastAsia="Times New Roman" w:hAnsi="Times New Roman"/>
          <w:sz w:val="18"/>
          <w:szCs w:val="18"/>
          <w:color w:val="auto"/>
        </w:rPr>
      </w:pPr>
    </w:p>
    <w:p>
      <w:pPr>
        <w:jc w:val="both"/>
        <w:ind w:left="640" w:hanging="320"/>
        <w:spacing w:after="0" w:line="245" w:lineRule="auto"/>
        <w:tabs>
          <w:tab w:leader="none" w:pos="63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Our Lending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measure and limit our credit risk adequately, which could adversely affect our profitability.</w:t>
      </w:r>
    </w:p>
    <w:p>
      <w:pPr>
        <w:spacing w:after="0" w:line="165" w:lineRule="exact"/>
        <w:rPr>
          <w:sz w:val="20"/>
          <w:szCs w:val="20"/>
          <w:color w:val="auto"/>
        </w:rPr>
      </w:pPr>
    </w:p>
    <w:p>
      <w:pPr>
        <w:jc w:val="both"/>
        <w:ind w:firstLine="315"/>
        <w:spacing w:after="0" w:line="280" w:lineRule="auto"/>
        <w:rPr>
          <w:sz w:val="20"/>
          <w:szCs w:val="20"/>
          <w:color w:val="auto"/>
        </w:rPr>
      </w:pPr>
      <w:r>
        <w:rPr>
          <w:rFonts w:ascii="Times New Roman" w:cs="Times New Roman" w:eastAsia="Times New Roman" w:hAnsi="Times New Roman"/>
          <w:sz w:val="16"/>
          <w:szCs w:val="16"/>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may be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expected credit losses. Additional factors related to the credit quality of multifamily residential, real estate construction, and other commercial real estate loans include the quality of management of the business and tenant vacancy rates.</w:t>
      </w:r>
    </w:p>
    <w:p>
      <w:pPr>
        <w:spacing w:after="0" w:line="326" w:lineRule="exact"/>
        <w:rPr>
          <w:sz w:val="20"/>
          <w:szCs w:val="20"/>
          <w:color w:val="auto"/>
        </w:rPr>
      </w:pPr>
    </w:p>
    <w:p>
      <w:pPr>
        <w:jc w:val="both"/>
        <w:ind w:firstLine="315"/>
        <w:spacing w:after="0" w:line="282" w:lineRule="auto"/>
        <w:rPr>
          <w:sz w:val="20"/>
          <w:szCs w:val="20"/>
          <w:color w:val="auto"/>
        </w:rPr>
      </w:pPr>
      <w:r>
        <w:rPr>
          <w:rFonts w:ascii="Times New Roman" w:cs="Times New Roman" w:eastAsia="Times New Roman" w:hAnsi="Times New Roman"/>
          <w:sz w:val="16"/>
          <w:szCs w:val="16"/>
          <w:color w:val="auto"/>
        </w:rPr>
        <w:t>The Chief Credit Officer is responsible for establishing credit risk policies and procedures, including underwriting guidelines and credit approval authority, and monitoring credit exposure and performance of the Company’s lending-related transactions. Credit risk policies and procedures and credit-related risks are reviewed and approved by multiple committees that assess credit risk and enterprise-wide risks. 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an adverse effect on our business, financial condition, and results of operations.</w:t>
      </w:r>
    </w:p>
    <w:p>
      <w:pPr>
        <w:spacing w:after="0" w:line="1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decisions regarding credit risk could be inaccurate and our allowance for credit losses may be inadequate, which could materially and adversely affect our business, financial condition, results of operations, cash flows, and/or future prospects.</w:t>
      </w:r>
    </w:p>
    <w:p>
      <w:pPr>
        <w:spacing w:after="0" w:line="112" w:lineRule="exact"/>
        <w:rPr>
          <w:sz w:val="20"/>
          <w:szCs w:val="20"/>
          <w:color w:val="auto"/>
        </w:rPr>
      </w:pPr>
    </w:p>
    <w:p>
      <w:pPr>
        <w:jc w:val="both"/>
        <w:ind w:firstLine="315"/>
        <w:spacing w:after="0" w:line="280" w:lineRule="auto"/>
        <w:rPr>
          <w:sz w:val="20"/>
          <w:szCs w:val="20"/>
          <w:color w:val="auto"/>
        </w:rPr>
      </w:pPr>
      <w:r>
        <w:rPr>
          <w:rFonts w:ascii="Times New Roman" w:cs="Times New Roman" w:eastAsia="Times New Roman" w:hAnsi="Times New Roman"/>
          <w:sz w:val="16"/>
          <w:szCs w:val="16"/>
          <w:color w:val="auto"/>
        </w:rPr>
        <w:t xml:space="preserve">We attempt to maintain an appropriate allowance for credit losses to provide for our estimate of all expected credit losses for financial assets held at the reporting date based on historical experience, current conditions, and reasonable and supportable forecasts. As of December 31, 2024, the allowance for credit losses was $68.0 million or 1.20% of total gross loans; however, there is no guarantee that it will be sufficient to address credit losses. The determination of the appropriate level of allowance for credit losses inherently involves a high degree of subjectivity and requires us to make significant estimates related to current and expected future credit risks and trends, all of which may undergo material changes. Continuing deterioration in economic conditions affecting borrowers and securities issuers; new information regarding existing loans, credit commitments and securities holdings; global pandemics; natural disasters and risks related to climate change; and identification of additional problem loans, ratings down-grades and other factors, both within and outside of our control, may require an increase in the allowances for credit losses on loans, securities, and off-balance sheet credit exposures. There is no precise method of predicting credit losses, and therefore, we always face the risk that losses in future periods will exceed our allowance for credit losses and that we would need to make additional provisions to our allowance for credit losses, which would reduce our earnings. Our methodology for the determination of the adequacy of the allowance for credit losses is set forth in </w:t>
      </w:r>
      <w:r>
        <w:rPr>
          <w:rFonts w:ascii="Times New Roman" w:cs="Times New Roman" w:eastAsia="Times New Roman" w:hAnsi="Times New Roman"/>
          <w:sz w:val="16"/>
          <w:szCs w:val="16"/>
          <w:u w:val="single" w:color="auto"/>
          <w:color w:val="0000FF"/>
        </w:rPr>
        <w:t>Note 4 — Allowance for Credit Losses</w:t>
      </w:r>
      <w:r>
        <w:rPr>
          <w:rFonts w:ascii="Times New Roman" w:cs="Times New Roman" w:eastAsia="Times New Roman" w:hAnsi="Times New Roman"/>
          <w:sz w:val="16"/>
          <w:szCs w:val="16"/>
          <w:color w:val="auto"/>
        </w:rPr>
        <w:t xml:space="preserve"> in the accompanying Consolidated Financial Statements.</w:t>
      </w:r>
    </w:p>
    <w:p>
      <w:pPr>
        <w:spacing w:after="0" w:line="32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Additionally, federal and state banking regulators, as an integral part of their supervisory function, periodically review the allowance for credit losses. These regulatory agencies may require us to increase our provision for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28"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 xml:space="preserve">On January 1, 2023, the Company adopted the Current Expected Credit Loss (“CECL”) methodology as required under ASC 326. The CECL standard requires us to record, at the time of origination, credit losses expected throughout the life of our loans as opposed to the previous approach of recording losses when it became probable that a loss event had occurred. Accordingly, our allowance for credit losses may experience more fluctuations under the CECL model than it has in the past, which could in turn result in more volatility in our provision for credit losses and, therefore, earnings. See “Recent Accounting Pronouncements” under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of this Form 10-K, for further information regarding the implementation of CECL.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non-performing assets increase, our earnings will be adversely affected.</w:t>
      </w:r>
    </w:p>
    <w:p>
      <w:pPr>
        <w:spacing w:after="0" w:line="165" w:lineRule="exact"/>
        <w:rPr>
          <w:sz w:val="20"/>
          <w:szCs w:val="20"/>
          <w:color w:val="auto"/>
        </w:rPr>
      </w:pPr>
    </w:p>
    <w:p>
      <w:pPr>
        <w:jc w:val="both"/>
        <w:ind w:firstLine="315"/>
        <w:spacing w:after="0" w:line="331" w:lineRule="auto"/>
        <w:rPr>
          <w:sz w:val="20"/>
          <w:szCs w:val="20"/>
          <w:color w:val="auto"/>
        </w:rPr>
      </w:pPr>
      <w:r>
        <w:rPr>
          <w:rFonts w:ascii="Times New Roman" w:cs="Times New Roman" w:eastAsia="Times New Roman" w:hAnsi="Times New Roman"/>
          <w:sz w:val="16"/>
          <w:szCs w:val="16"/>
          <w:color w:val="auto"/>
        </w:rPr>
        <w:t>At December 31, 2024, we had $41.2 million in non-performing assets. Non-performing assets consist of non-accrual loans, loans 90 days or more past due and still accruing interest, and other real estate owned. Non-performing assets held by the Company will adversely affect our net income in various ways:</w:t>
      </w:r>
    </w:p>
    <w:p>
      <w:pPr>
        <w:spacing w:after="0" w:line="70" w:lineRule="exact"/>
        <w:rPr>
          <w:sz w:val="20"/>
          <w:szCs w:val="20"/>
          <w:color w:val="auto"/>
        </w:rPr>
      </w:pPr>
    </w:p>
    <w:p>
      <w:pPr>
        <w:ind w:left="640" w:hanging="320"/>
        <w:spacing w:after="0" w:line="26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interest income only on the cash basis or cost-recovery method for non-accrual loans and we do not record interest income for other real estate owned;</w:t>
      </w:r>
    </w:p>
    <w:p>
      <w:pPr>
        <w:spacing w:after="0" w:line="11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provide for probable credit losses through a current period charge to the provision for credit losses;</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Non-interest expense increases when we write down the value of properties in our other real estate owned portfolio to reflect changing market values;</w:t>
      </w:r>
    </w:p>
    <w:p>
      <w:pPr>
        <w:spacing w:after="0" w:line="183"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legal fees associated with the resolution of problem assets, as well as carrying costs, such as taxes, insurance, and maintenance fees; and</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non-performing assets requires the active involvement of management, which can distract them from more profitable activity.</w:t>
      </w:r>
    </w:p>
    <w:p>
      <w:pPr>
        <w:spacing w:after="0" w:line="16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If borrowers become delinquent and do not pay their loans and we are unable to successfully manage our non-performing assets, our losses and troubled assets could increase, which could have a material adverse effect on our financial condition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focus on lending to small to medium-sized businesses may increase our credit risk.</w:t>
      </w:r>
    </w:p>
    <w:p>
      <w:pPr>
        <w:spacing w:after="0" w:line="165"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We target our business development and marketing strategy primarily to serve the banking and financial services needs of small to medium-sized businesses. These businesses generally have fewer financial resources in terms of capital access or borrowing capacity than larger entities, frequently have smaller market shares than their competition, and may be more vulnerable to economic downturns. These businesses also often need substantial additional capital to expand or compete, and may experience substantial volatility in operating results, any of which may impair their ability as a borrower to repay a loan. These factors may be especially true given the effects of global macroeconomic conditions, including volatility and market factors related to or caused by any health crises, global political conflict, rising interest rates, labor market volatility, and instability in financial markets. If general economic conditions in the markets in which we operate negatively impact this customer segment, our results of operations and financial condition and the value of our Common Stock may be adversely affected. Moreover, a portion of these loans have been made by us in recent years, and the borrowers may not have experienced a complete business or economic cycle. The deterioration of our borrowers’ businesses may hinder their ability to repay their loans with us,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the real estate market or economy in our market area could lead to higher levels of problem loans and charge-offs, adversely affecting our earnings and financial condition.</w:t>
      </w:r>
    </w:p>
    <w:p>
      <w:pPr>
        <w:spacing w:after="0" w:line="112"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 substantial portion of our loans are secured by real estate. These concentrations expose us to the risk that adverse developments in the real estate market, or in the general economic conditions in such areas, or the continuation of such adverse developments, could increase the levels of non-performing loans and charge-offs, and reduce loan demand and deposit growth. In that event, we would likely experience lower earnings or losses. Additionally, if economic conditions in our market area deteriorate, or there is volatility or weakness in the economy or any significant sector of the economy in our markets, our ability to develop our business relationships may be diminished, the quality and collectability of our loans may be adversely affected, our provision for credit losses may increase, the value of collateral may decline, and loan demand may be reduced.</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exposed to higher credit risk by commercial real estate, commercial and industrial, and acquisition, construction &amp; development-based lending as well as large lending relationships.</w:t>
      </w:r>
    </w:p>
    <w:p>
      <w:pPr>
        <w:spacing w:after="0" w:line="11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Commercial real estate, commercial and industrial, and acquisition, construction &amp; development-based lending usually involve higher credit risks than 1-4 family residential real estate lending. As of December 31, 2024, the following loan types accounted for the stated percentages of our loan portfolio: commercial real estate – 46.5%; owner-occupied commercial real estate – 10.8%; commercial and industrial – 10.8%; and acquisition, construction &amp; development – 8.2%. These types of loans also involve larger loan balances to a single borrower or groups of related borrowers. These higher credit risks are further heightened when the loans are concentrated in a small number of larger borrowers leading to relationship exposure. As of December 31, 2024, we had 31 relationships that each had over $25 million of outstanding borrowings. While we are not dependent on any of these relationships and while none of these large relationships have directly impacted our allowance for credit losses, a deterioration of any of these large credits could require us to increase our allowance for credit losses or result in significant losses.</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Commercial and industrial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which in turn can be dependent upon general economic conditions remaining stable. In addition, the assets securing the loans depreciate over time, are difficult to appraise and liquidate, and fluctuate in value based on the success of the business.</w:t>
      </w:r>
    </w:p>
    <w:p>
      <w:pPr>
        <w:spacing w:after="0" w:line="132"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Real estate construction and development loan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(particularly given recent volatility in supply chains, the availability of raw materials, and general economic conditions)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of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spacing w:after="0" w:line="14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Additionally, commercial real estate loans, commercial and industrial loans, and acquisition, construction &amp; development loans are more susceptible to a risk of loss during a downturn in the business cycle. Our underwriting, review and monitoring cannot eliminate all of the risks related to these loans. In particular, the banking regulatory agencies have expressed concerns about weaknesses in the current commercial real estate market. Banking regulatory authorities typically give commercial real estate lending greater scrutiny and may require banks with higher levels of commercial real estate loans to implement enhanced risk management practices, including stricter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underwriting, internal controls, risk management policies, more granular reporting, and portfolio stress testing, as well as possibly higher levels of allowances for losses and capital levels as a result of commercial real estate lending growth and exposure. If our banking regulators determine that our commercial real estate lending activities are particularly risky and are subject to heightened scrutiny, we may incur significant additional costs or be required to restrict certain of our commercial real estate lending activities.</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engage in lending secured by real estate and may be forced to foreclose on the collateral and own the underlying real estate, subjecting us to the costs and potential risks associated with foreclosure and the ownership of real property.</w:t>
      </w:r>
    </w:p>
    <w:p>
      <w:pPr>
        <w:spacing w:after="0" w:line="11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spacing w:after="0" w:line="137"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including in response to the COVID-19 pandemic. Additionally, federal and state regulators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loans are attributable to a relatively small number of borrowers.</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Our 10 largest borrowing relationships accounted for approximately 8.8% of our total loans at December 31, 2024. Our largest single borrowing relationship accounted for approximately 1.2% of our total loans at December 31, 2024. The loss of any combination of these borrowers, or a significant decline in their borrowings due to fluctuations related to their business needs or as a result of general economic conditions, could adversely affect our results of operations if we are unable to replace their borrowings with similarly priced new loans or investments. In addition, with this concentration of credit risk among a limited number of borrowers, we may face a greater risk of material credit losses if any one or several of these borrowers fail to perform in accordance with their loans, compared to a bank with a more diversified loan portfolio.</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appraisals and other valuation techniques we use in evaluating and monitoring loans secured by real property and other real estate owned may not accurately reflect the net value of the asset.</w:t>
      </w:r>
    </w:p>
    <w:p>
      <w:pPr>
        <w:spacing w:after="0" w:line="112"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w:t>
      </w:r>
    </w:p>
    <w:p>
      <w:pPr>
        <w:spacing w:after="0" w:line="10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If any of these valuations are inaccurate, our consolidated financial statements may not reflect the correct value of our OREO, if any, and our allowance for credit losses may not reflect accurate loan impairments. Inaccurate valuation of OREO or inaccurate provisioning for credit losses could have an adverse effect on our business, financial condition, and results of operations. The Company’s OREO amounted to $2.8 million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Funding and Liquidity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 could impair our ability to fund operations and meet our obligations as they become due.</w:t>
      </w:r>
    </w:p>
    <w:p>
      <w:pPr>
        <w:spacing w:after="0" w:line="165"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Liquidity is essential to our business. An inability to maintain sufficient deposits or raise funds through additional deposits, borrowings, the sale of loans, and other sources could have a substantial negative effect on our liquidity. Our access to funding sources in amounts adequate to finance our activities, or on terms that are acceptable to us, could be impaired by factors that affect us specifically, the financial services industry, or the economy, in general. Factors that could detrimentally affect our access to liquidity sources may be beyond our control and include, among other things, market disruptions, changes in our credit ratings, lack of sufficient qualifying collateral to support borrowings, competitive dynamics, reputational damage, the confidence of depositors in us or the financial-services industry, generally, a decrease in the level of our business activity as a result of a downturn in the markets in which our loans are concentrated, and an adverse regulatory action against us. Our ability to borrow could also be impaired by factors that are not specific to us, such as a disruption in the financial markets, increased inflation, tariffs or other disruptions to global trade, trade agreements or supply chains, rising interest rates, the state of the regulatory environment and monetary and fiscal policies, the possibility of the U.S. government defaulting on its debt, or negative views and expectations about the prospects for the financial services industry or the global economy more broadly.</w:t>
      </w:r>
    </w:p>
    <w:p>
      <w:pPr>
        <w:spacing w:after="0" w:line="13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28"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Among other sources of funds, we rely heavily on deposits for funds to make loans and provide for our other liquidity needs. However, loan demand may exceed the rate at which we are able to build core deposits for which there is substantial competition from a variety of different competitors, so we may rely on more interest-sensitive deposits, including brokered deposits, as sources of funds. Those deposits may not be as stable as other types of deposits, and in the future, depositors may not renew those deposits when they mature, or we may have to pay a higher rate of interest to attract or retain them or to replace them with other deposits or with funds from other sources. Not being able to attract deposits, or to retain or replace them as they mature, would adversely affect our liquidity. Paying higher deposit rates to attract, retain, or replace those deposits could have a negative effect on our net interest margin and operating results. Furthermore, as we and other banking organizations experienced in 2023, the failure of other financial institutions may cause deposit outflows as customers spread deposits among several different banks so as to maximize their amount of FDIC insurance, move deposits to banks deemed “too big to fail” or to remove deposits from the banking system entirely. As of December 31, 2024, approximately 29.6% of our deposits were uninsured and we rely on these deposits for liquidity.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deposits or a change in deposit mix could increase our cost of funding.</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Deposits are generally a low-cost and stable source of funding. We compete with banks and other financial institutions for deposits. Funding costs may increase if we lose deposits and are forced to replace them with more expensive sources. Depending on the interest rate environment and competitive factors, low-cost deposits may need to be replaced with higher cost funding, resulting in a decrease in net interest income and net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ability to use brokered deposits as part of our funding strategy may affect our profitability.</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A “brokered deposit” is any deposit that is obtained from, or through the mediation or assistance of, a deposit broker. These deposit brokers attract deposits from individuals and companies throughout the country and internationally whose deposit decisions are based almost exclusively on obtaining the highest interest rates. We have used brokered deposits in the past, and we may continue to use brokered deposits as one of our funding sources to support future growth. As of December 31, 2024, brokered deposits represented approximately 3.8% of our total deposits.</w:t>
      </w:r>
    </w:p>
    <w:p>
      <w:pPr>
        <w:spacing w:after="0" w:line="13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Banks may be restricted in their ability to accept brokered deposits, depending on their capital classification. “Well capitalized” banks are permitted to accept brokered deposits, but all banks that are not well capitalized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be restricted from accepting such deposits. Should we lose our “well capitalized” status, these restrictions could materially and adversely affect our ability to access lower costs funds, and thereby decrease our future earnings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Markets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and face increasing competition from a variety of traditional and new financial services providers.</w:t>
      </w:r>
    </w:p>
    <w:p>
      <w:pPr>
        <w:spacing w:after="0" w:line="165"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We have many competitors. Our principal competitors are commercial and community banks, credit unions, savings and loan associations, mortgage banking firms, online mortgage lenders, and consumer finance companies, including large national financial institutions that operate in our market. Many of these competitors are larger than us, have significantly more resources, greater brand recognition,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continued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negatively affected if we are unable to execute our strategy.</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Our strategy is to grow organically and supplement that growth with select acquisitions, if available. Our success depends primarily on generating loans and deposits of acceptable risk and expense. There can be no assurance that we will be successful in continuing our organic, or internal, growth strategy. Our ability to identify appropriate markets for expansion, recruit and retain qualified personnel, and fund growth at reasonable cost depends upon prevailing economic conditions, maintenance of sufficient capital, competitive factors, changes in banking laws, and other factors. Our ability to execute on our strategy will also depend, in part, on our ability to retain the talents and dedication of key employees currently employed by the Company. It is possible that these employees may decide not to remain with the Company. If the Company is unable to retain key employees, including management, who are critical to the successful integration and future operations of the companies, the Company could face disruptions in its operations, loss of existing customers, loss of key information, expertise, or know-how, and unanticipated additional recruitment costs.</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We cannot be certain of our ability to manage increased levels of assets and liabilities without increased expenses and higher levels of non-performing assets. We may be required to make additional investments in equipment and personnel to manage higher asset levels and loan balances, which may adversely affect earnings, shareholder returns, and our efficiency ratio. Increases in operating expenses or non-performing assets may decrease our earnings and the value of the Company’s capital stock.</w:t>
      </w:r>
    </w:p>
    <w:p>
      <w:pPr>
        <w:spacing w:after="0" w:line="13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To the extent we are able to supplement organic growth with one or more acquisitions, we will be subject to risks commonly encountered in such transactions, including risks related to the time and expense of identifying, evaluating, and negotiating potential acquisitions, exposure to unknown or contingent liabilities of the target, difficulty of integrating the operations and personnel of the target, potential disruption of our ongoing business, failure to retain key personnel at the acquired business, and failure to realize any expected revenue increases, cost savings, and other projected benefits from an acquisition.</w:t>
      </w:r>
    </w:p>
    <w:p>
      <w:pPr>
        <w:spacing w:after="0" w:line="1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the rapid technological changes in the financial services industry could have an adverse effect on our competitive position and profitability.</w:t>
      </w:r>
    </w:p>
    <w:p>
      <w:pPr>
        <w:spacing w:after="0" w:line="112"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have substantially greater resources to invest in technological improvements than we have.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follow a relationship-based operating model, and our ability to maintain our reputation is critical to the success of our business, and the failure to do so may materially adversely affect our performance.</w:t>
      </w:r>
    </w:p>
    <w:p>
      <w:pPr>
        <w:spacing w:after="0" w:line="112"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We are a community bank, and our reputation is one of the most valuable components of our business. As such, we strive to conduct our business in a manner that enhances our reputation. This is done, in part, by recruiting, hiring, and retaining bankers and other associates who share our core values of being an integral part of the communities we serve, delivering superior service to our customers, and caring about our customers and associates. Furthermore, maintaining our reputation also depends on our ability to protect our brand name and associated trademarks.</w:t>
      </w:r>
    </w:p>
    <w:p>
      <w:pPr>
        <w:spacing w:after="0" w:line="13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However, reputation risk, or the risk to our business, earnings, and capital from negative public opinion surrounding our Company, and the financial services industry, generally, is inherent in our business. Negative public opinion can result from our actual or alleged conduct in any number of activities, including business and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Although we take steps to minimize reputation risk in dealing with our customers and communities, this risk will always be present given the nature of our business. If our reputation is negatively affected by the actions of our employees, or otherwise, our business and operating results may be materially adversely affected.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employees.</w:t>
      </w:r>
    </w:p>
    <w:p>
      <w:pPr>
        <w:spacing w:after="0" w:line="165"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We believe that our continued growth and future success will depend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strategy, and we may not be able to find adequate replacements on a timely basis, or at all.</w:t>
      </w:r>
    </w:p>
    <w:p>
      <w:pPr>
        <w:spacing w:after="0" w:line="10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and monetary policy may negatively affect our earnings, income, and financial condition, as well as the value of our assets.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Our earnings and cash flows depend substantially upon our net interest income. Net interest income is the difference between interest income earned on interest-earning assets, such as loans and investment securities, and interest expense paid on interest-bearing liabilities, such as deposits and borrowed funds. Interest rates are sensitive to many factors that are beyond our control, including general economic conditions, competition and policies of various governmental and regulatory agencies, and in particular, the policies of the Federal Reserve.</w:t>
      </w:r>
    </w:p>
    <w:p>
      <w:pPr>
        <w:spacing w:after="0" w:line="13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deposits. These instruments are used in varying combinations to influence overall economic growth and the distribution of credit, bank loans, investments and deposits. Their use also affects interest rates charged on loans or paid on deposits.</w:t>
      </w:r>
    </w:p>
    <w:p>
      <w:pPr>
        <w:spacing w:after="0" w:line="117"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Until recently, we were in a rising rate environment. Interest rate increases often result in larger payment requirements for our borrowers, which increases the potential for default. At the same time, the marketability of the property securing a loan may be adversely affected by any reduced demand resulting from higher interest rates. In a rising interest rate environment, there may be an increase in prepayments on loans as borrowers refinance their loans at lower rates. In 2024, the Federal Reserve’s interest rate policy shifted as inflationary pressure began to ease and economic growth moderated. Following a period of aggressive rate hikes in 2022 and 2023 aimed at curbing inflation, the Federal Reserve began lowering rates in 2024, with the Federal Funds target rate ranging from 5.25% to 5.5% at year-end 2023, compared to its range of 4.25% to 4.50% at year end 2024. Interest rate decreases can lead to increased prepayments of loans and mortgage-backed securities as borrowers refinance their loans to reduce borrowing costs. Under these circumstances, we are subject to reinvestment risk as we may have to redeploy such repayment proceeds into lower yielding loans or investments, which would likely hurt our income. It is unclear whether interest rates will continue to decline in 2025.</w:t>
      </w:r>
    </w:p>
    <w:p>
      <w:pPr>
        <w:spacing w:after="0" w:line="139"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Changes in monetary policy, including changes in interest rates, could not only influence the interest we receive on loans and investment securities and the amount of interest we pay on deposits and borrowings, but such changes could also affect: (1) our ability to originate loans and obtain deposits; (2) the fair value of our financial assets and liabilities, including our securities portfolio; and (3) the average duration of our interest-earning assets. Interest-earning assets may be more responsive to changes in interest rates than interest-bearing liabilities, or vice versa (repricing risk). Individual interest rates or rate indices underlying various interest-earning assets and interest-bearing liabilities may not change in the same degree over a given time period (basis risk), and interest rate relationships may change across the spectrum of interest-earning asset and interest-bearing liability maturities (yield curve risk), including a prolonged flat or inverted yield curve environment. Any substantial, unexpected, prolonged change in market interest rates could have a material adverse effect on our financial condition and results of operations.</w:t>
      </w:r>
    </w:p>
    <w:p>
      <w:pPr>
        <w:spacing w:after="0" w:line="134" w:lineRule="exact"/>
        <w:rPr>
          <w:sz w:val="20"/>
          <w:szCs w:val="20"/>
          <w:color w:val="auto"/>
        </w:rPr>
      </w:pPr>
    </w:p>
    <w:p>
      <w:pPr>
        <w:jc w:val="both"/>
        <w:ind w:firstLine="315"/>
        <w:spacing w:after="0" w:line="331" w:lineRule="auto"/>
        <w:rPr>
          <w:sz w:val="20"/>
          <w:szCs w:val="20"/>
          <w:color w:val="auto"/>
        </w:rPr>
      </w:pPr>
      <w:r>
        <w:rPr>
          <w:rFonts w:ascii="Times New Roman" w:cs="Times New Roman" w:eastAsia="Times New Roman" w:hAnsi="Times New Roman"/>
          <w:sz w:val="16"/>
          <w:szCs w:val="16"/>
          <w:color w:val="auto"/>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physical and financial risks associated with climate change and other weather and natural disaster impacts.</w:t>
      </w:r>
    </w:p>
    <w:p>
      <w:pPr>
        <w:spacing w:after="0" w:line="165"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We are subject to the growing risk of climate change. Among the risks associated with climate change are more frequent severe weather events. Severe weather events such as hurricanes, tropical storms, tornados, winter storms, freezes, flooding and other large-scale weather catastrophes in our markets subject us to significant risks, and more frequent severe weather events magnify those risks. Large-scale weather catastrophes, or other significant climate change effects that either damage or destroy residential or multifamily real estate underlying mortgage loans or real estate collateral, could decrease the value of our real estate collateral or increase our delinquency rates in the affected areas and thus diminish the value of our loan portfolio. In addition, the effects of climate change may have a significant effect on our geographic markets and could disrupt our operations or the operations of our customers, third-party service providers, or supply chains, more generally. Those disruptions could result in declines in economic conditions in our geographic markets or industries in which our borrowers operate and impact their ability to repay loans or maintain deposits. Climate change could also impact our assets or employees directly or lead to changes in customer preferences that could negatively affect our growth or business strategies. In addition, our reputation and customer relationships could be damaged due to our practices related to climate change, including our or our customers’ involvement in certain industries or projects associated with causing or exacerbating climate change. Moreover, over the past few years, federal banking regulators increasingly focused on the physical and financial risks to financial institutions associated with climate change, which may result in increased requirements regarding the disclosure and management of climate risks and related lending activities, as well as increased compliance costs. While federal regulators are expected to focus less on climate-related risks given the change in the U.S. presidential administration in January 2025, some states are more active in climate-related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operational, technological, and organizational infrastructure.</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Our ability to grow and compete is dependent on the Bank’s ability to build or acquire the necessary operational and technological infrastructure and to manage the cost of that infrastructure as we expand. In our case, operational risk can manifest itself in many ways, such as errors related to failed or inadequate processes, faulty or disabled computer systems, fraud by employees or outside persons, and exposure to external events. As discussed below, we are dependent on our operational infrastructure to help manage these risks. In addition, we are heavily dependent on the strength and capability of the technology systems that the Bank uses both to interface with customers and to manage internal financial and other systems. Our ability to develop and deliver new products that meet the needs of our existing customers and attract new ones depends on the functionality of our technology systems. Additionally, our ability to run our business in compliance with applicable laws and regulations depends on these systems.</w:t>
      </w:r>
    </w:p>
    <w:p>
      <w:pPr>
        <w:spacing w:after="0" w:line="137"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We continuously monitor our operational and technological capabilities and make modifications and improvements as circumstances warrant. In some instances, the Bank may build and maintain these capabilities itself; however, we outsource many of these functions to third parties. These third parties may experience errors or disruptions, including cyber-attacks, that could adversely impact the Bank and over which the Bank may have limited control. We also face risk from the integration of new infrastructure platforms and/or new third-party providers of such platforms into the Bank’s existing businesses.</w:t>
      </w:r>
    </w:p>
    <w:p>
      <w:pPr>
        <w:spacing w:after="0" w:line="13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Many of our larger competitors have substantially greater resources to invest in technological improvements. As a result, they may be able to offer additional or superior technologies or services compared to those that we provide, which could put us at a competitive disadvantage. Accordingly, we may lose customers seeking new technology-driven products and services to the extent we are unable to compete effectively.</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System failure or breaches of our network security, including as a result of cyber-attacks or data security breaches, could subject us to increased operating costs, as well as litigation and other liabilities.</w:t>
      </w:r>
    </w:p>
    <w:p>
      <w:pPr>
        <w:spacing w:after="0" w:line="11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computer systems and network infrastructure we use may be vulnerable to physical theft, fire, power loss, telecommunications failure, or a similar catastrophic event, as well as security breaches, denial of service attacks, viruses, worms, and other disruptive problems caused by hackers or malicious actors. Any damage or failure that causes breakdowns or disruptions in our customer relationship management, general ledger, deposit, loan, and other systems could damage our reputation, result in a loss of customer business, subject us to additional regulatory scrutiny for failure to comply with required information security standards, or expose us to civil litigation and possible financial liability, any of which could have a material adverse effect on us.</w:t>
      </w:r>
    </w:p>
    <w:p>
      <w:pPr>
        <w:spacing w:after="0" w:line="134"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Computer break-ins, phishing, and other disruptions could also jeopardize the security of information stored in and transmitted through our computer systems and network infrastructure. Information security risks have generally increased in recent years in part because of the proliferation of new technologies, the use of the Internet and telecommunications technologies to conduct financial transactions, and the increased sophistication and activities of organized crime, hackers, terrorists, activists, and other external parties. Our operations rely on the secure processing, transmission, and storage of confidential information in our computer systems and networks. In addition, to access our products and services, our customers may use devices that are beyond our control systems. Although we believe we have robust information security procedures and controls, our technologies, systems, networks, and our customers’ devices may become the target of cyber-attacks or information security breaches that could result in the unauthorized release, gathering, monitoring, misuse, loss, or destruction of the Bank’s or our customers’ confidential, proprietary, and other information, or otherwise disrupt the Bank’s or our customers’ or other third parties’ business operations. As cyber threats continue to evolve, we may be required to expend significant additional resources to continue to modify or enhance our protective measures or to investigate and remediate any information security vulnerabilities.</w:t>
      </w:r>
    </w:p>
    <w:p>
      <w:pPr>
        <w:spacing w:after="0" w:line="137"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The Bank is under continuous threat of loss due to hacking and cyber-attacks, especially as we continue to expand customer capabilities to utilize internet and other remote channels to transact business. Two of the most significant cyber-attack risks that we face are e-fraud and loss of sensitive customer data. Loss from e-fraud occurs when cybercriminals extract funds directly from our customer accounts. Attempts to breach sensitive customer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such as account numbers and social security numbers, present significant reputational, legal, and/or regulatory costs to us, if successful. Our risk and exposure to these matters remains heightened because of the evolving nature and complexity of these threats from cybercriminals and hackers, our plans to continue to provide internet banking and mobile banking channels, and our plans to develop additional remote connectivity solutions to serve our customers. We cannot assure that we will not be the victim of a material hacking or cyberattack that could cause us to suffer material losses or other harms. The occurrence of any cyber-attack or information security breach could result in potential liability to customers, reputational damage, and the disruption of our operations, and regulatory concerns, all of which could adversely affect our business, financial condition, or results of operations.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key components of our business infrastructure, and a failure of these parties to perform for any reason could disrupt our operations.</w:t>
      </w:r>
    </w:p>
    <w:p>
      <w:pPr>
        <w:spacing w:after="0" w:line="112"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6"/>
          <w:szCs w:val="16"/>
          <w:color w:val="auto"/>
        </w:rPr>
        <w:t>Third parties provide key components of our business infrastructure such as data processing, internet connections, network access, core application processing, statement production, and account analysis. Our business depends on the successful and uninterrupted functioning of our information technology and telecommunications systems and third-party servicers.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and expense. If we are unable to efficiently replace ineffective service providers, or if we experience a significant, sustained, or repeated system failure or service denial, it could compromise our ability to operate effectively, damage our reputation, result in a loss of customer business, and subject us to additional regulatory scrutiny and possible financial liability, any of which could have an adverse effect on our business, financial condition, and results of operations.</w:t>
      </w:r>
    </w:p>
    <w:p>
      <w:pPr>
        <w:spacing w:after="0" w:line="1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losses, regulatory action, or reputational harm due to fraudulent and negligent acts on the part of loan applicants, our employees, and vendors.</w:t>
      </w:r>
    </w:p>
    <w:p>
      <w:pPr>
        <w:spacing w:after="0" w:line="112"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clients and counterparties, and the terms of any such transaction, we may rely on information furnished by, or on behalf of, clients and counterparties, including financial statements, property appraisals, title information, employment and income documentation, account information, and other financial information. We may also rely on representations of clients and counterparties as to the accuracy and completeness of that information and, with respect to financial statements, on reports of independent auditors. Any such misrepresentation or incorrect or incomplete information, whether fraudulent or inadvertent, may not be detected prior to funding. In addition, one or more of our employees or vendors could cause a significant operational breakdown or failure, either as a result of human error or where an individual purposefully sabotages or fraudulently manipulates our loan documentation, operations, or systems. Whether a misrepresentation is made by the applicant or another third-party, we generally bear the risk of loss associated with the misrepresentation. A loan subject to a material misrepresentation is typically unsellable or subject to repurchase if it is sold prior to detection of the misrepresentation. The sources of the misrepresentations may also be difficult to locate, and we may be unable to recover any of the monetary losses we may suffer as a result of the misrepresentations. Any of these developments could have an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claims and litigation pertaining to intellectual property.</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Banking and other financial services companies, such as ours, rely on technology companies to provide information technology products and services necessary to support their day-to-day operations. Technology companies frequently enter into litigation based on allegations of patent infringement or other violations of intellectual property rights. In addition, patent holding companies seek to monetize patents they have purchased or otherwise obtained. Competitors of our vendors, or other individuals or companies, may from time to time claim to hold intellectual property sold to us by our vendors. Such claims may increase in the future as the financial services sector becomes more reliant on information technology vendors. The plaintiffs in these actions frequently seek injunctions and substantial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Regardless of the scope or validity of such patents or other intellectual property rights, or the merits of any claims by potential or actual litigants, we may have to engage in protracted litigation. Such litigation is often expensive, time-consuming, disruptive to our operations, and distracting to management. If we are found to infringe one or more patents or other intellectual property rights, we may be required to pay substantial damages or royalties to a third-party. In certain cases, we may consider entering into licensing agreements for disputed intellectual property, although no assurance can be given that such licenses can be obtained on acceptable terms or that litigation will not occur. These licenses may also significantly increase our operating expenses. If legal matters related to intellectual property claims were resolved against us or settled, we could be required to make payments in amounts that could have an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lack of soundness of other financial institutions or other market participants.</w:t>
      </w:r>
    </w:p>
    <w:p>
      <w:pPr>
        <w:spacing w:after="0" w:line="165"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clearing agencies, exchanges,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framework may not be effective in mitigating risks and/or losses to us.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Our risk management framework is governed by various committees, including the Audit Committee, the Compensation Committee, the Nominating and Governance Committee, the Enterprise Risk Management Committee, the Credit Risk Management Committee, the Asset and Liability Management Committee, the Trust &amp; Wealth Management Committee, the Technology Committee, and the Regulatory Risk Committee. The Chief Risk Officer has oversight responsibility for credit risk, enterprise risk, including regulatory risk, and asset and liability management risk, directly reporting to the Chief Executive Officer.</w:t>
      </w:r>
    </w:p>
    <w:p>
      <w:pPr>
        <w:spacing w:after="0" w:line="134"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 and results of operations could be adversely affected. We may also be subject to potentially adverse regulatory consequences.</w:t>
      </w:r>
    </w:p>
    <w:p>
      <w:pPr>
        <w:spacing w:after="0" w:line="1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Demand for the Company’s services is influenced by general economic and consumer trends beyond the Company’s control, including disruptions in the financial services industry, in general, and events such as global pandemics and geopolitical conflict.</w:t>
      </w:r>
    </w:p>
    <w:p>
      <w:pPr>
        <w:spacing w:after="0" w:line="112" w:lineRule="exact"/>
        <w:rPr>
          <w:sz w:val="20"/>
          <w:szCs w:val="20"/>
          <w:color w:val="auto"/>
        </w:rPr>
      </w:pPr>
    </w:p>
    <w:p>
      <w:pPr>
        <w:jc w:val="both"/>
        <w:ind w:firstLine="315"/>
        <w:spacing w:after="0" w:line="282" w:lineRule="auto"/>
        <w:rPr>
          <w:sz w:val="20"/>
          <w:szCs w:val="20"/>
          <w:color w:val="auto"/>
        </w:rPr>
      </w:pPr>
      <w:r>
        <w:rPr>
          <w:rFonts w:ascii="Times New Roman" w:cs="Times New Roman" w:eastAsia="Times New Roman" w:hAnsi="Times New Roman"/>
          <w:sz w:val="16"/>
          <w:szCs w:val="16"/>
          <w:color w:val="auto"/>
        </w:rPr>
        <w:t>There can be no assurance that our business and corresponding financial performance will not be adversely affected by general economic or consumer trends or events, including those affecting the financial services industry. Over the past few years, global markets have seen extensive volatility owing to a variety of factors, including high inflation, trade policies and tariffs, volatility in the capital markets, the failure of financial institutions, volatility in the housing market, interest and currency rate fluctuations, labor availability, supply chain disruptions, global pandemics and public health crises and the responses thereto, weather catastrophes and geopolitical instability, including shutdowns and threats of shutdowns of the U.S. federal government, growing tensions between China and the U.S., the Russia-Ukraine war, conflict in the Middle East, and acts of terrorism. These events have created, and may continue to create, significant disruption of the global economy and financial and labor markets. If such conditions continue, recur or worsen, this may have a material adverse effect on the Company’s business, financial condition, and results of operations. Furthermore, such economic conditions have produced downward pressure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share prices and on the availability of credit for financial institutions and corporations, while also driving up interest rates, further complicating borrowing and lending activities.</w:t>
      </w:r>
    </w:p>
    <w:p>
      <w:pPr>
        <w:spacing w:after="0" w:line="117"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Additionally, the change in the U.S. presidential administration has given rise to uncertainty regarding the potential impact of certain policies and regulatory approaches on the broader economy, particularly in the areas of immigration and trade. For example, any significant new tariffs which may be imposed by the U.S. may increase the cost of raw materials used in construction, which can have an adverse effect on commercial and residential real-estate markets through increased production costs, production delays, and challenges in launching new projects. If current levels of market disruption and volatility continue or increase, the Company might experience reductions in business activity, increases in funding costs, decreases in asset values, additional write-downs and impairment charges, and lower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suffer if we do not effectively manage our expanded operations, including complying with any enhanced regulatory requirements.</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Company may face increased scrutiny from governmental authorities as a result of the size of its business, including if the total assets of the Company grow to exceed $10 billion as of December 31 of any calendar year. Banks with $10 billion or more in total assets are, among other things: examined directly by the CFPB with respect to various federal consumer financial laws; subject to reduced dividends on any holdings of Federal Reserve Bank of Richmond common stock; subject to limits on interchange fees pursuant to Section 920 of the Electronic Funds Transfer Act (known as the Durbin Amendment); subject to certain enhanced prudential standards; no longer treated as a “small institution” for FDIC deposit insurance assessment purposes; and no longer eligible to elect to be subject to the CBLR. Compliance with these additional ongoing requirements may necessitate additional personnel, the design and implementation of additional internal controls, and the incurrence of significant expenses, which could have a significant adverse effect on the Company’s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regulated, and the regulatory framework, together with any future legislative or regulatory changes, may have a materially adverse effect on our operations.</w:t>
      </w:r>
    </w:p>
    <w:p>
      <w:pPr>
        <w:spacing w:after="0" w:line="112" w:lineRule="exact"/>
        <w:rPr>
          <w:sz w:val="20"/>
          <w:szCs w:val="20"/>
          <w:color w:val="auto"/>
        </w:rPr>
      </w:pPr>
    </w:p>
    <w:p>
      <w:pPr>
        <w:jc w:val="both"/>
        <w:ind w:firstLine="315"/>
        <w:spacing w:after="0" w:line="282" w:lineRule="auto"/>
        <w:rPr>
          <w:sz w:val="20"/>
          <w:szCs w:val="20"/>
          <w:color w:val="auto"/>
        </w:rPr>
      </w:pPr>
      <w:r>
        <w:rPr>
          <w:rFonts w:ascii="Times New Roman" w:cs="Times New Roman" w:eastAsia="Times New Roman" w:hAnsi="Times New Roman"/>
          <w:sz w:val="16"/>
          <w:szCs w:val="16"/>
          <w:color w:val="auto"/>
        </w:rPr>
        <w:t>Both the Company and the Bank are subject to extensive regulation, supervision, and examination by the Federal Reserve, our primary federal regulator and the Virginia BFI, our chartering authority. The Bank is also subject to certain regulations of the FDIC, the insurer of the Bank’s deposits. Such regulation, supervision, and examination govern the activities in which we and the Bank may engage and are intended primarily for the protection of the depositors and borrowers of the Bank, the financial system, and the DIF rather than for holders of our Common Stock. Various consumer compliance laws also affect our operations. Regulatory authorities have extensive discretion in their supervisory and enforcement activities, including the imposition of restrictions on our operations, the classification of our assets, and determination of the level of our allowance for credit losses. Any change in such regulation and oversight, whether in the form of regulatory policy, regulations, legislation, or supervisory action, may have a material impact on our operations. The earnings of the Bank, and therefore the earnings of the Company, are affected by changes in federal and state legislation and the actions of various regulatory authorities.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capital requirements, which could have an adverse effect on our operations.</w:t>
      </w:r>
    </w:p>
    <w:p>
      <w:pPr>
        <w:spacing w:after="0" w:line="165"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Federal regulations establish minimum capital requirements for insured depository institutions, including minimum risk-based capital and leverage ratios, and define “capital” for calculating these ratios. Not including the capital conservation buffer, the capital rules require community bank holding companies and community banks to maintain a common equity Tier 1 to risk-weighted assets ratio of at least 4.5%, a Tier 1 capital to risk-weighted assets ratio of at least 6.0%, a total capital to risk-weighted assets ratio of at least 8.0%, and a leverage ratio of Tier 1 capital to total consolidated assets of at least 4.0%. The capital conservation buffer is designed to absorb losses during periods of economic stress. Banking institutions with a ratio of common equity Tier 1 to risk-weighted assets above the minimum but below the conservation buffer would result in limitations on an institution’s ability to make capital distributions and discretionary bonus payments. In addition, for an insured depository institution to be “well capitalized” under the banking agencies’ “prompt corrective action” framework, it must have a common equity Tier 1 ratio of at least 6.5%, Tier 1 capital ratio of at least 8.0%, a total capital ratio of at least 10.0%, and a leverage ratio of at least 5.0%,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37"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Federal Reserve requires a bank holding company to act as a source of financial and managerial strength to its subsidiary banks and to commit resources to support its subsidiary banks. Under the “source of strength” doctrine, the Federal Reserve may require a bank holding company to make capital injections into a subsidiary bank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 A capital injection may be required at a time when our resources are limited, and we may be required to borrow the funds or raise capital to make the required capital injection.</w:t>
      </w:r>
    </w:p>
    <w:p>
      <w:pPr>
        <w:spacing w:after="0" w:line="13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risk of noncompliance and enforcement action with the BSA and other anti-money laundering statutes and regulations.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BSA, the USA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laundering 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 and acquisition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30"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w:t>
      </w:r>
    </w:p>
    <w:p>
      <w:pPr>
        <w:spacing w:after="0" w:line="66"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w:t>
      </w:r>
    </w:p>
    <w:p>
      <w:pPr>
        <w:spacing w:after="0" w:line="144"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of third-party vendors and our other ongoing third-party business relationships are subject to increasing regulatory requirements and attention.</w:t>
      </w:r>
    </w:p>
    <w:p>
      <w:pPr>
        <w:spacing w:after="0" w:line="188"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We regularly use third-party vendors in our business, and we rely on some of these vendors for critical functions, including, but not limited to, our core processing function. Third-party relationships are subject to increasingly demanding regulatory requirements and attention by bank regulators. We expect our regulators to hold us responsible for deficiencies in our oversight or control of our third-party vendor relationships and in the performance of the parties with which we have these relationships. As a result, if our regulators conclude that we have not exercised adequate oversight and control over our third-party vendors or that such vendors have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performed adequately, we could be subject to administrative penalties or fines as well as requirements for consumer remediation, any of which could have a material adverse effect on our business, financial condition, and results of operations.</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affecting our loans secured by commercial real estate could limit our ability to leverage our capital and adversely affect our growth and profitability.</w:t>
      </w:r>
    </w:p>
    <w:p>
      <w:pPr>
        <w:spacing w:after="0" w:line="11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w:t>
      </w:r>
    </w:p>
    <w:p>
      <w:pPr>
        <w:spacing w:after="0" w:line="137"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As of December 31, 2024, acquisition, construction &amp; development loans were 50.6% of our total risk-based capital, and commercial real estate, including owner-occupied loans, were 353.6% of our total risk-based capital. Commercial real estate loans, including acquisition, construction &amp; development and owner-occupied loans, have increased 193.5% during the prior 36 months, mostly due to the Merger. We cannot guarantee that any risk management practices we implement will be effective in preventing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1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Evolving expectations from customers, regulators, investors, and other stakeholders with respect to Environmental, Social, and Governance (“ESG”) practices may impose additional costs on us or expose us to new or additional risks.</w:t>
      </w:r>
    </w:p>
    <w:p>
      <w:pPr>
        <w:spacing w:after="0" w:line="112"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As a regulated financial institution listed on a national exchange, we face evolving scrutiny from customers, regulators, investors, and other stakeholders related to ESG practices and disclosure. Investor advocacy groups, investment funds, and influential investors are increasingly focused on these practices, especially as they relate to climate risk, hiring practices, the diversity of the work force, and racial and social justice issues, with various stakeholders advocating both for and against such policies. Recently, ESG regulations and rules have faced a political backlash and are increasingly being successfully challenged in court. Additionally, the U.S. presidential administration has moved to overturn and reject all efforts aimed at promoting diversity, equity and inclusion in the federal government and has advocated for the same in the private sector. While federal regulators have in past years called for increased ESG disclosure, it is expected that any federal ESG-related regulations under the U.S. presidential administration will call for less disclosure or mandate the abandonment of ESG programs, while regulations at the state level will vary. Failure to adapt to or comply with regulatory requirements or investor or stakeholder expectations and standards could negatively impact our reputation, ability to do business with certain customers and business partners,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15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currently qualify as an “emerging growth company”, and the reduced disclosures and relief from certain other significant disclosure requirements that are available to emerging growth companies may make our Common Stock less attractive to investors.</w:t>
      </w:r>
    </w:p>
    <w:p>
      <w:pPr>
        <w:spacing w:after="0" w:line="112"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as defined in the federal securities laws, and we intend to continue to take advantage of certain exemptions from various reporting requirements that apply to other public companies that are not emerging growth companies. These exemptions include not being required to comply with the auditor attestation requirements of Section 404 of the Sarbanes-Oxley Act, less extensive disclosure obligations regarding executive compensation in our periodic reports and proxy statements, and exemptions from the requirements to hold non-binding advisory votes on executive compensation and shareholder approval of any golden parachute payments not previously approved. We could remain an emerging growth company until the last day of the fiscal year following the fifth anniversary of the first sale of our common equity securities in an offering registered under the Securities Act, though we may cease to be an emerging growth company earlier, if our gross revenues exceed $1.235 billion, if we issue more than $1.0 billion in non-convertible debt in a three-year period, or if the market value of our Common Stock held by non-affiliates exceeds $700 million as of any June 30 before that time, in which case we would no longer be an emerging growth company as of the following December 31.</w:t>
      </w:r>
    </w:p>
    <w:p>
      <w:pPr>
        <w:spacing w:after="0" w:line="139"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Investors and securities analysts may find it more difficult to evaluate our Common Stock because we rely on one or more of these exemptions. If, as a result, some investors find our Common Stock less attractive, there may be a less active trading market for our Common Stock, which could result in reductions and greater volatility in the prices of our Common Stock.</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11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regarding the reliability of the financial reporting and the preparation of financial statements for external purposes in accordance with U.S. generally accepted accounting principles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could have an adverse effect on our business, financial condition, and results of operations.</w:t>
      </w:r>
    </w:p>
    <w:p>
      <w:pPr>
        <w:spacing w:after="0" w:line="134" w:lineRule="exact"/>
        <w:rPr>
          <w:sz w:val="20"/>
          <w:szCs w:val="20"/>
          <w:color w:val="auto"/>
        </w:rPr>
      </w:pPr>
    </w:p>
    <w:p>
      <w:pPr>
        <w:jc w:val="both"/>
        <w:ind w:firstLine="315"/>
        <w:spacing w:after="0" w:line="280" w:lineRule="auto"/>
        <w:rPr>
          <w:sz w:val="20"/>
          <w:szCs w:val="20"/>
          <w:color w:val="auto"/>
        </w:rPr>
      </w:pPr>
      <w:r>
        <w:rPr>
          <w:rFonts w:ascii="Times New Roman" w:cs="Times New Roman" w:eastAsia="Times New Roman" w:hAnsi="Times New Roman"/>
          <w:sz w:val="16"/>
          <w:szCs w:val="16"/>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Public Company Accounting Oversight Board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and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or engage in other transactions, which could affect the priority of our Common Stock, which may adversely affect the market price of our Common Stock.</w:t>
      </w:r>
    </w:p>
    <w:p>
      <w:pPr>
        <w:spacing w:after="0" w:line="112"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Our Board may determine from time to time, that we need to raise additional capital by issuing additional shares of our Common Stock or other securities. Sales of substantial amounts of our Common Stock (including shares issued in connection with an acquisition), or the perception that such sales could occur, may adversely affect prevailing market prices of our Common Stock. We are not restricted from issuing additional shares of Common Stock, including securities that are convertible into, or exchangeable for, or that represent the right to receive Common Stock. Because our decision to issue securities in any future offering will depend on market conditions and other factors beyond our control, we cannot predict or estimate the amount, timing or nature of any future offerings, or the prices at which such offerings may be effected. Any additional issuance of Common Stock could be dilutive to existing common shareholders. We may also issue, without shareholder approval, shares of preferred stock that will provide investors in such shares with rights, preferences, and privileges that are senior to, and that adversely affect, our then current common shareholders. Additionally, if we raise additional capital by making additional offerings of debt or preferred equity securities, upon liquidation, holders of our debt securities and shares of preferred stock and lenders with respect to other borrowings will receive distributions of our available assets prior to the holders of our Common Stock, which ranks junior to our customer deposits and indebtedness. Additional equity offerings may dilute the holdings of our existing shareholders or reduce the market price of our Common Stock, or both. Holders of our Common Stock are not entitled to preemptive rights or other protections against dilution.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Stock is not an insured deposit and is not guaranteed by the FDIC, so you could lose some or all of your investment.</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An investment in our Common Stock is not a deposit account or other obligation of the Bank and, therefore, is not insured against loss or guaranteed by the FDIC, any other deposit insurance fund, or by any other governmental, public, or private entity. An investment in our Common Stock is inherently risky for the reasons described herein. As a result, if you acquire our Common Stock, you could lose some or all of your investment.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junior subordinated debentures and preferred stock have rights that are senior to those of our common stockholders.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We have three statutory business trusts for which we became sponsors in connection with the Merger. The trusts have issued mandatorily redeemable securities (the “capital securities”) for which we are obligated to third-party investors related, and hold our junior subordinated debentures (the “debentures”). The debentures held by the trusts are their sole assets. Our subordinated debentures of these unconsolidated statutory trusts totaled approximately $19.6 million excluding the related fair value mark incurred as of acquisition, at December 31, 2024.</w:t>
      </w:r>
    </w:p>
    <w:p>
      <w:pPr>
        <w:spacing w:after="0" w:line="132"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 xml:space="preserve">Payments of the principal and interest on the trust preferred securities of the statutory trusts are conditionally guaranteed by us. The junior subordinated debentures are senior to our shares of common stock. As a result, we must make payments on the junior subordinated debentures before any dividends can be paid on our common stock and, in the event of our bankruptcy, dissolution or liquidation, the holders of the junior subordinated debentures must be satisfied before any distributions can be made on our common stock. We have the right to defer distributions on the junior subordinated debentures (and the related trust preferred securities) for up to five (5) years, during which time no dividends may be paid on our common stock. See </w:t>
      </w:r>
      <w:r>
        <w:rPr>
          <w:rFonts w:ascii="Times New Roman" w:cs="Times New Roman" w:eastAsia="Times New Roman" w:hAnsi="Times New Roman"/>
          <w:sz w:val="18"/>
          <w:szCs w:val="18"/>
          <w:u w:val="single" w:color="auto"/>
          <w:color w:val="0000FF"/>
        </w:rPr>
        <w:t>Note 7 — Borrowed Funds</w:t>
      </w:r>
      <w:r>
        <w:rPr>
          <w:rFonts w:ascii="Times New Roman" w:cs="Times New Roman" w:eastAsia="Times New Roman" w:hAnsi="Times New Roman"/>
          <w:sz w:val="18"/>
          <w:szCs w:val="18"/>
          <w:color w:val="auto"/>
        </w:rPr>
        <w:t xml:space="preserve"> in Notes to Consolidated Financial Statements for additional information regarding our trust preferred securities.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also have 1,500 shares of our 6.0% Fixed Rate Non-Cumulative Perpetual Preferred Stock, Series 2021 outstanding, which is senior to our common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 with respect to dividends upon liquidation or dissolution of the Company. While the regular dividends payable on such preferred stock are non-cumulative, we are not permitted to pay dividends on or repurchase our common stock to the extent we do not pay dividends on such preferred stock for each applicable dividend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p>
    <w:p>
      <w:pPr>
        <w:spacing w:after="0" w:line="124"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United States District Court for the Eastern District of Virginia, Alexandria Division, or in the event that court lacks jurisdiction, the Circuit Court of the City of Alexandria, Virginia, will be the sole and exclusive forum for any derivative action or proceeding brought on behalf of us, any action asserting a claim of breach of a fiduciary duty owed by any director, officer, employee, or other agent of ours to us or our shareholders, any action asserting a claim arising pursuant to any provision of the Virginia Stock Corporation Act (“VSCA”) or our Articles of Incorporation or Bylaws, or any action asserting a claim governed by the internal affairs doctrine, including, without limitation, any action to interpret, apply, enforce, or determine the validity of the Articles of Incorporation or Bylaws, in each case subject to such court having personal jurisdiction over the indispensable parties named as defendants in any such action. By its terms, the exclusive forum provision in our bylaws would apply to claims made under the Exchange Act or the Securities Act. However, 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As a result of these provisions, the exclusive forum provisions may not apply to, and there is uncertainty as to whether a court would enforce such exclusive forum provisions with respect to, suits brought to enforce any duty or liability created by the Exchange Act or the Securities Act or any other claim for which the federal and state courts have concurrent jurisdiction, and our stockholders will not be deemed to have waived our compliance with the federal securities laws and the rules and regulations thereunder.</w:t>
      </w:r>
    </w:p>
    <w:p>
      <w:pPr>
        <w:spacing w:after="0" w:line="140"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shares of our capital stock shall be deemed to have notice of and to have consented to this provision of our Bylaws. The exclusive forum provision may limit the ability of our shareholders to bring a claim in a judicial forum that such shareholders find favorable for disputes with us or our directors or officers and the provision may increase costs on a shareholder pursuing any claims against us, which may discourage such lawsuits against us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3"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federal bank regulatory agencies have adopted guidelines for establishing information security standards and cybersecurity programs for implementing safeguards under the supervision of a financial institution’s board of directors. These guidelines, along with related regulatory materials, increasingly focus on risk management and processes related to information technology and the use of third parties in the provision of financial products and services. The federal bank regulatory agencies expect financial institutions to establish lines of defense and to ensure that their risk management processes address the risk posed by compromised customer credentials, and also expect financial institutions to maintain sufficient business continuity planning processes to ensure rapid recovery, resumption, and maintenance of the institution’s operations after a cyberattack. If the Company or the Bank fails to meet the expectations set forth in this regulatory guidance, the Company or the Bank could be subject to various regulatory actions and any remediation efforts may require significant resources of the Company or the Bank.</w:t>
      </w:r>
    </w:p>
    <w:p>
      <w:pPr>
        <w:spacing w:after="0" w:line="134"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On November 18, 2021, the federal bank regulatory agencies issued a final rule, with compliance required as of May 1, 2022, imposing new notification requirements for cybersecurity incidents. The rule requires financial institutions to notify their primary federal regulator as soon as possible and no later than 36 hours after the institution determines that a cybersecurity incident has occurred that has materially disrupted or degraded, or is reasonably likely to materially disrupt or degrade, the institution’s: (i) ability to carry out banking operations, activities, or processes, or deliver banking products and services to a material portion of its customer base, in the ordinary course of business, (ii) business line(s), including associated operations, services, functions, and support, that upon failure would result in a material loss of revenue, profit, or franchise value, or (iii) operations, including associated services, functions and support, as applicable, the failure or discontinuance of which would pose a threat to the financial stability of the United States. To date, we have not experienced cybersecurity incidents that we believe has, or is reasonably likely to, materially affect our business operations, strategy, or financial condition. However, we continually assess the potential impact of cybersecurity threats, ensuring that any incident is evaluated for materiality in relation to our business strategy, operational results, and financial condition.</w:t>
      </w:r>
    </w:p>
    <w:p>
      <w:pPr>
        <w:spacing w:after="0" w:line="137" w:lineRule="exact"/>
        <w:rPr>
          <w:sz w:val="20"/>
          <w:szCs w:val="20"/>
          <w:color w:val="auto"/>
        </w:rPr>
      </w:pPr>
    </w:p>
    <w:p>
      <w:pPr>
        <w:jc w:val="both"/>
        <w:ind w:firstLine="315"/>
        <w:spacing w:after="0" w:line="279" w:lineRule="auto"/>
        <w:rPr>
          <w:sz w:val="20"/>
          <w:szCs w:val="20"/>
          <w:color w:val="auto"/>
        </w:rPr>
      </w:pPr>
      <w:r>
        <w:rPr>
          <w:rFonts w:ascii="Times New Roman" w:cs="Times New Roman" w:eastAsia="Times New Roman" w:hAnsi="Times New Roman"/>
          <w:sz w:val="16"/>
          <w:szCs w:val="16"/>
          <w:color w:val="auto"/>
        </w:rPr>
        <w:t>Cybersecurity risk is a key factor in assessing the Company’s overall operational and regulatory risk and is a component of our overall information security protocols. The Company maintains a formal information security management program designed, in part, to identify risks to sensitive information, protect that information, detect threats and events, and maintain an appropriate response and recovery capability to help ensure resilience against information security incidents. The program includes, among other things, 24/7 monitoring of all critical infrastructure, active threat hunting, and endpoint Extended Detection and Response (“XDR”) capabilities, to assist with prevention of attacks from advanced adversaries. This monitoring and response is reinforced with regular vulnerability scanning/remediation and penetration testing and includes an annual risk assessment that looks to threats on the Company’s own information technology platforms, and also assesses potential threats, owing to our use of third-party information technology platforms and services. As part of these processes, we engage well-established and professional third-party information security consultants to aid in the assessment and development of our monitoring and threat-detection processes and work with our internal information technology and audit teams. Additionally, all employees receive security training upon hiring, annual refresher training for all employees, and phishing exercises to raise employee awareness. Our cybersecurity program is led by our Chief Information Security Officer who has served in this capacity for 8 years and brings an additional 16 years of experience in information security program management, global cybersecurity operations and incident response. This experience extends to the strategic design, implementation, and management of</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security programs tailored to mitigate risks. His expertise is underscored by a Certified Information Systems Security Professional (CISSP) and multiple technology certifications.</w:t>
      </w:r>
    </w:p>
    <w:p>
      <w:pPr>
        <w:spacing w:after="0" w:line="117"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Information security protocols are a part of the Company’s Information Security Policy that is reviewed and approved annually by the Company’s Board. The ongoing oversight of cybersecurity risk is accomplished primarily through the Information Technology Steering Committee, comprised of management, the Regulatory Risk Committee, Technology Committee and the Enterprise Risk Management Committee, each comprised of management and members of the Board. Through these committees the Company keeps abreast of significant matters of actual, threatened, or potential breaches of cybersecurity protocols, monitors the effectiveness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information security program through regular review of key metrics and assessment reports, discusses topical events requiring consideration, and if necessary, recommends changes to the Information Security Policy for approval by the Company’s Board, which retains the ultimate responsibility for overseeing our enterprise risk management, including cybersecurity. In addition to regular reports from these committees, the Board receives regular reports from management on material cybersecurity risks and the Company's efforts to combat threats to its digital infrastructure. The Company also maintains specific cyber insurance through its corporate insurance program, the adequacy of which is subject to review and oversight by the Company’s Board. However, such insurance may not be sufficient to cover all of our potential losses and may not continue to be available to us on acceptable terms, or at all. With the increase in cyber-threat vectors and enhanced focus on cybersecurity, the Company and the Bank continue to monitor legislative, regulatory, and supervisory developments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is headquartered in Alexandria, Virginia, and conducts business through its headquarters, corporate center, operational offices, full-service bank branches, and loan production offices. The Company owns its principal executive office at 100 S. Fairfax Street, Alexandria, VA, and its corporate center located at 5680 King Centre Drive in Alexandria, Virginia. We also maintain executive offices and a key operations center in Moorefield, West Virginia to support bank-wide operations across our market footprint.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December 31, 2024, the Company operated seventy-seven branches in the five states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Number of Branch Offices</w:t>
            </w:r>
          </w:p>
        </w:tc>
        <w:tc>
          <w:tcPr>
            <w:tcW w:w="1800" w:type="dxa"/>
            <w:vAlign w:val="bottom"/>
            <w:tcBorders>
              <w:bottom w:val="single" w:sz="8" w:color="auto"/>
            </w:tcBorders>
          </w:tcPr>
          <w:p>
            <w:pPr>
              <w:spacing w:after="0"/>
              <w:rPr>
                <w:sz w:val="19"/>
                <w:szCs w:val="19"/>
                <w:color w:val="auto"/>
              </w:rPr>
            </w:pPr>
          </w:p>
        </w:tc>
      </w:tr>
      <w:tr>
        <w:trPr>
          <w:trHeight w:val="21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Office Locations by State</w:t>
            </w:r>
          </w:p>
        </w:tc>
        <w:tc>
          <w:tcPr>
            <w:tcW w:w="1800" w:type="dxa"/>
            <w:vAlign w:val="bottom"/>
          </w:tcPr>
          <w:p>
            <w:pPr>
              <w:jc w:val="right"/>
              <w:ind w:right="1152"/>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 w:type="dxa"/>
            <w:vAlign w:val="bottom"/>
          </w:tcPr>
          <w:p>
            <w:pPr>
              <w:spacing w:after="0"/>
              <w:rPr>
                <w:sz w:val="18"/>
                <w:szCs w:val="18"/>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800" w:type="dxa"/>
            <w:vAlign w:val="bottom"/>
          </w:tcPr>
          <w:p>
            <w:pPr>
              <w:jc w:val="right"/>
              <w:ind w:right="1312"/>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31" w:lineRule="exact"/>
        <w:rPr>
          <w:sz w:val="20"/>
          <w:szCs w:val="20"/>
          <w:color w:val="auto"/>
        </w:rPr>
      </w:pPr>
    </w:p>
    <w:p>
      <w:pPr>
        <w:jc w:val="both"/>
        <w:ind w:firstLine="315"/>
        <w:spacing w:after="0" w:line="331" w:lineRule="auto"/>
        <w:rPr>
          <w:sz w:val="20"/>
          <w:szCs w:val="20"/>
          <w:color w:val="auto"/>
        </w:rPr>
      </w:pPr>
      <w:r>
        <w:rPr>
          <w:rFonts w:ascii="Times New Roman" w:cs="Times New Roman" w:eastAsia="Times New Roman" w:hAnsi="Times New Roman"/>
          <w:sz w:val="16"/>
          <w:szCs w:val="16"/>
          <w:color w:val="auto"/>
        </w:rPr>
        <w:t>We believe that our current facilities are adequate to meet our present and foreseeable needs, subject to possible future expansion. For each property that we lease, we believe that upon expiration of the lease we will be able to extend the lease on satisfactory terms or relocate to another acceptable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3"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In the ordinary course of our operations, and from time to time, the Company and its subsidiary are parties to various claims and lawsuits. Currently, we are not party to any material legal proceedings, and no such proceedings are, to management’s knowledge, threatened against us. Although the ultimate outcome of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163"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Common Stock of the Company is listed on the Nasdaq Capital Market under the symbol “BHRB”. As of March 10, 2025, the Company had 14,982,655 shares of Common Stock outstanding and there were 1,189 holders of record of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There are no restrictions in the Company’s corporate articles on its ability to pay dividends. The Company has historically paid quarterly cash dividends to its shareholders and expects to pay comparable dividends in the future. On January 24, 2025, the Company announced a cash dividend of $0.55 per share on the Company’s outstanding Common Stock, payable on March 3, 2025, to shareholders of record as of February 14, 2025.</w:t>
      </w:r>
    </w:p>
    <w:p>
      <w:pPr>
        <w:spacing w:after="0" w:line="128"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Holders of our Common Stock are only entitled to receive dividends when, as, and if declared by the Board out of funds legally available for dividends. As the Company is a financial holding company and does not engage directly in business activities of a material nature, its ability to pay dividends depends, in large part, upon the receipt of dividends from the Bank. Any future determination relating to our dividend policy will be made by the Board and will depend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the Company to its shareholders or by the Bank, and such other factors as the Board may deem relevant.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years ended December 31, 2024 and 2023, we had no active share repurchase programs.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return of the Company’s Common Stock assuming reinvestment of dividends, with that of the Nasdaq Composite Total Return Index and the Keefe, Bruyette &amp; Woods Regional Banking Total Return Index for the five-year period, ending December 31, 2024.</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cumulative total shareholder return assumes a $100 investment, on December 31, 2019, in the common stock of the Company, and each index and the cumulative return is measured as of each subsequent fiscal year-end. There is no assurance that the Company’s common stock performance will continue in the future with the same or similar trends as depicted in the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980440</wp:posOffset>
            </wp:positionV>
            <wp:extent cx="5110480" cy="3168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10480" cy="316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7"/>
        </w:trPr>
        <w:tc>
          <w:tcPr>
            <w:tcW w:w="34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12/31/2024</w:t>
            </w: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Burke &amp; Herbert Financial Services Corp.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Total Return Index</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223.85</w:t>
            </w:r>
          </w:p>
        </w:tc>
      </w:tr>
      <w:tr>
        <w:trPr>
          <w:trHeight w:val="171"/>
        </w:trPr>
        <w:tc>
          <w:tcPr>
            <w:tcW w:w="3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Keefe, Bruyette &amp; Woods Regional Banking</w:t>
            </w: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Return Index</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r>
    </w:tbl>
    <w:p>
      <w:pPr>
        <w:spacing w:after="0" w:line="200" w:lineRule="exact"/>
        <w:rPr>
          <w:sz w:val="20"/>
          <w:szCs w:val="20"/>
          <w:color w:val="auto"/>
        </w:rPr>
      </w:pPr>
    </w:p>
    <w:p>
      <w:pPr>
        <w:spacing w:after="0" w:line="252"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i w:val="1"/>
          <w:iCs w:val="1"/>
          <w:color w:val="auto"/>
        </w:rPr>
        <w:t>The Stock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3"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our consolidated financial statements and notes thereto presented in </w:t>
      </w:r>
      <w:r>
        <w:rPr>
          <w:rFonts w:ascii="Times New Roman" w:cs="Times New Roman" w:eastAsia="Times New Roman" w:hAnsi="Times New Roman"/>
          <w:sz w:val="18"/>
          <w:szCs w:val="18"/>
          <w:u w:val="single" w:color="auto"/>
          <w:color w:val="0000FF"/>
        </w:rPr>
        <w:t>Item 8. Financial Statements and Supplementary Data</w:t>
      </w:r>
      <w:r>
        <w:rPr>
          <w:rFonts w:ascii="Times New Roman" w:cs="Times New Roman" w:eastAsia="Times New Roman" w:hAnsi="Times New Roman"/>
          <w:sz w:val="18"/>
          <w:szCs w:val="18"/>
          <w:color w:val="auto"/>
        </w:rPr>
        <w:t>.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3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 xml:space="preserve">We have made, and will continue to make, various forward-looking statements with respect to financial and business matters. Comments regarding our business that are not historical facts are considered forward-looking statements that involve inherent risks and uncertainties, see </w:t>
      </w:r>
      <w:r>
        <w:rPr>
          <w:rFonts w:ascii="Times New Roman" w:cs="Times New Roman" w:eastAsia="Times New Roman" w:hAnsi="Times New Roman"/>
          <w:sz w:val="18"/>
          <w:szCs w:val="18"/>
          <w:u w:val="single" w:color="auto"/>
          <w:color w:val="0000FF"/>
        </w:rPr>
        <w:t>Disclosure Regarding Forward-Looking Statements</w:t>
      </w:r>
      <w:r>
        <w:rPr>
          <w:rFonts w:ascii="Times New Roman" w:cs="Times New Roman" w:eastAsia="Times New Roman" w:hAnsi="Times New Roman"/>
          <w:sz w:val="18"/>
          <w:szCs w:val="18"/>
          <w:color w:val="000000"/>
        </w:rPr>
        <w:t>. Actual results may differ materially from those contained in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3"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in 2022 to serve as the holding company for Burke &amp; Herbert Bank &amp; Trust Company. The Company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the Company. The Company has no material operations other than owning the Bank. In September 2023, the Company elected to become a financial holding company under the BHCA. As a financial holding company of a Virginia state bank, the Company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3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allowance for credit loss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As of December 31, 2024, we had total consolidated assets of $7.8 billion, gross loans of $5.7 billion, total deposits of $6.5 billion, and total shareholders’ equity of $730.2 million. As of December 31, 2024, we had 815 full-time equivalent employees. None of our employees are covered by a collective bargaining agreement.</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Effective on the Closing Date, the Company completed the Merger with Summit, pursuant to the August 24, 2023 Merger Agreement.</w:t>
      </w:r>
    </w:p>
    <w:p>
      <w:pPr>
        <w:spacing w:after="0" w:line="16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the Company, with the Company as the surviving entity and (ii) immediately following the Merger, SCB merged with and into the Bank, with the Bank as the surviving bank.</w:t>
      </w:r>
    </w:p>
    <w:p>
      <w:pPr>
        <w:spacing w:after="0" w:line="117"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the Company Common Stock for each share of Summit common stock they owned, subject to the payment of cash in lieu of fractional shares. The total aggregate consideration payable in the Merger was approximately 7,405,772 shares of the Company Common Stock. Additionally, each share of the Summit Series 2021 Preferred Stock issued and outstanding was converted into the right to receive a share of the newly created Burke &amp; Herbert Series 2021 Preferred Stock. Summit’s results of operations are included from the Closing Date forward.</w:t>
      </w:r>
    </w:p>
    <w:p>
      <w:pPr>
        <w:spacing w:after="0" w:line="134"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impact of this transaction, where material, is discussed in the applicable sections of this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color w:val="auto"/>
        </w:rPr>
        <w:t>Our accounting and reporting policies conform to accounting principles generally accepted in the United States of America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07"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 determination of the allowance for credit losses, and income taxes to be the accounting areas that require the most subjective or complex judgments, and as such, could be most subject to revision as new information becomes available.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and Goodwill</w:t>
      </w:r>
    </w:p>
    <w:p>
      <w:pPr>
        <w:spacing w:after="0" w:line="165"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purchased credit deteriorated (“PCD”) loans is recognized within acquisition accounting. The allowance for credit losses for non-PCD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spacing w:after="0" w:line="137"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spacing w:after="0" w:line="13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supportable,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93"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 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37"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weighted average remaining maturity (“WARM”) method within defined-contractual terms by federal call codes. The model forecasts net charge-off rates by call codes using ordinary least 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139"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period of two years with a subsequent straight-line loss-rate reversion for the following four quarters before then utilizing historical average loss rates in remaining periods of the modeled contractual terms. 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 (iii) underwriting and delinquency trends. The qualitative factors applied at December 31, 2024,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outcomes from its systems of record in supporting qualitative factors. However, qualitative factor evaluations are inherently imprecise and require significant management judgement.</w:t>
      </w:r>
    </w:p>
    <w:p>
      <w:pPr>
        <w:spacing w:after="0" w:line="11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 — Nature of Business Activities and Significant Accounting Policies</w:t>
      </w:r>
      <w:r>
        <w:rPr>
          <w:rFonts w:ascii="Times New Roman" w:cs="Times New Roman" w:eastAsia="Times New Roman" w:hAnsi="Times New Roman"/>
          <w:sz w:val="18"/>
          <w:szCs w:val="18"/>
          <w:color w:val="auto"/>
        </w:rPr>
        <w:t xml:space="preserve"> for more discussion of the qualitative factors along with information on the allowance for credit losses for the off-balance sheet credit exposures.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 xml:space="preserve">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w:t>
      </w:r>
      <w:r>
        <w:rPr>
          <w:rFonts w:ascii="Times New Roman" w:cs="Times New Roman" w:eastAsia="Times New Roman" w:hAnsi="Times New Roman"/>
          <w:sz w:val="18"/>
          <w:szCs w:val="18"/>
          <w:u w:val="single" w:color="auto"/>
          <w:color w:val="0000FF"/>
        </w:rPr>
        <w:t>Note 8 — Income Taxes</w:t>
      </w:r>
      <w:r>
        <w:rPr>
          <w:rFonts w:ascii="Times New Roman" w:cs="Times New Roman" w:eastAsia="Times New Roman" w:hAnsi="Times New Roman"/>
          <w:sz w:val="18"/>
          <w:szCs w:val="18"/>
          <w:color w:val="auto"/>
        </w:rPr>
        <w:t>, in Notes to the Consolidated Financial Statements of the Company for additional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Real Estate Sector Concentration</w:t>
      </w:r>
    </w:p>
    <w:p>
      <w:pPr>
        <w:spacing w:after="0" w:line="163" w:lineRule="exact"/>
        <w:rPr>
          <w:sz w:val="20"/>
          <w:szCs w:val="20"/>
          <w:color w:val="auto"/>
        </w:rPr>
      </w:pPr>
    </w:p>
    <w:p>
      <w:pPr>
        <w:jc w:val="both"/>
        <w:ind w:firstLine="315"/>
        <w:spacing w:after="0" w:line="280" w:lineRule="auto"/>
        <w:rPr>
          <w:sz w:val="20"/>
          <w:szCs w:val="20"/>
          <w:color w:val="auto"/>
        </w:rPr>
      </w:pPr>
      <w:r>
        <w:rPr>
          <w:rFonts w:ascii="Times New Roman" w:cs="Times New Roman" w:eastAsia="Times New Roman" w:hAnsi="Times New Roman"/>
          <w:sz w:val="16"/>
          <w:szCs w:val="16"/>
          <w:color w:val="auto"/>
        </w:rPr>
        <w:t>The commercial real estate (“CRE”) sector has been impacted significantly by rising interest rates and higher vacancies, increasing the prospect of default that borrowers may face due to the record amount of upcoming maturities. In addition, the office market continues to struggle with fewer employees in the office after the COVID-19 pandemic. The Bank continues to monitor its commercial real estate portfolio by reviewing various credit risk and concentration reports. However, in late 2024 interest rates began falling, and in January 2025 the U.S. president signed an executive order requiring all federal employees to return to offices on a five day a week basis. Additionally, several large private-sector employers instituted similar return to office mandates in 2024. Given our concentration in the Washington, D.C. MSA we would expect that the federal return to office mandate, combined with mandates at private sector employers and decreases interest rates could help the region’s struggling CRE market; however, we cannot be certain that this would be the case or the degree to which such mandates may improve the CRE picture in 2025, if at all. The Bank’s exposure to commercial real estate at December 31, 2024, was $2.6 billion or 46.5% of its gross loan portfolio, not including owner-occupied commercial real estate and acquisition, construction &amp; development. Commercial real estate as a percent of total assets at December 31, 2024, was 33.8%, not including owner-occupied commercial real estate and acquisition, construction &amp;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Including owner-occupied commercial real estate and acquisition, construction &amp; development, total exposure was $3.7 billion or 65.5% of our total gross loans and 47.7% of total assets at December 31, 2024.</w:t>
      </w:r>
    </w:p>
    <w:p>
      <w:pPr>
        <w:spacing w:after="0" w:line="11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December 31, 2024,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460" w:type="dxa"/>
            <w:vAlign w:val="bottom"/>
            <w:tcBorders>
              <w:bottom w:val="single" w:sz="8" w:color="auto"/>
            </w:tcBorders>
          </w:tcPr>
          <w:p>
            <w:pPr>
              <w:spacing w:after="0"/>
              <w:rPr>
                <w:sz w:val="18"/>
                <w:szCs w:val="18"/>
                <w:color w:val="auto"/>
              </w:rPr>
            </w:pPr>
          </w:p>
        </w:tc>
      </w:tr>
      <w:tr>
        <w:trPr>
          <w:trHeight w:val="205"/>
        </w:trPr>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60" w:type="dxa"/>
            <w:vAlign w:val="bottom"/>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217"/>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2,637,802</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10.8</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613,085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10.8</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1,173,749</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20.7</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167,701</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5,672,236</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10"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 The tables below present the Company’s commercial real estate, owner-occupied commercial real estate, and acquisition, construction &amp; development portfolios by collateral type and geographic location as of December 31,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14"/>
          </w:tcPr>
          <w:p>
            <w:pPr>
              <w:ind w:left="640"/>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420" w:type="dxa"/>
            <w:vAlign w:val="bottom"/>
            <w:tcBorders>
              <w:bottom w:val="single" w:sz="8" w:color="auto"/>
            </w:tcBorders>
          </w:tcPr>
          <w:p>
            <w:pPr>
              <w:spacing w:after="0"/>
              <w:rPr>
                <w:sz w:val="18"/>
                <w:szCs w:val="18"/>
                <w:color w:val="auto"/>
              </w:rPr>
            </w:pPr>
          </w:p>
        </w:tc>
      </w:tr>
      <w:tr>
        <w:trPr>
          <w:trHeight w:val="205"/>
        </w:trPr>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MD</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4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4"/>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279,620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127,684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577,747</w:t>
            </w: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r>
      <w:tr>
        <w:trPr>
          <w:trHeight w:val="20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491,924</w:t>
            </w:r>
          </w:p>
        </w:tc>
        <w:tc>
          <w:tcPr>
            <w:tcW w:w="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18.6</w:t>
            </w:r>
          </w:p>
        </w:tc>
      </w:tr>
      <w:tr>
        <w:trPr>
          <w:trHeight w:val="21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119,032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398,331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15.1</w:t>
            </w:r>
          </w:p>
        </w:tc>
      </w:tr>
      <w:tr>
        <w:trPr>
          <w:trHeight w:val="20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67,318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375,433</w:t>
            </w:r>
          </w:p>
        </w:tc>
        <w:tc>
          <w:tcPr>
            <w:tcW w:w="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14.2</w:t>
            </w:r>
          </w:p>
        </w:tc>
      </w:tr>
      <w:tr>
        <w:trPr>
          <w:trHeight w:val="21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262,632</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r>
      <w:tr>
        <w:trPr>
          <w:trHeight w:val="20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124,672</w:t>
            </w:r>
          </w:p>
        </w:tc>
        <w:tc>
          <w:tcPr>
            <w:tcW w:w="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132,846</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w:t>
            </w:r>
          </w:p>
        </w:tc>
      </w:tr>
      <w:tr>
        <w:trPr>
          <w:trHeight w:val="20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40,429</w:t>
            </w:r>
          </w:p>
        </w:tc>
        <w:tc>
          <w:tcPr>
            <w:tcW w:w="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28,354</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r>
      <w:tr>
        <w:trPr>
          <w:trHeight w:val="208"/>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130,730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13,156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205,434</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7.8</w:t>
            </w: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1,346,782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340,886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406,974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265,436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2,637,802</w:t>
            </w:r>
          </w:p>
        </w:tc>
        <w:tc>
          <w:tcPr>
            <w:tcW w:w="8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gridSpan w:val="14"/>
          </w:tcPr>
          <w:p>
            <w:pPr>
              <w:ind w:left="120"/>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0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WV</w:t>
            </w:r>
          </w:p>
        </w:tc>
        <w:tc>
          <w:tcPr>
            <w:tcW w:w="28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MD</w:t>
            </w:r>
          </w:p>
        </w:tc>
        <w:tc>
          <w:tcPr>
            <w:tcW w:w="2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4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04"/>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34,002</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130,378</w:t>
            </w: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39,084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121,622</w:t>
            </w:r>
          </w:p>
        </w:tc>
        <w:tc>
          <w:tcPr>
            <w:tcW w:w="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15,370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82,127</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69,365</w:t>
            </w:r>
          </w:p>
        </w:tc>
        <w:tc>
          <w:tcPr>
            <w:tcW w:w="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30,123</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58"/>
        </w:trPr>
        <w:tc>
          <w:tcPr>
            <w:tcW w:w="22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Churches/Religious</w:t>
            </w:r>
          </w:p>
        </w:tc>
        <w:tc>
          <w:tcPr>
            <w:tcW w:w="2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8,517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34,589</w:t>
            </w:r>
          </w:p>
        </w:tc>
        <w:tc>
          <w:tcPr>
            <w:tcW w:w="80" w:type="dxa"/>
            <w:vAlign w:val="bottom"/>
          </w:tcPr>
          <w:p>
            <w:pPr>
              <w:spacing w:after="0"/>
              <w:rPr>
                <w:sz w:val="13"/>
                <w:szCs w:val="13"/>
                <w:color w:val="auto"/>
              </w:rPr>
            </w:pPr>
          </w:p>
        </w:tc>
        <w:tc>
          <w:tcPr>
            <w:tcW w:w="14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Organizations</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Coal, oil, gas, and natural</w:t>
            </w: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10,176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10,971</w:t>
            </w:r>
          </w:p>
        </w:tc>
        <w:tc>
          <w:tcPr>
            <w:tcW w:w="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resource extraction</w:t>
            </w:r>
          </w:p>
        </w:tc>
        <w:tc>
          <w:tcPr>
            <w:tcW w:w="2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7,453</w:t>
            </w:r>
          </w:p>
        </w:tc>
        <w:tc>
          <w:tcPr>
            <w:tcW w:w="8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19,734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127,734</w:t>
            </w:r>
          </w:p>
        </w:tc>
        <w:tc>
          <w:tcPr>
            <w:tcW w:w="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276,008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145,314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89,698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102,124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614,362</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gridSpan w:val="14"/>
          </w:tcPr>
          <w:p>
            <w:pPr>
              <w:ind w:left="100"/>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c>
          <w:tcPr>
            <w:tcW w:w="1420" w:type="dxa"/>
            <w:vAlign w:val="bottom"/>
            <w:tcBorders>
              <w:bottom w:val="single" w:sz="8" w:color="auto"/>
            </w:tcBorders>
          </w:tcPr>
          <w:p>
            <w:pPr>
              <w:spacing w:after="0"/>
              <w:rPr>
                <w:sz w:val="18"/>
                <w:szCs w:val="18"/>
                <w:color w:val="auto"/>
              </w:rPr>
            </w:pPr>
          </w:p>
        </w:tc>
      </w:tr>
      <w:tr>
        <w:trPr>
          <w:trHeight w:val="205"/>
        </w:trPr>
        <w:tc>
          <w:tcPr>
            <w:tcW w:w="2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0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MD</w:t>
            </w:r>
          </w:p>
        </w:tc>
        <w:tc>
          <w:tcPr>
            <w:tcW w:w="2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4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4"/>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52,950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71,216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141,014</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30.3 %</w:t>
            </w:r>
          </w:p>
        </w:tc>
      </w:tr>
      <w:tr>
        <w:trPr>
          <w:trHeight w:val="20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104,722</w:t>
            </w:r>
          </w:p>
        </w:tc>
        <w:tc>
          <w:tcPr>
            <w:tcW w:w="10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22.5</w:t>
            </w:r>
          </w:p>
        </w:tc>
      </w:tr>
      <w:tr>
        <w:trPr>
          <w:trHeight w:val="21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17.6</w:t>
            </w:r>
          </w:p>
        </w:tc>
      </w:tr>
      <w:tr>
        <w:trPr>
          <w:trHeight w:val="20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55,101</w:t>
            </w:r>
          </w:p>
        </w:tc>
        <w:tc>
          <w:tcPr>
            <w:tcW w:w="10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11.8</w:t>
            </w:r>
          </w:p>
        </w:tc>
      </w:tr>
      <w:tr>
        <w:trPr>
          <w:trHeight w:val="21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6.5</w:t>
            </w:r>
          </w:p>
        </w:tc>
      </w:tr>
      <w:tr>
        <w:trPr>
          <w:trHeight w:val="208"/>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100" w:type="dxa"/>
            <w:vAlign w:val="bottom"/>
          </w:tcPr>
          <w:p>
            <w:pPr>
              <w:spacing w:after="0"/>
              <w:rPr>
                <w:sz w:val="18"/>
                <w:szCs w:val="18"/>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8.7</w:t>
            </w:r>
          </w:p>
        </w:tc>
      </w:tr>
      <w:tr>
        <w:trPr>
          <w:trHeight w:val="201"/>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111,036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67,707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84,558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159,721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465,537</w:t>
            </w: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254"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all acquisition, construction &amp; development loans. For each loan, management reviews the adequacy of the construction budget, adequacy of the interest reserve, pace of construction, and review of any loan covenants.</w:t>
      </w:r>
    </w:p>
    <w:p>
      <w:pPr>
        <w:spacing w:after="0" w:line="104" w:lineRule="exact"/>
        <w:rPr>
          <w:sz w:val="20"/>
          <w:szCs w:val="20"/>
          <w:color w:val="auto"/>
        </w:rPr>
      </w:pPr>
    </w:p>
    <w:p>
      <w:pPr>
        <w:jc w:val="both"/>
        <w:ind w:firstLine="315"/>
        <w:spacing w:after="0" w:line="279" w:lineRule="auto"/>
        <w:rPr>
          <w:sz w:val="20"/>
          <w:szCs w:val="20"/>
          <w:color w:val="auto"/>
        </w:rPr>
      </w:pPr>
      <w:r>
        <w:rPr>
          <w:rFonts w:ascii="Times New Roman" w:cs="Times New Roman" w:eastAsia="Times New Roman" w:hAnsi="Times New Roman"/>
          <w:sz w:val="16"/>
          <w:szCs w:val="16"/>
          <w:color w:val="auto"/>
        </w:rPr>
        <w:t>The Bank believes its underwriting and monitoring standards for commercial real estate loans are sufficient to evaluate its loan portfolio and keep it from incurring significant losses. The majority of the Company’s commercial real estate loans are in Virginia (approximately 46.7%), and it does not have significant exposure to any economic areas of the country that are underperforming the national economy. Additionally, the Bank’s overall exposure to the “Office Building/Condo” collateral type is 16.4% of total commercial real estate loans, including owner-occupied commercial real estate and acquisition, construction</w:t>
      </w:r>
    </w:p>
    <w:p>
      <w:pPr>
        <w:spacing w:after="0" w:line="3" w:lineRule="exact"/>
        <w:rPr>
          <w:sz w:val="20"/>
          <w:szCs w:val="20"/>
          <w:color w:val="auto"/>
        </w:rPr>
      </w:pPr>
    </w:p>
    <w:p>
      <w:pPr>
        <w:jc w:val="both"/>
        <w:ind w:firstLine="5"/>
        <w:spacing w:after="0" w:line="245" w:lineRule="auto"/>
        <w:tabs>
          <w:tab w:leader="none" w:pos="1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Item 1A, under the caption “Risk Factors”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17"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 and Liability Management Committee (the “ALCO”) and to the Board. From time to time, management may change the frequency of such testing or update certain inputs as a result of abnormal market conditions.</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32"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32"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32"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3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 7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Borrowed 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000000"/>
        </w:rPr>
        <w:t>, in Notes to Consolidated Financial Statements for additional information regarding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outstanding balances of sources of liquidity and contractual commitments and obligations.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8"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Applicable capital rules under the Basel III Framework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counter-cyclical capital buffer, when the latter is applied) will face constraints on dividends, equity repurchases, and compensation based on the amount of the shortfall. The Basel III Framework also provide for a “counter-cyclical capital buffer” that is applicable to only certain covered institutions and does not have any current applicability to the Company or the Bank.</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8"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and December 31, 2023,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12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the Consolidated Financial Statements contains additional discussion and analysis regarding the Company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Bank’s regulatory capital requirements.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65"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99"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61" w:lineRule="exact"/>
        <w:rPr>
          <w:sz w:val="20"/>
          <w:szCs w:val="20"/>
          <w:color w:val="auto"/>
        </w:rPr>
      </w:pPr>
    </w:p>
    <w:p>
      <w:pPr>
        <w:ind w:left="640" w:hanging="32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60" w:lineRule="exact"/>
        <w:rPr>
          <w:rFonts w:ascii="Times New Roman" w:cs="Times New Roman" w:eastAsia="Times New Roman" w:hAnsi="Times New Roman"/>
          <w:sz w:val="18"/>
          <w:szCs w:val="18"/>
          <w:color w:val="auto"/>
        </w:rPr>
      </w:pPr>
    </w:p>
    <w:p>
      <w:pPr>
        <w:ind w:left="940" w:hanging="226"/>
        <w:spacing w:after="0"/>
        <w:tabs>
          <w:tab w:leader="none" w:pos="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60" w:lineRule="exact"/>
        <w:rPr>
          <w:rFonts w:ascii="Times New Roman" w:cs="Times New Roman" w:eastAsia="Times New Roman" w:hAnsi="Times New Roman"/>
          <w:sz w:val="18"/>
          <w:szCs w:val="18"/>
          <w:color w:val="auto"/>
        </w:rPr>
      </w:pPr>
    </w:p>
    <w:p>
      <w:pPr>
        <w:ind w:left="940" w:hanging="226"/>
        <w:spacing w:after="0"/>
        <w:tabs>
          <w:tab w:leader="none" w:pos="9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40" w:hanging="226"/>
        <w:spacing w:after="0"/>
        <w:tabs>
          <w:tab w:leader="none" w:pos="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60"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1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60"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 and</w:t>
      </w:r>
    </w:p>
    <w:p>
      <w:pPr>
        <w:spacing w:after="0" w:line="117"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61" w:lineRule="exact"/>
        <w:rPr>
          <w:sz w:val="20"/>
          <w:szCs w:val="20"/>
          <w:color w:val="auto"/>
        </w:rPr>
      </w:pPr>
    </w:p>
    <w:p>
      <w:pPr>
        <w:ind w:left="640" w:hanging="320"/>
        <w:spacing w:after="0" w:line="26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pandemics and political conflicts, the availability of labor, supply chain volatility, and any actions taken to mitigate and manage such impacts,</w:t>
      </w:r>
    </w:p>
    <w:p>
      <w:pPr>
        <w:spacing w:after="0" w:line="11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60"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the Federal Reserve, U.S. Treasury, and other government agencies, including those that impact money supply and market interest rates and inflation,</w:t>
      </w:r>
    </w:p>
    <w:p>
      <w:pPr>
        <w:spacing w:after="0" w:line="11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other trade policies of the U.S. and its global trading partners,</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60"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taxes, infrastructure spending, and social programs,</w:t>
      </w:r>
    </w:p>
    <w:p>
      <w:pPr>
        <w:spacing w:after="0" w:line="11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 and</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customers and changes in customer behavior due to changing business and economic conditions or regulatory or legislative initiatives.</w:t>
      </w:r>
    </w:p>
    <w:p>
      <w:pPr>
        <w:spacing w:after="0" w:line="184"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 xml:space="preserve">The impact of these items, where material, is discussed in the applicable sections of this Management’s Discussion and Analysis of Financial Condition and Results of Operations. For additional information on the risks we face, see Item </w:t>
      </w:r>
      <w:r>
        <w:rPr>
          <w:rFonts w:ascii="Times New Roman" w:cs="Times New Roman" w:eastAsia="Times New Roman" w:hAnsi="Times New Roman"/>
          <w:sz w:val="18"/>
          <w:szCs w:val="18"/>
          <w:color w:val="0000FF"/>
        </w:rPr>
        <w:t>1A. — Risk Factors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-38100</wp:posOffset>
            </wp:positionV>
            <wp:extent cx="9169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63"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 xml:space="preserve">The following table sets forth selected historical consolidated financial information for each of the periods indicated. This information should be read together with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below, and with the accompanying consolidated financial statements included in this Form 10-K. The historical information indicated as of and for the years ended December 31, 2024, December 31, 2023, and December 31, 2022, has been derived from the Company’s audited consolidated financial statements for the years ended December 31, 2024, December 31, 2023, and December 31, 2022. Historical results set forth below and elsewhere in this Form 10-K are not necessarily indicative of future performance.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380" w:type="dxa"/>
            <w:vAlign w:val="bottom"/>
          </w:tcPr>
          <w:p>
            <w:pPr>
              <w:spacing w:after="0"/>
              <w:rPr>
                <w:sz w:val="17"/>
                <w:szCs w:val="17"/>
                <w:color w:val="auto"/>
              </w:rPr>
            </w:pPr>
          </w:p>
        </w:tc>
        <w:tc>
          <w:tcPr>
            <w:tcW w:w="1280" w:type="dxa"/>
            <w:vAlign w:val="bottom"/>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7,812,185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3,617,579</w:t>
            </w:r>
          </w:p>
        </w:tc>
        <w:tc>
          <w:tcPr>
            <w:tcW w:w="8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3,562,898</w:t>
            </w: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135,314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44,498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50,295</w:t>
            </w:r>
          </w:p>
        </w:tc>
      </w:tr>
      <w:tr>
        <w:trPr>
          <w:trHeight w:val="20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1,432,371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1,248,439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1,371,757</w:t>
            </w: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5,604,196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2,062,455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1,866,182</w:t>
            </w:r>
          </w:p>
        </w:tc>
      </w:tr>
      <w:tr>
        <w:trPr>
          <w:trHeight w:val="20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182,834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94,159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92,487</w:t>
            </w: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132,270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61,128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53,170</w:t>
            </w:r>
          </w:p>
        </w:tc>
      </w:tr>
      <w:tr>
        <w:trPr>
          <w:trHeight w:val="20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6,515,239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3,001,881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2,920,400</w:t>
            </w: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Borrowed funds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365,000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272,000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343,100</w:t>
            </w:r>
          </w:p>
        </w:tc>
      </w:tr>
      <w:tr>
        <w:trPr>
          <w:trHeight w:val="20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730,157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314,750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273,453</w:t>
            </w:r>
          </w:p>
        </w:tc>
      </w:tr>
      <w:tr>
        <w:trPr>
          <w:trHeight w:val="212"/>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719,744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314,750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273,453</w:t>
            </w: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700" w:type="dxa"/>
            <w:vAlign w:val="bottom"/>
            <w:tcBorders>
              <w:bottom w:val="single" w:sz="8" w:color="auto"/>
            </w:tcBorders>
            <w:gridSpan w:val="6"/>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As of or for the Year Ended December 31,</w:t>
            </w:r>
          </w:p>
        </w:tc>
        <w:tc>
          <w:tcPr>
            <w:tcW w:w="1060" w:type="dxa"/>
            <w:vAlign w:val="bottom"/>
            <w:tcBorders>
              <w:bottom w:val="single" w:sz="8" w:color="auto"/>
            </w:tcBorders>
            <w:shd w:val="clear" w:color="auto" w:fill="CCEEFF"/>
          </w:tcPr>
          <w:p>
            <w:pPr>
              <w:spacing w:after="0"/>
              <w:rPr>
                <w:sz w:val="18"/>
                <w:szCs w:val="18"/>
                <w:color w:val="auto"/>
              </w:rPr>
            </w:pPr>
          </w:p>
        </w:tc>
      </w:tr>
      <w:tr>
        <w:trPr>
          <w:trHeight w:val="18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366,161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146,896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112,633</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140,376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53,137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8,941</w:t>
            </w: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225,785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93,759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103,692</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38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24,220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(7,466)</w:t>
            </w: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36,166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17,952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17,087</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8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197,833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86,436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75,946</w:t>
            </w: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39,898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25,061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52,299</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4,190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2,369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8,286</w:t>
            </w: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applicable to common shares</w:t>
            </w:r>
          </w:p>
        </w:tc>
        <w:tc>
          <w:tcPr>
            <w:tcW w:w="38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35,033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22,692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44,013</w:t>
            </w:r>
          </w:p>
        </w:tc>
      </w:tr>
      <w:tr>
        <w:trPr>
          <w:trHeight w:val="264"/>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09"/>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12,393,677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7,428,042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7,425,088</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38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12,441,831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7,506,855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7,467,717</w:t>
            </w: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14,969,104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7,428,710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7,425,760</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5.93</w:t>
            </w:r>
          </w:p>
        </w:tc>
      </w:tr>
      <w:tr>
        <w:trPr>
          <w:trHeight w:val="21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5.89</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380" w:type="dxa"/>
            <w:vAlign w:val="bottom"/>
          </w:tcPr>
          <w:p>
            <w:pPr>
              <w:spacing w:after="0"/>
              <w:rPr>
                <w:sz w:val="18"/>
                <w:szCs w:val="18"/>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2.12</w:t>
            </w:r>
          </w:p>
        </w:tc>
      </w:tr>
      <w:tr>
        <w:trPr>
          <w:trHeight w:val="212"/>
        </w:trPr>
        <w:tc>
          <w:tcPr>
            <w:tcW w:w="61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Dividend payout ratio </w:t>
            </w:r>
            <w:r>
              <w:rPr>
                <w:rFonts w:ascii="Times New Roman" w:cs="Times New Roman" w:eastAsia="Times New Roman" w:hAnsi="Times New Roman"/>
                <w:sz w:val="20"/>
                <w:szCs w:val="20"/>
                <w:color w:val="auto"/>
                <w:vertAlign w:val="superscript"/>
              </w:rPr>
              <w:t>(1)</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70.20 %</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35.99 %</w:t>
            </w:r>
          </w:p>
        </w:tc>
      </w:tr>
      <w:tr>
        <w:trPr>
          <w:trHeight w:val="20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Book value per common share (at period end)</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48.08</w:t>
            </w:r>
          </w:p>
        </w:tc>
        <w:tc>
          <w:tcPr>
            <w:tcW w:w="8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42.37</w:t>
            </w:r>
          </w:p>
        </w:tc>
        <w:tc>
          <w:tcPr>
            <w:tcW w:w="80" w:type="dxa"/>
            <w:vAlign w:val="bottom"/>
          </w:tcPr>
          <w:p>
            <w:pPr>
              <w:spacing w:after="0"/>
              <w:rPr>
                <w:sz w:val="17"/>
                <w:szCs w:val="17"/>
                <w:color w:val="auto"/>
              </w:rPr>
            </w:pP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As of or for the 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0"/>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10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20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0.45 %</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0.63 %</w:t>
            </w: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212"/>
        </w:trPr>
        <w:tc>
          <w:tcPr>
            <w:tcW w:w="710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Return on average equity </w:t>
            </w:r>
            <w:r>
              <w:rPr>
                <w:rFonts w:ascii="Times New Roman" w:cs="Times New Roman" w:eastAsia="Times New Roman" w:hAnsi="Times New Roman"/>
                <w:sz w:val="20"/>
                <w:szCs w:val="20"/>
                <w:color w:val="auto"/>
                <w:vertAlign w:val="superscript"/>
              </w:rPr>
              <w:t>(2)</w:t>
            </w: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14.28</w:t>
            </w:r>
          </w:p>
        </w:tc>
      </w:tr>
      <w:tr>
        <w:trPr>
          <w:trHeight w:val="210"/>
        </w:trPr>
        <w:tc>
          <w:tcPr>
            <w:tcW w:w="710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0"/>
                <w:szCs w:val="20"/>
                <w:color w:val="auto"/>
                <w:vertAlign w:val="superscript"/>
              </w:rPr>
              <w:t>(3)</w:t>
            </w: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3.06</w:t>
            </w:r>
          </w:p>
        </w:tc>
      </w:tr>
      <w:tr>
        <w:trPr>
          <w:trHeight w:val="210"/>
        </w:trPr>
        <w:tc>
          <w:tcPr>
            <w:tcW w:w="710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0"/>
                <w:szCs w:val="20"/>
                <w:color w:val="auto"/>
                <w:vertAlign w:val="superscript"/>
              </w:rPr>
              <w:t>(4)</w:t>
            </w: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3.19</w:t>
            </w:r>
          </w:p>
        </w:tc>
      </w:tr>
      <w:tr>
        <w:trPr>
          <w:trHeight w:val="210"/>
        </w:trPr>
        <w:tc>
          <w:tcPr>
            <w:tcW w:w="710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0"/>
                <w:szCs w:val="20"/>
                <w:color w:val="auto"/>
                <w:vertAlign w:val="superscript"/>
              </w:rPr>
              <w:t>(5)</w:t>
            </w: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75.52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77.37</w:t>
            </w:r>
          </w:p>
        </w:tc>
        <w:tc>
          <w:tcPr>
            <w:tcW w:w="8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62.88</w:t>
            </w:r>
          </w:p>
        </w:tc>
      </w:tr>
      <w:tr>
        <w:trPr>
          <w:trHeight w:val="263"/>
        </w:trPr>
        <w:tc>
          <w:tcPr>
            <w:tcW w:w="6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0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1"/>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16.85 %</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17.97 %</w:t>
            </w:r>
          </w:p>
        </w:tc>
      </w:tr>
      <w:tr>
        <w:trPr>
          <w:trHeight w:val="20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14.57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17.88</w:t>
            </w:r>
          </w:p>
        </w:tc>
        <w:tc>
          <w:tcPr>
            <w:tcW w:w="8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18.88</w:t>
            </w:r>
          </w:p>
        </w:tc>
      </w:tr>
      <w:tr>
        <w:trPr>
          <w:trHeight w:val="212"/>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11.96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16.85</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17.97</w:t>
            </w:r>
          </w:p>
        </w:tc>
      </w:tr>
      <w:tr>
        <w:trPr>
          <w:trHeight w:val="20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 (leverage ratio)</w:t>
            </w: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11.34</w:t>
            </w:r>
          </w:p>
        </w:tc>
      </w:tr>
      <w:tr>
        <w:trPr>
          <w:trHeight w:val="264"/>
        </w:trPr>
        <w:tc>
          <w:tcPr>
            <w:tcW w:w="6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09"/>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1"/>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0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177.34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675.77</w:t>
            </w:r>
          </w:p>
        </w:tc>
        <w:tc>
          <w:tcPr>
            <w:tcW w:w="8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382.74</w:t>
            </w:r>
          </w:p>
        </w:tc>
      </w:tr>
      <w:tr>
        <w:trPr>
          <w:trHeight w:val="212"/>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0.18</w:t>
            </w:r>
          </w:p>
        </w:tc>
      </w:tr>
      <w:tr>
        <w:trPr>
          <w:trHeight w:val="20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0.68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0.29</w:t>
            </w:r>
          </w:p>
        </w:tc>
      </w:tr>
      <w:tr>
        <w:trPr>
          <w:trHeight w:val="212"/>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0.53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0.15</w:t>
            </w:r>
          </w:p>
        </w:tc>
      </w:tr>
      <w:tr>
        <w:trPr>
          <w:trHeight w:val="263"/>
        </w:trPr>
        <w:tc>
          <w:tcPr>
            <w:tcW w:w="6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1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payout ratio represents dividends declared per common share divided by diluted earnings per common share.</w:t>
      </w:r>
    </w:p>
    <w:p>
      <w:pPr>
        <w:spacing w:after="0" w:line="8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equity computed using total average equity at period-end.</w:t>
      </w:r>
    </w:p>
    <w:p>
      <w:pPr>
        <w:spacing w:after="0" w:line="88" w:lineRule="exact"/>
        <w:rPr>
          <w:rFonts w:ascii="Times New Roman" w:cs="Times New Roman" w:eastAsia="Times New Roman" w:hAnsi="Times New Roman"/>
          <w:sz w:val="14"/>
          <w:szCs w:val="14"/>
          <w:color w:val="auto"/>
        </w:rPr>
      </w:pPr>
    </w:p>
    <w:p>
      <w:pPr>
        <w:ind w:left="320" w:hanging="315"/>
        <w:spacing w:after="0" w:line="286" w:lineRule="auto"/>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49"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88"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December 31, 2023</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Consolidated net income applicable to common shares for the year ended December 31, 2024, was $35.0 million compared to $22.7 million earned during the year ended December 31, 2023. The $12.3 million or 54.4% increase in net income applicable to common shares in 2024 compared to 2023 was primarily due to the effect of the Merger which resulted in increases in all categories of interest income exceeding increases in interest expense compared to the prior year ended December 31, 2023.</w:t>
      </w:r>
    </w:p>
    <w:p>
      <w:pPr>
        <w:spacing w:after="0" w:line="132"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Net interest income totaled $225.8 million for the year ended December 31, 2024, compared to $93.8 million for the year ended December 31, 2023. The $132.0 million increase in net interest income was primarily driven by the Merger which resulted in higher loan interest income partially offset by higher deposit interest expense. Interest-bearing demand deposits and time deposits were the primary driver of increased net interest expense due mostly to an increase in volume and partly to an increase in rate.</w:t>
      </w:r>
    </w:p>
    <w:p>
      <w:pPr>
        <w:spacing w:after="0" w:line="13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the Company recorded credit provision expense of $24.2 million compared to $0.2 million for the year ended December 31, 2023. For the year ended December 31, 2024, the Company recognized a one-time CECL Day 2 provision for non-PCD assets acquired in the Merger, which resulted in a higher credit provision expense compared to the year ended December 31, 2023.</w:t>
      </w:r>
    </w:p>
    <w:p>
      <w:pPr>
        <w:spacing w:after="0" w:line="128"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Non-interest income increased by $18.2 million, or 101.5%, to $36.2 million for the year ended December 31, 2024, compared to $18.0 million for the year ended December 31, 2023. The increase in non-interest income was mostly due to the Merger, and included increases in all categories of non-interest income. The largest increase was in service charges and fees of $8.9 million followed by an increase in fiduciary and wealth management of $3.1 million and and increase in other non-interest income of $2.9 million. The Company also realized gains on the sale of securities resulting in an increase of $1.5 million in net gains/(losses) from securities compared to the year ended December 31, 2023.</w:t>
      </w:r>
    </w:p>
    <w:p>
      <w:pPr>
        <w:spacing w:after="0" w:line="13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Non-interest expense increased by $111.4 million, or 128.9%, to $197.8 million for the year ended December 31, 2024, compared to $86.4 million for the year ended December 31, 2023. The increase was mostly due to the Merger, and included increases in all categories of non-interest expense. The largest increase was in other operating expenses which included $36.5 million of legal, consulting, and audit fees related to the Merger with Summit Financial Group, Inc. Other large increases included salaries and wages which increased by $37.8 million and equipment rentals, depreciation and maintenance which increased $17.4 million compared to the year ended December 31, 2023.</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 and Net Interest Margin</w:t>
      </w:r>
    </w:p>
    <w:p>
      <w:pPr>
        <w:spacing w:after="0" w:line="165"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9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3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Net interest income totaled $225.8 million for the year ended December 31, 2024, compared to $93.8 million for the year ended December 31, 2023. The $132.0 million increase in net interest income was primarily driven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Merger which resulted in higher loan interest income driven by higher accretion income, partially offset by higher deposit interest expense. Interest income on loans increased by $209.6 million while interest income on securities increased $7.3 million for the year ended December 31, 2024 compared to the year ended December 31, 2023. Accretion income associated with acquired loans and borrowings totaled $40.9 million for the year ended, December 31, 2024. Deposit interest expense increased by $79.5 million, while interest expense on subordinated debt assumed in the Merger led to an increase in interest expense of $7.4 million for the year ended December 31, 2024 compared to the year ended December 31, 2023.</w:t>
      </w:r>
    </w:p>
    <w:p>
      <w:pPr>
        <w:spacing w:after="0" w:line="13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tax adjusted net interest margin was 3.08% for the year ended December 31, 2024, compared to 2.85% for the year ended December 31, 2023. The increase in tax-adjusted net interest margin was primarily driven by the the effect of the Merger and the acquisition of additional, higher-yielding interest-earning assets.</w:t>
      </w:r>
    </w:p>
    <w:p>
      <w:pPr>
        <w:spacing w:after="0" w:line="12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yield for the year ended December 31, 2024, for the loan portfolio was 5.48% compared to 5.07% for the year ended December 31, 2023. The increase was primarily the result of the Merger which resulted in higher accretion income and the acquisition of additional, higher-yielding loans.</w:t>
      </w:r>
    </w:p>
    <w:p>
      <w:pPr>
        <w:spacing w:after="0" w:line="117" w:lineRule="exact"/>
        <w:rPr>
          <w:sz w:val="20"/>
          <w:szCs w:val="20"/>
          <w:color w:val="auto"/>
        </w:rPr>
      </w:pPr>
    </w:p>
    <w:p>
      <w:pPr>
        <w:jc w:val="both"/>
        <w:ind w:firstLine="315"/>
        <w:spacing w:after="0" w:line="331" w:lineRule="auto"/>
        <w:rPr>
          <w:sz w:val="20"/>
          <w:szCs w:val="20"/>
          <w:color w:val="auto"/>
        </w:rPr>
      </w:pPr>
      <w:r>
        <w:rPr>
          <w:rFonts w:ascii="Times New Roman" w:cs="Times New Roman" w:eastAsia="Times New Roman" w:hAnsi="Times New Roman"/>
          <w:sz w:val="16"/>
          <w:szCs w:val="16"/>
          <w:color w:val="auto"/>
        </w:rPr>
        <w:t>For the year ended December 31, 2024, the tax-adjusted yield on the total investment securities portfolio was 3.30% compared to 3.44% for the year ended December 31, 2023. The decrease was primarily due to the recovery on unrealized losses that decreased the effective rate earned on investment securities.</w:t>
      </w:r>
    </w:p>
    <w:p>
      <w:pPr>
        <w:spacing w:after="0" w:line="70"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rate paid on interest-bearing deposits increased to 2.27% during the year ended December 31, 2024, from 1.86% during the year ended December 31, 2023. The increase was a result of the Merger which resulted in the assumption of additional interest-bearing deposits with higher interest rates and to a lesser extent by higher market interest rates.</w:t>
      </w:r>
    </w:p>
    <w:p>
      <w:pPr>
        <w:spacing w:after="0" w:line="12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rate paid on our borrowings for the year ended December 31, 2024, was 3.35% compared to 4.69% for the year ended December 31, 2023. The decrease was due to the decrease in short-term borrowing costs, driven by decreases in the Federal Funds Rate during 2024.</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rate paid on subordinated debt and trust preferred securities acquired in the merger was 10.08%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years ended December 31, 2024, and December 31, 2023, for comparison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560" w:type="dxa"/>
            <w:vAlign w:val="bottom"/>
            <w:tcBorders>
              <w:top w:val="single" w:sz="8" w:color="auto"/>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0"/>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7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1280" w:type="dxa"/>
            <w:vAlign w:val="bottom"/>
          </w:tcPr>
          <w:p>
            <w:pPr>
              <w:ind w:left="480"/>
              <w:spacing w:after="0" w:line="133"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Rate Earned/Paid</w:t>
            </w:r>
          </w:p>
        </w:tc>
        <w:tc>
          <w:tcPr>
            <w:tcW w:w="102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ind w:left="400"/>
              <w:spacing w:after="0" w:line="143"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7"/>
              </w:rPr>
              <w:t>Income/Expense</w:t>
            </w:r>
          </w:p>
        </w:tc>
        <w:tc>
          <w:tcPr>
            <w:tcW w:w="10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9"/>
              </w:rPr>
              <w:t>Income/Expense</w:t>
            </w:r>
          </w:p>
        </w:tc>
        <w:tc>
          <w:tcPr>
            <w:tcW w:w="100" w:type="dxa"/>
            <w:vAlign w:val="bottom"/>
          </w:tcPr>
          <w:p>
            <w:pPr>
              <w:spacing w:after="0"/>
              <w:rPr>
                <w:sz w:val="16"/>
                <w:szCs w:val="16"/>
                <w:color w:val="auto"/>
              </w:rPr>
            </w:pPr>
          </w:p>
        </w:tc>
        <w:tc>
          <w:tcPr>
            <w:tcW w:w="12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182"/>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20"/>
              <w:spacing w:after="0" w:line="197" w:lineRule="exact"/>
              <w:rPr>
                <w:sz w:val="20"/>
                <w:szCs w:val="20"/>
                <w:color w:val="auto"/>
              </w:rPr>
            </w:pPr>
            <w:r>
              <w:rPr>
                <w:rFonts w:ascii="Times New Roman" w:cs="Times New Roman" w:eastAsia="Times New Roman" w:hAnsi="Times New Roman"/>
                <w:sz w:val="14"/>
                <w:szCs w:val="14"/>
                <w:color w:val="auto"/>
              </w:rPr>
              <w:t>Loans, gross</w:t>
            </w:r>
            <w:r>
              <w:rPr>
                <w:rFonts w:ascii="Times New Roman" w:cs="Times New Roman" w:eastAsia="Times New Roman" w:hAnsi="Times New Roman"/>
                <w:sz w:val="18"/>
                <w:szCs w:val="18"/>
                <w:color w:val="auto"/>
                <w:vertAlign w:val="superscript"/>
              </w:rPr>
              <w:t>(1)(2)</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5,684,348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311,304</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5.48 %  $</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2,007,030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101,800</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5.07 %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Tax-exempt loans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3"/>
        </w:trPr>
        <w:tc>
          <w:tcPr>
            <w:tcW w:w="34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loans</w:t>
            </w: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5,688,445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311,453</w:t>
            </w:r>
          </w:p>
        </w:tc>
        <w:tc>
          <w:tcPr>
            <w:tcW w:w="100" w:type="dxa"/>
            <w:vAlign w:val="bottom"/>
          </w:tcPr>
          <w:p>
            <w:pPr>
              <w:spacing w:after="0"/>
              <w:rPr>
                <w:sz w:val="15"/>
                <w:szCs w:val="15"/>
                <w:color w:val="auto"/>
              </w:rPr>
            </w:pPr>
          </w:p>
        </w:tc>
        <w:tc>
          <w:tcPr>
            <w:tcW w:w="1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2,007,030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101,800</w:t>
            </w:r>
          </w:p>
        </w:tc>
        <w:tc>
          <w:tcPr>
            <w:tcW w:w="100" w:type="dxa"/>
            <w:vAlign w:val="bottom"/>
          </w:tcPr>
          <w:p>
            <w:pPr>
              <w:spacing w:after="0"/>
              <w:rPr>
                <w:sz w:val="15"/>
                <w:szCs w:val="15"/>
                <w:color w:val="auto"/>
              </w:rPr>
            </w:pPr>
          </w:p>
        </w:tc>
        <w:tc>
          <w:tcPr>
            <w:tcW w:w="12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deposits and fed funds sold</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9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 securities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1,156,456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40,039</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1,020,707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37,179</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4"/>
                <w:szCs w:val="14"/>
                <w:color w:val="auto"/>
              </w:rPr>
              <w:t>Tax-exempt securities</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12,966</w:t>
            </w: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7,108</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securities</w:t>
            </w: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1,606,436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53,005</w:t>
            </w:r>
          </w:p>
        </w:tc>
        <w:tc>
          <w:tcPr>
            <w:tcW w:w="10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1,286,315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44,287</w:t>
            </w:r>
          </w:p>
        </w:tc>
        <w:tc>
          <w:tcPr>
            <w:tcW w:w="10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7,412,948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368,915</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3,345,347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148,389</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329,082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249,008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7,742,030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3,594,355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1,417,846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878,740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Interest-bearing demand</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0.42 %</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Savings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1,404,870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21,836</w:t>
            </w: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967,306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15,819</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0"/>
        </w:trPr>
        <w:tc>
          <w:tcPr>
            <w:tcW w:w="3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Time</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1,295,270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50,902</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597,796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21,064</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97"/>
        </w:trPr>
        <w:tc>
          <w:tcPr>
            <w:tcW w:w="34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5,220,413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118,664</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2,109,753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39,195</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deposits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6,638,259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118,664</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2,988,493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39,195</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240"/>
              <w:spacing w:after="0" w:line="197" w:lineRule="exact"/>
              <w:rPr>
                <w:sz w:val="20"/>
                <w:szCs w:val="20"/>
                <w:color w:val="auto"/>
              </w:rPr>
            </w:pPr>
            <w:r>
              <w:rPr>
                <w:rFonts w:ascii="Times New Roman" w:cs="Times New Roman" w:eastAsia="Times New Roman" w:hAnsi="Times New Roman"/>
                <w:sz w:val="14"/>
                <w:szCs w:val="14"/>
                <w:color w:val="auto"/>
              </w:rPr>
              <w:t>FHLB advances and other</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14,300</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13,942</w:t>
            </w: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debt and other</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7,412</w:t>
            </w: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5,720,198</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140,376</w:t>
            </w:r>
          </w:p>
        </w:tc>
        <w:tc>
          <w:tcPr>
            <w:tcW w:w="10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2,406,864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53,137</w:t>
            </w:r>
          </w:p>
        </w:tc>
        <w:tc>
          <w:tcPr>
            <w:tcW w:w="10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587,185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283,802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7,742,030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3,594,355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w w:val="98"/>
              </w:rPr>
              <w:t>Taxable-equivalent net interest income /net interest spread</w:t>
            </w:r>
            <w:r>
              <w:rPr>
                <w:rFonts w:ascii="Times New Roman" w:cs="Times New Roman" w:eastAsia="Times New Roman" w:hAnsi="Times New Roman"/>
                <w:sz w:val="18"/>
                <w:szCs w:val="18"/>
                <w:color w:val="auto"/>
                <w:w w:val="98"/>
                <w:vertAlign w:val="superscript"/>
              </w:rPr>
              <w:t>(5)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228,539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95,252</w:t>
            </w:r>
          </w:p>
        </w:tc>
        <w:tc>
          <w:tcPr>
            <w:tcW w:w="13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2.23 %</w:t>
            </w:r>
          </w:p>
        </w:tc>
        <w:tc>
          <w:tcPr>
            <w:tcW w:w="0" w:type="dxa"/>
            <w:vAlign w:val="bottom"/>
          </w:tcPr>
          <w:p>
            <w:pPr>
              <w:spacing w:after="0"/>
              <w:rPr>
                <w:sz w:val="1"/>
                <w:szCs w:val="1"/>
                <w:color w:val="auto"/>
              </w:rPr>
            </w:pPr>
          </w:p>
        </w:tc>
      </w:tr>
      <w:tr>
        <w:trPr>
          <w:trHeight w:val="177"/>
        </w:trPr>
        <w:tc>
          <w:tcPr>
            <w:tcW w:w="3420" w:type="dxa"/>
            <w:vAlign w:val="bottom"/>
          </w:tcPr>
          <w:p>
            <w:pPr>
              <w:ind w:left="20"/>
              <w:spacing w:after="0" w:line="177" w:lineRule="exact"/>
              <w:rPr>
                <w:sz w:val="20"/>
                <w:szCs w:val="20"/>
                <w:color w:val="auto"/>
              </w:rPr>
            </w:pPr>
            <w:r>
              <w:rPr>
                <w:rFonts w:ascii="Times New Roman" w:cs="Times New Roman" w:eastAsia="Times New Roman" w:hAnsi="Times New Roman"/>
                <w:sz w:val="14"/>
                <w:szCs w:val="14"/>
                <w:color w:val="auto"/>
              </w:rPr>
              <w:t>Taxable-equivalent net interest margin</w:t>
            </w:r>
            <w:r>
              <w:rPr>
                <w:rFonts w:ascii="Times New Roman" w:cs="Times New Roman" w:eastAsia="Times New Roman" w:hAnsi="Times New Roman"/>
                <w:sz w:val="18"/>
                <w:szCs w:val="18"/>
                <w:color w:val="auto"/>
                <w:vertAlign w:val="superscript"/>
              </w:rPr>
              <w:t>(6)</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2.85 %</w:t>
            </w:r>
          </w:p>
        </w:tc>
        <w:tc>
          <w:tcPr>
            <w:tcW w:w="0" w:type="dxa"/>
            <w:vAlign w:val="bottom"/>
          </w:tcPr>
          <w:p>
            <w:pPr>
              <w:spacing w:after="0"/>
              <w:rPr>
                <w:sz w:val="1"/>
                <w:szCs w:val="1"/>
                <w:color w:val="auto"/>
              </w:rPr>
            </w:pPr>
          </w:p>
        </w:tc>
      </w:tr>
      <w:tr>
        <w:trPr>
          <w:trHeight w:val="177"/>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Taxable-equivalent net adjustment</w:t>
            </w: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225,785</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93,759</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interest-earning assets</w:t>
            </w: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1,692,750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20" w:hanging="315"/>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9"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FHLB Advances and other includes finance lease liabilities.</w:t>
      </w:r>
    </w:p>
    <w:p>
      <w:pPr>
        <w:spacing w:after="0" w:line="9" w:lineRule="exact"/>
        <w:rPr>
          <w:rFonts w:ascii="Times New Roman" w:cs="Times New Roman" w:eastAsia="Times New Roman" w:hAnsi="Times New Roman"/>
          <w:sz w:val="14"/>
          <w:szCs w:val="14"/>
          <w:color w:val="auto"/>
        </w:rPr>
      </w:pPr>
    </w:p>
    <w:p>
      <w:pPr>
        <w:ind w:left="320" w:hanging="315"/>
        <w:spacing w:after="0" w:line="247" w:lineRule="auto"/>
        <w:tabs>
          <w:tab w:leader="none" w:pos="3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 equivalent weighted-average yield on interest-earning assets and the weighted-average cost of interest-bearing liabilities for the period.</w:t>
      </w:r>
    </w:p>
    <w:p>
      <w:pPr>
        <w:ind w:left="320" w:hanging="315"/>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 equivalent net interest income as a percent of average interest-earning assets for the period.</w:t>
      </w:r>
    </w:p>
    <w:p>
      <w:pPr>
        <w:spacing w:after="0" w:line="15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fully tax-equivalent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calculated by adding the tax benefit on certain financial interest earning assets, whose interest is tax-exempt, to total interest income and then subtracting total interest expense. As a non-GAAP measure, FTE net interest income should not be considered as a substitute for the nearest comparable GAAP measure, net interest income. Net interest income shown elsewhere in this Form 10-K is GAAP net interest income. The following table reconciles GAAP net interest income to FTE net interest income (in thousands).</w:t>
      </w:r>
    </w:p>
    <w:p>
      <w:pPr>
        <w:spacing w:after="0" w:line="17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5"/>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2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r>
      <w:tr>
        <w:trPr>
          <w:trHeight w:val="208"/>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311,303</w:t>
            </w:r>
          </w:p>
        </w:tc>
        <w:tc>
          <w:tcPr>
            <w:tcW w:w="24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101,800</w:t>
            </w:r>
          </w:p>
        </w:tc>
      </w:tr>
      <w:tr>
        <w:trPr>
          <w:trHeight w:val="212"/>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taxable</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37,179</w:t>
            </w:r>
          </w:p>
        </w:tc>
      </w:tr>
      <w:tr>
        <w:trPr>
          <w:trHeight w:val="212"/>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tax-exempt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r>
      <w:tr>
        <w:trPr>
          <w:trHeight w:val="208"/>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r>
      <w:tr>
        <w:trPr>
          <w:trHeight w:val="205"/>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Interest Income</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366,161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146,896</w:t>
            </w:r>
          </w:p>
        </w:tc>
      </w:tr>
      <w:tr>
        <w:trPr>
          <w:trHeight w:val="210"/>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39,195</w:t>
            </w:r>
          </w:p>
        </w:tc>
      </w:tr>
      <w:tr>
        <w:trPr>
          <w:trHeight w:val="208"/>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13,856</w:t>
            </w:r>
          </w:p>
        </w:tc>
      </w:tr>
      <w:tr>
        <w:trPr>
          <w:trHeight w:val="212"/>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140,376</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53,137</w:t>
            </w:r>
          </w:p>
        </w:tc>
      </w:tr>
      <w:tr>
        <w:trPr>
          <w:trHeight w:val="192"/>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225,785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93,759</w:t>
            </w:r>
          </w:p>
        </w:tc>
      </w:tr>
      <w:tr>
        <w:trPr>
          <w:trHeight w:val="244"/>
        </w:trPr>
        <w:tc>
          <w:tcPr>
            <w:tcW w:w="7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08"/>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 - Securities</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05"/>
        </w:trPr>
        <w:tc>
          <w:tcPr>
            <w:tcW w:w="73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0"/>
                <w:szCs w:val="20"/>
                <w:color w:val="auto"/>
                <w:vertAlign w:val="superscript"/>
              </w:rPr>
              <w:t>(1)</w:t>
            </w:r>
          </w:p>
        </w:tc>
        <w:tc>
          <w:tcPr>
            <w:tcW w:w="2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01"/>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228,539</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95,252</w:t>
            </w:r>
          </w:p>
        </w:tc>
      </w:tr>
    </w:tbl>
    <w:p>
      <w:pPr>
        <w:spacing w:after="0" w:line="69" w:lineRule="exact"/>
        <w:rPr>
          <w:sz w:val="20"/>
          <w:szCs w:val="20"/>
          <w:color w:val="auto"/>
        </w:rPr>
      </w:pPr>
    </w:p>
    <w:p>
      <w:pPr>
        <w:ind w:left="320" w:hanging="315"/>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years ended December 31, 2024, and December 31, 2023, are annualized using an actual days over calendar year method. The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7"/>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2024, Compared to December 31, 2023</w:t>
            </w:r>
          </w:p>
        </w:tc>
      </w:tr>
      <w:tr>
        <w:trPr>
          <w:trHeight w:val="205"/>
        </w:trPr>
        <w:tc>
          <w:tcPr>
            <w:tcW w:w="5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6"/>
          </w:tcPr>
          <w:p>
            <w:pPr>
              <w:jc w:val="center"/>
              <w:ind w:left="1161"/>
              <w:spacing w:after="0"/>
              <w:rPr>
                <w:sz w:val="20"/>
                <w:szCs w:val="20"/>
                <w:color w:val="auto"/>
              </w:rPr>
            </w:pPr>
            <w:r>
              <w:rPr>
                <w:rFonts w:ascii="Times New Roman" w:cs="Times New Roman" w:eastAsia="Times New Roman" w:hAnsi="Times New Roman"/>
                <w:sz w:val="16"/>
                <w:szCs w:val="16"/>
                <w:b w:val="1"/>
                <w:bCs w:val="1"/>
                <w:color w:val="auto"/>
                <w:w w:val="98"/>
              </w:rPr>
              <w:t>Increase (Decrease) Due to Change in:</w:t>
            </w:r>
          </w:p>
        </w:tc>
        <w:tc>
          <w:tcPr>
            <w:tcW w:w="1460" w:type="dxa"/>
            <w:vAlign w:val="bottom"/>
            <w:tcBorders>
              <w:bottom w:val="single" w:sz="8" w:color="auto"/>
            </w:tcBorders>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280" w:type="dxa"/>
            <w:vAlign w:val="bottom"/>
          </w:tcPr>
          <w:p>
            <w:pPr>
              <w:spacing w:after="0"/>
              <w:rPr>
                <w:sz w:val="17"/>
                <w:szCs w:val="17"/>
                <w:color w:val="auto"/>
              </w:rPr>
            </w:pPr>
          </w:p>
        </w:tc>
        <w:tc>
          <w:tcPr>
            <w:tcW w:w="17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6"/>
              </w:rPr>
              <w:t>Average Rate</w:t>
            </w:r>
          </w:p>
        </w:tc>
        <w:tc>
          <w:tcPr>
            <w:tcW w:w="340" w:type="dxa"/>
            <w:vAlign w:val="bottom"/>
          </w:tcPr>
          <w:p>
            <w:pPr>
              <w:spacing w:after="0"/>
              <w:rPr>
                <w:sz w:val="17"/>
                <w:szCs w:val="17"/>
                <w:color w:val="auto"/>
              </w:rPr>
            </w:pPr>
          </w:p>
        </w:tc>
        <w:tc>
          <w:tcPr>
            <w:tcW w:w="146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1"/>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2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r>
      <w:tr>
        <w:trPr>
          <w:trHeight w:val="208"/>
        </w:trPr>
        <w:tc>
          <w:tcPr>
            <w:tcW w:w="5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Loans, gross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201,361</w:t>
            </w:r>
          </w:p>
        </w:tc>
        <w:tc>
          <w:tcPr>
            <w:tcW w:w="2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8,291</w:t>
            </w:r>
          </w:p>
        </w:tc>
        <w:tc>
          <w:tcPr>
            <w:tcW w:w="2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209,652</w:t>
            </w:r>
          </w:p>
        </w:tc>
      </w:tr>
      <w:tr>
        <w:trPr>
          <w:trHeight w:val="212"/>
        </w:trPr>
        <w:tc>
          <w:tcPr>
            <w:tcW w:w="538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0"/>
                <w:szCs w:val="20"/>
                <w:color w:val="auto"/>
                <w:vertAlign w:val="superscript"/>
              </w:rPr>
              <w:t>(1)</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10,562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8,717</w:t>
            </w:r>
          </w:p>
        </w:tc>
      </w:tr>
      <w:tr>
        <w:trPr>
          <w:trHeight w:val="208"/>
        </w:trPr>
        <w:tc>
          <w:tcPr>
            <w:tcW w:w="5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2,494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05"/>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214,417</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6,108</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220,525</w:t>
            </w:r>
          </w:p>
        </w:tc>
      </w:tr>
      <w:tr>
        <w:trPr>
          <w:trHeight w:val="188"/>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36,001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43,614</w:t>
            </w:r>
          </w:p>
        </w:tc>
      </w:tr>
      <w:tr>
        <w:trPr>
          <w:trHeight w:val="208"/>
        </w:trPr>
        <w:tc>
          <w:tcPr>
            <w:tcW w:w="5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deposits</w:t>
            </w:r>
          </w:p>
        </w:tc>
        <w:tc>
          <w:tcPr>
            <w:tcW w:w="22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6,801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w:t>
            </w:r>
          </w:p>
        </w:tc>
      </w:tr>
      <w:tr>
        <w:trPr>
          <w:trHeight w:val="21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26,850</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29,838</w:t>
            </w:r>
          </w:p>
        </w:tc>
      </w:tr>
      <w:tr>
        <w:trPr>
          <w:trHeight w:val="201"/>
        </w:trPr>
        <w:tc>
          <w:tcPr>
            <w:tcW w:w="5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69,652</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9,817</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79,469</w:t>
            </w:r>
          </w:p>
        </w:tc>
      </w:tr>
      <w:tr>
        <w:trPr>
          <w:trHeight w:val="20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11,745</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w:t>
            </w:r>
          </w:p>
        </w:tc>
      </w:tr>
      <w:tr>
        <w:trPr>
          <w:trHeight w:val="201"/>
        </w:trPr>
        <w:tc>
          <w:tcPr>
            <w:tcW w:w="5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81,397</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87,238</w:t>
            </w:r>
          </w:p>
        </w:tc>
      </w:tr>
      <w:tr>
        <w:trPr>
          <w:trHeight w:val="203"/>
        </w:trPr>
        <w:tc>
          <w:tcPr>
            <w:tcW w:w="5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133,020</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133,287</w:t>
            </w:r>
          </w:p>
        </w:tc>
      </w:tr>
    </w:tbl>
    <w:p>
      <w:pPr>
        <w:spacing w:after="0" w:line="69" w:lineRule="exact"/>
        <w:rPr>
          <w:sz w:val="20"/>
          <w:szCs w:val="20"/>
          <w:color w:val="auto"/>
        </w:rPr>
      </w:pPr>
    </w:p>
    <w:p>
      <w:pPr>
        <w:ind w:left="320" w:hanging="315"/>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securities have been computed on a taxable-equivalent basis.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Total interest income was $366.2 million for the year ended December 31, 2024, compared to $146.9 million for the year ended December 31, 2023, an increase of 149.3%. The increase in interest income was primarily driven by the Merger which resulted in higher loan and security interest income. Interest income on securities increased by $7.3 million or 17.0% for the year ended December 31, 2024, compared to the year ended December 31, 2023. Interest income on loans increased $209.6 million or 205.9% for the year ended December 31, 2024, compared to the year ended December 31, 2023.</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Total interest expense was $140.4 million for the year ended December 31, 2024, compared to $53.1 million for the previous year ended December 31, 2023, an increase of 164.2%. The increase in interest expense was primarily driven by the effect of the Merger and increases in deposit and debt balances. Interest expense on interest-bearing deposits increased by $79.5 million or 202.8% for the year ended December 31, 2024, compared to the year ended December 31, 2023. Interest expense on borrowed funds increased by $0.3 million or 2.4% for the year ended December 31, 2024, compared to the year ended December 31, 2023. Interest expense on subordinated debt acquired in the Merger led to an increase in interest expense of $7.4 million for the year ended December 31, 2024, compared to the year ended December 31, 2023.</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 xml:space="preserve">The provision for credit losses was $24.2 million for the year ended December 31, 2024, compared to $0.2 million for the year ended December 31, 2023. For the year ended December 31, 2024, the Company recognized a one-time CECL Day 2 provision for non-PCD assets acquired in the Merger and acquired commitments for unfunded commitments, which resulted in a higher credit provision expense compared to the year ended December 31, 2023. Additionally, loan balances have risen significantly for the year ended December 31, 2024, due to the Merger versus the year ended December 31, 2023. See </w:t>
      </w:r>
      <w:r>
        <w:rPr>
          <w:rFonts w:ascii="Times New Roman" w:cs="Times New Roman" w:eastAsia="Times New Roman" w:hAnsi="Times New Roman"/>
          <w:sz w:val="18"/>
          <w:szCs w:val="18"/>
          <w:u w:val="single" w:color="auto"/>
          <w:color w:val="0000FF"/>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Allowance for Credit Losses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Increase (Decrease) 2024 vs. 2023</w:t>
            </w:r>
          </w:p>
        </w:tc>
      </w:tr>
      <w:tr>
        <w:trPr>
          <w:trHeight w:val="205"/>
        </w:trPr>
        <w:tc>
          <w:tcPr>
            <w:tcW w:w="4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8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4"/>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100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8,411</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3,057</w:t>
            </w: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57.1 %</w:t>
            </w:r>
          </w:p>
        </w:tc>
      </w:tr>
      <w:tr>
        <w:trPr>
          <w:trHeight w:val="20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8,924</w:t>
            </w:r>
          </w:p>
        </w:tc>
        <w:tc>
          <w:tcPr>
            <w:tcW w:w="8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133.8</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1,469</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NM</w:t>
            </w:r>
          </w:p>
        </w:tc>
      </w:tr>
      <w:tr>
        <w:trPr>
          <w:trHeight w:val="20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1,842</w:t>
            </w:r>
          </w:p>
        </w:tc>
        <w:tc>
          <w:tcPr>
            <w:tcW w:w="8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64.8</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2,922</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91.4</w:t>
            </w:r>
          </w:p>
        </w:tc>
      </w:tr>
      <w:tr>
        <w:trPr>
          <w:trHeight w:val="201"/>
        </w:trPr>
        <w:tc>
          <w:tcPr>
            <w:tcW w:w="4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36,166</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18,214</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101.5 %</w:t>
            </w:r>
          </w:p>
        </w:tc>
      </w:tr>
    </w:tbl>
    <w:p>
      <w:pPr>
        <w:spacing w:after="0" w:line="231"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6"/>
          <w:szCs w:val="16"/>
          <w:color w:val="auto"/>
        </w:rPr>
        <w:t xml:space="preserve">Non-interest income increased by $18.2 million or 101.5% for the year ended December 31, 2024, compared to December 31, 2023. The increase was primarily driven by the Merger, and included increases in all categories of non-interest income. The largest increase was in service charges and fees of $8.9 million followed by an increase in fiduciary and wealth management of $3.1 million and and increase in other non-interest income of $2.9 million. See </w:t>
      </w:r>
      <w:r>
        <w:rPr>
          <w:rFonts w:ascii="Times New Roman" w:cs="Times New Roman" w:eastAsia="Times New Roman" w:hAnsi="Times New Roman"/>
          <w:sz w:val="16"/>
          <w:szCs w:val="16"/>
          <w:u w:val="single" w:color="auto"/>
          <w:color w:val="0000FF"/>
        </w:rPr>
        <w:t>Note 22</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0000FF"/>
        </w:rPr>
        <w:t>— Revenue from Contracts with Customers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 The Company also realized gains on the sale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securities resulting in an increase of $1.5 million in non-interest income and an increase in income from Company-owned life insurance of $1.8 million for the year ended December 31, 2024, compared to December 31, 2023.</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Increase (Decrease) 2024 vs. 2023</w:t>
            </w:r>
          </w:p>
        </w:tc>
      </w:tr>
      <w:tr>
        <w:trPr>
          <w:trHeight w:val="205"/>
        </w:trPr>
        <w:tc>
          <w:tcPr>
            <w:tcW w:w="4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8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4"/>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60" w:type="dxa"/>
            <w:vAlign w:val="bottom"/>
            <w:tcBorders>
              <w:top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77,089</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37,842</w:t>
            </w: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96.4 %</w:t>
            </w:r>
          </w:p>
        </w:tc>
      </w:tr>
      <w:tr>
        <w:trPr>
          <w:trHeight w:val="20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7,785</w:t>
            </w:r>
          </w:p>
        </w:tc>
        <w:tc>
          <w:tcPr>
            <w:tcW w:w="8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82.8</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5,542</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91.8</w:t>
            </w:r>
          </w:p>
        </w:tc>
      </w:tr>
      <w:tr>
        <w:trPr>
          <w:trHeight w:val="208"/>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17,404</w:t>
            </w:r>
          </w:p>
        </w:tc>
        <w:tc>
          <w:tcPr>
            <w:tcW w:w="8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301.6</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68,807</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42,824</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164.8</w:t>
            </w:r>
          </w:p>
        </w:tc>
      </w:tr>
      <w:tr>
        <w:trPr>
          <w:trHeight w:val="201"/>
        </w:trPr>
        <w:tc>
          <w:tcPr>
            <w:tcW w:w="4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197,833</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111,397</w:t>
            </w:r>
          </w:p>
        </w:tc>
        <w:tc>
          <w:tcPr>
            <w:tcW w:w="8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128.9 %</w:t>
            </w:r>
          </w:p>
        </w:tc>
      </w:tr>
    </w:tbl>
    <w:p>
      <w:pPr>
        <w:spacing w:after="0" w:line="218"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 xml:space="preserve">Non-interest expense increased 128.9% for the year ended December 31, 2024, compared to December 31, 2023. The increase was mostly due to the Merger, and included increases in all categories of non-interest expense. The largest increase was in other operating expenses which included $36.5 million of legal, consulting, and audit fees related to the Merger with Summit Financial Group, Inc. The majority of these merger-related costs consist of legal, consulting, and audit fees. See </w:t>
      </w:r>
      <w:r>
        <w:rPr>
          <w:rFonts w:ascii="Times New Roman" w:cs="Times New Roman" w:eastAsia="Times New Roman" w:hAnsi="Times New Roman"/>
          <w:sz w:val="18"/>
          <w:szCs w:val="18"/>
          <w:u w:val="single" w:color="auto"/>
          <w:color w:val="0000FF"/>
        </w:rPr>
        <w:t>Note 20 — Other Operating Expenses</w:t>
      </w:r>
      <w:r>
        <w:rPr>
          <w:rFonts w:ascii="Times New Roman" w:cs="Times New Roman" w:eastAsia="Times New Roman" w:hAnsi="Times New Roman"/>
          <w:sz w:val="18"/>
          <w:szCs w:val="18"/>
          <w:color w:val="auto"/>
        </w:rPr>
        <w:t xml:space="preserve"> in Notes to Consolidated Financial Statements for further information on “Other” non-interest expense. Other large increases included salaries and wages which increased by $37.8 million, or 96.4%, and equipment rentals, depreciation and maintenance which increased $17.4 million, or 301.6%, compared to the year ended December 31, 2023. Pensions and other employee benefits increased by $7.8 million while occupancy increased by $5.5 million for the year ended December 31, 2024, compared to December 31, 2023.</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Income tax expense was $4.2 million for the year ended December 31, 2024, a increase of $1.8 million from the tax provision for the year ended December 31, 2023. For 2024 and 2023, our effective tax rates were 10.5% and 9.5%, respectively. A increase in income from operations led to a slight increase in the effective tax rate for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80"/>
        <w:spacing w:after="0" w:line="426" w:lineRule="auto"/>
        <w:rPr>
          <w:sz w:val="20"/>
          <w:szCs w:val="20"/>
          <w:color w:val="auto"/>
        </w:rPr>
      </w:pPr>
      <w:r>
        <w:rPr>
          <w:rFonts w:ascii="Times New Roman" w:cs="Times New Roman" w:eastAsia="Times New Roman" w:hAnsi="Times New Roman"/>
          <w:sz w:val="18"/>
          <w:szCs w:val="18"/>
          <w:color w:val="auto"/>
        </w:rPr>
        <w:t xml:space="preserve">The effective tax rate going forward will continue to depend on income from operations as well as any legislative corporate tax changes. </w:t>
      </w:r>
      <w:r>
        <w:rPr>
          <w:rFonts w:ascii="Times New Roman" w:cs="Times New Roman" w:eastAsia="Times New Roman" w:hAnsi="Times New Roman"/>
          <w:sz w:val="18"/>
          <w:szCs w:val="18"/>
          <w:b w:val="1"/>
          <w:bCs w:val="1"/>
          <w:color w:val="auto"/>
        </w:rPr>
        <w:t>Results of Operations for Years Ended December 31, 2023, and December 31, 2022</w:t>
      </w: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For a comparison of the 2023 results to the 2022 results and other 2022 information not included herein, refer to the “Management’s Discussion and Analysis of Financial Condition and Results of Operations” in Item 7 of the Company’s 10-K filed with the SEC on March 22, 2024, as amended by the Company’s 10-K/A filed with the SEC on April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Years Ended December 31, 2024, and December 31, 2023</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Assets increased by $4.2 billion to $7.8 billion as of December 31, 2024, compared to $3.6 billion as of December 31, 2023. The increase in assets was primarily due to the Merger and included an increase in loans, net of ACL, of $3.5 billion, and an increase of $183.9 million in the securities portfolio as of December 31, 2024 compared to December 31, 2023. Deposits increased by $3.5 billion and amounted to $6.5 billion at December 31, 2024, compared to $3.0 billion at December 31, 2023, while short-term borrowings increased by $93.0 million to $365.0 million as of December 31, 2024, compared to $272.0 million at December 31, 2023. Subordinated debt and subordinated debt owed to unconsolidated subsidiary trusts, which were assumed in the Merger, totaled $111.9 million at December 31, 2024, compared to zero at December 31, 2023.</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65"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available-for-sale (“AFS”).</w:t>
      </w:r>
    </w:p>
    <w:p>
      <w:pPr>
        <w:spacing w:after="0" w:line="93"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year ended December 31, 2024, the unrealized losses on our holdings decreased $6.9 million from December 31, 2023.</w:t>
      </w:r>
    </w:p>
    <w:p>
      <w:pPr>
        <w:spacing w:after="0" w:line="13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determined that the declines in market value were due to increases in interest rates and market movements and not due to credit factors. Therefore, the Company has concluded that the unrealized losses for the AFS securities do not require an ACL at December 31, 2024, or at December 31, 2023. 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tables reflect the amortized cost and fair market values for the total portfolio for each category of investment as of December 31, 2024,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5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60" w:type="dxa"/>
            <w:vAlign w:val="bottom"/>
          </w:tcPr>
          <w:p>
            <w:pPr>
              <w:spacing w:after="0"/>
              <w:rPr>
                <w:sz w:val="13"/>
                <w:szCs w:val="13"/>
                <w:color w:val="auto"/>
              </w:rPr>
            </w:pPr>
          </w:p>
        </w:tc>
        <w:tc>
          <w:tcPr>
            <w:tcW w:w="130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149,127</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698,724</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53,186</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247,876</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33,071</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154,511</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64,056</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31,820</w:t>
            </w:r>
          </w:p>
        </w:tc>
        <w:tc>
          <w:tcPr>
            <w:tcW w:w="0" w:type="dxa"/>
            <w:vAlign w:val="bottom"/>
          </w:tcPr>
          <w:p>
            <w:pPr>
              <w:spacing w:after="0"/>
              <w:rPr>
                <w:sz w:val="1"/>
                <w:szCs w:val="1"/>
                <w:color w:val="auto"/>
              </w:rPr>
            </w:pPr>
          </w:p>
        </w:tc>
      </w:tr>
      <w:tr>
        <w:trPr>
          <w:trHeight w:val="20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1,549,589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118,876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50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60" w:type="dxa"/>
            <w:vAlign w:val="bottom"/>
          </w:tcPr>
          <w:p>
            <w:pPr>
              <w:spacing w:after="0"/>
              <w:rPr>
                <w:sz w:val="13"/>
                <w:szCs w:val="13"/>
                <w:color w:val="auto"/>
              </w:rPr>
            </w:pPr>
          </w:p>
        </w:tc>
        <w:tc>
          <w:tcPr>
            <w:tcW w:w="130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463,203</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42,238</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266,031</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177,061</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77,936</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0" w:type="dxa"/>
            <w:vAlign w:val="bottom"/>
          </w:tcPr>
          <w:p>
            <w:pPr>
              <w:spacing w:after="0"/>
              <w:rPr>
                <w:sz w:val="1"/>
                <w:szCs w:val="1"/>
                <w:color w:val="auto"/>
              </w:rPr>
            </w:pPr>
          </w:p>
        </w:tc>
      </w:tr>
      <w:tr>
        <w:trPr>
          <w:trHeight w:val="20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December 31, 2024. The actual timing of principal payments may differ from remaining contractual maturities because obligors may have the right to repay certain obligations with or without penalties. The overall weighted average duration of the Company’s investment portfolio is 4.5 years at December 31, 2024.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6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8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4"/>
          </w:tcPr>
          <w:p>
            <w:pPr>
              <w:ind w:left="240"/>
              <w:spacing w:after="0"/>
              <w:rPr>
                <w:sz w:val="20"/>
                <w:szCs w:val="20"/>
                <w:color w:val="auto"/>
              </w:rPr>
            </w:pPr>
            <w:r>
              <w:rPr>
                <w:rFonts w:ascii="Times New Roman" w:cs="Times New Roman" w:eastAsia="Times New Roman" w:hAnsi="Times New Roman"/>
                <w:sz w:val="12"/>
                <w:szCs w:val="12"/>
                <w:b w:val="1"/>
                <w:bCs w:val="1"/>
                <w:color w:val="auto"/>
              </w:rPr>
              <w:t>One Year or Less</w:t>
            </w:r>
          </w:p>
        </w:tc>
        <w:tc>
          <w:tcPr>
            <w:tcW w:w="2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One to Five Years</w:t>
            </w:r>
          </w:p>
        </w:tc>
        <w:tc>
          <w:tcPr>
            <w:tcW w:w="2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2"/>
                <w:szCs w:val="12"/>
                <w:b w:val="1"/>
                <w:bCs w:val="1"/>
                <w:color w:val="auto"/>
              </w:rPr>
              <w:t>Five to Ten Years</w:t>
            </w:r>
          </w:p>
        </w:tc>
        <w:tc>
          <w:tcPr>
            <w:tcW w:w="22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After Ten Years</w:t>
            </w: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03"/>
        </w:trPr>
        <w:tc>
          <w:tcPr>
            <w:tcW w:w="1820" w:type="dxa"/>
            <w:vAlign w:val="bottom"/>
          </w:tcPr>
          <w:p>
            <w:pPr>
              <w:spacing w:after="0"/>
              <w:rPr>
                <w:sz w:val="8"/>
                <w:szCs w:val="8"/>
                <w:color w:val="auto"/>
              </w:rPr>
            </w:pPr>
          </w:p>
        </w:tc>
        <w:tc>
          <w:tcPr>
            <w:tcW w:w="8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4"/>
              </w:rPr>
              <w:t>Weighted Average</w:t>
            </w:r>
          </w:p>
        </w:tc>
        <w:tc>
          <w:tcPr>
            <w:tcW w:w="100" w:type="dxa"/>
            <w:vAlign w:val="bottom"/>
          </w:tcPr>
          <w:p>
            <w:pPr>
              <w:spacing w:after="0"/>
              <w:rPr>
                <w:sz w:val="8"/>
                <w:szCs w:val="8"/>
                <w:color w:val="auto"/>
              </w:rPr>
            </w:pPr>
          </w:p>
        </w:tc>
        <w:tc>
          <w:tcPr>
            <w:tcW w:w="9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w w:val="94"/>
              </w:rPr>
              <w:t>Weighted Average</w:t>
            </w:r>
          </w:p>
        </w:tc>
        <w:tc>
          <w:tcPr>
            <w:tcW w:w="100" w:type="dxa"/>
            <w:vAlign w:val="bottom"/>
          </w:tcPr>
          <w:p>
            <w:pPr>
              <w:spacing w:after="0"/>
              <w:rPr>
                <w:sz w:val="8"/>
                <w:szCs w:val="8"/>
                <w:color w:val="auto"/>
              </w:rPr>
            </w:pPr>
          </w:p>
        </w:tc>
        <w:tc>
          <w:tcPr>
            <w:tcW w:w="9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00" w:type="dxa"/>
            <w:vAlign w:val="bottom"/>
            <w:tcBorders>
              <w:top w:val="single" w:sz="8" w:color="auto"/>
            </w:tcBorders>
          </w:tcPr>
          <w:p>
            <w:pPr>
              <w:ind w:left="40"/>
              <w:spacing w:after="0" w:line="103"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80" w:type="dxa"/>
            <w:vAlign w:val="bottom"/>
          </w:tcPr>
          <w:p>
            <w:pPr>
              <w:spacing w:after="0"/>
              <w:rPr>
                <w:sz w:val="8"/>
                <w:szCs w:val="8"/>
                <w:color w:val="auto"/>
              </w:rPr>
            </w:pPr>
          </w:p>
        </w:tc>
        <w:tc>
          <w:tcPr>
            <w:tcW w:w="90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4"/>
              </w:rPr>
              <w:t>Weighted Average</w:t>
            </w:r>
          </w:p>
        </w:tc>
        <w:tc>
          <w:tcPr>
            <w:tcW w:w="100" w:type="dxa"/>
            <w:vAlign w:val="bottom"/>
          </w:tcPr>
          <w:p>
            <w:pPr>
              <w:spacing w:after="0"/>
              <w:rPr>
                <w:sz w:val="8"/>
                <w:szCs w:val="8"/>
                <w:color w:val="auto"/>
              </w:rPr>
            </w:pPr>
          </w:p>
        </w:tc>
        <w:tc>
          <w:tcPr>
            <w:tcW w:w="7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Amortized Cost</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w w:val="94"/>
              </w:rPr>
              <w:t>Weighted Average</w:t>
            </w:r>
          </w:p>
        </w:tc>
        <w:tc>
          <w:tcPr>
            <w:tcW w:w="0" w:type="dxa"/>
            <w:vAlign w:val="bottom"/>
          </w:tcPr>
          <w:p>
            <w:pPr>
              <w:spacing w:after="0"/>
              <w:rPr>
                <w:sz w:val="1"/>
                <w:szCs w:val="1"/>
                <w:color w:val="auto"/>
              </w:rPr>
            </w:pPr>
          </w:p>
        </w:tc>
      </w:tr>
      <w:tr>
        <w:trPr>
          <w:trHeight w:val="151"/>
        </w:trPr>
        <w:tc>
          <w:tcPr>
            <w:tcW w:w="182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900" w:type="dxa"/>
            <w:vAlign w:val="bottom"/>
            <w:gridSpan w:val="3"/>
            <w:vMerge w:val="continue"/>
          </w:tcPr>
          <w:p>
            <w:pPr>
              <w:spacing w:after="0"/>
              <w:rPr>
                <w:sz w:val="13"/>
                <w:szCs w:val="13"/>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900" w:type="dxa"/>
            <w:vAlign w:val="bottom"/>
            <w:gridSpan w:val="3"/>
            <w:vMerge w:val="continue"/>
          </w:tcPr>
          <w:p>
            <w:pPr>
              <w:spacing w:after="0"/>
              <w:rPr>
                <w:sz w:val="13"/>
                <w:szCs w:val="13"/>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900" w:type="dxa"/>
            <w:vAlign w:val="bottom"/>
            <w:gridSpan w:val="3"/>
            <w:vMerge w:val="continue"/>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7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Yield</w:t>
            </w:r>
          </w:p>
        </w:tc>
        <w:tc>
          <w:tcPr>
            <w:tcW w:w="0" w:type="dxa"/>
            <w:vAlign w:val="bottom"/>
          </w:tcPr>
          <w:p>
            <w:pPr>
              <w:spacing w:after="0"/>
              <w:rPr>
                <w:sz w:val="1"/>
                <w:szCs w:val="1"/>
                <w:color w:val="auto"/>
              </w:rPr>
            </w:pPr>
          </w:p>
        </w:tc>
      </w:tr>
      <w:tr>
        <w:trPr>
          <w:trHeight w:val="158"/>
        </w:trPr>
        <w:tc>
          <w:tcPr>
            <w:tcW w:w="1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Securities Available-for-Sale</w:t>
            </w: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820" w:type="dxa"/>
            <w:vAlign w:val="bottom"/>
          </w:tcPr>
          <w:p>
            <w:pPr>
              <w:ind w:left="240"/>
              <w:spacing w:after="0" w:line="118" w:lineRule="exact"/>
              <w:rPr>
                <w:sz w:val="20"/>
                <w:szCs w:val="20"/>
                <w:color w:val="auto"/>
              </w:rPr>
            </w:pPr>
            <w:r>
              <w:rPr>
                <w:rFonts w:ascii="Times New Roman" w:cs="Times New Roman" w:eastAsia="Times New Roman" w:hAnsi="Times New Roman"/>
                <w:sz w:val="12"/>
                <w:szCs w:val="12"/>
                <w:color w:val="auto"/>
              </w:rPr>
              <w:t>U.S. Treasuries and</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government agencies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0.41 %</w:t>
            </w:r>
          </w:p>
        </w:tc>
        <w:tc>
          <w:tcPr>
            <w:tcW w:w="100" w:type="dxa"/>
            <w:vAlign w:val="bottom"/>
          </w:tcPr>
          <w:p>
            <w:pPr>
              <w:spacing w:after="0"/>
              <w:rPr>
                <w:sz w:val="15"/>
                <w:szCs w:val="15"/>
                <w:color w:val="auto"/>
              </w:rPr>
            </w:pP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160,509</w:t>
            </w:r>
          </w:p>
        </w:tc>
        <w:tc>
          <w:tcPr>
            <w:tcW w:w="100" w:type="dxa"/>
            <w:vAlign w:val="bottom"/>
          </w:tcPr>
          <w:p>
            <w:pPr>
              <w:spacing w:after="0"/>
              <w:rPr>
                <w:sz w:val="15"/>
                <w:szCs w:val="15"/>
                <w:color w:val="auto"/>
              </w:rPr>
            </w:pPr>
          </w:p>
        </w:tc>
        <w:tc>
          <w:tcPr>
            <w:tcW w:w="88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99"/>
              </w:rPr>
              <w:t>1.34 %</w:t>
            </w:r>
          </w:p>
        </w:tc>
        <w:tc>
          <w:tcPr>
            <w:tcW w:w="100" w:type="dxa"/>
            <w:vAlign w:val="bottom"/>
          </w:tcPr>
          <w:p>
            <w:pPr>
              <w:spacing w:after="0"/>
              <w:rPr>
                <w:sz w:val="15"/>
                <w:szCs w:val="15"/>
                <w:color w:val="auto"/>
              </w:rPr>
            </w:pP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165,619</w:t>
            </w: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12"/>
                <w:szCs w:val="12"/>
                <w:color w:val="auto"/>
              </w:rPr>
              <w:t>1.31 %</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2"/>
                <w:szCs w:val="12"/>
                <w:color w:val="auto"/>
              </w:rPr>
              <w:t>Obligations of states and</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municipalities</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154,071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2.85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369,063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254,047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777,181</w:t>
            </w:r>
          </w:p>
        </w:tc>
        <w:tc>
          <w:tcPr>
            <w:tcW w:w="10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2.76</w:t>
            </w:r>
          </w:p>
        </w:tc>
        <w:tc>
          <w:tcPr>
            <w:tcW w:w="0" w:type="dxa"/>
            <w:vAlign w:val="bottom"/>
          </w:tcPr>
          <w:p>
            <w:pPr>
              <w:spacing w:after="0"/>
              <w:rPr>
                <w:sz w:val="1"/>
                <w:szCs w:val="1"/>
                <w:color w:val="auto"/>
              </w:rPr>
            </w:pPr>
          </w:p>
        </w:tc>
      </w:tr>
      <w:tr>
        <w:trPr>
          <w:trHeight w:val="118"/>
        </w:trPr>
        <w:tc>
          <w:tcPr>
            <w:tcW w:w="1820" w:type="dxa"/>
            <w:vAlign w:val="bottom"/>
          </w:tcPr>
          <w:p>
            <w:pPr>
              <w:ind w:left="240"/>
              <w:spacing w:after="0" w:line="118" w:lineRule="exact"/>
              <w:rPr>
                <w:sz w:val="20"/>
                <w:szCs w:val="20"/>
                <w:color w:val="auto"/>
              </w:rPr>
            </w:pPr>
            <w:r>
              <w:rPr>
                <w:rFonts w:ascii="Times New Roman" w:cs="Times New Roman" w:eastAsia="Times New Roman" w:hAnsi="Times New Roman"/>
                <w:sz w:val="12"/>
                <w:szCs w:val="12"/>
                <w:color w:val="auto"/>
              </w:rPr>
              <w:t>Residential mortgage backed -</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agency</w:t>
            </w:r>
          </w:p>
        </w:tc>
        <w:tc>
          <w:tcPr>
            <w:tcW w:w="2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18,778</w:t>
            </w:r>
          </w:p>
        </w:tc>
        <w:tc>
          <w:tcPr>
            <w:tcW w:w="100" w:type="dxa"/>
            <w:vAlign w:val="bottom"/>
          </w:tcPr>
          <w:p>
            <w:pPr>
              <w:spacing w:after="0"/>
              <w:rPr>
                <w:sz w:val="15"/>
                <w:szCs w:val="15"/>
                <w:color w:val="auto"/>
              </w:rPr>
            </w:pPr>
          </w:p>
        </w:tc>
        <w:tc>
          <w:tcPr>
            <w:tcW w:w="8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4.66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28,045</w:t>
            </w:r>
          </w:p>
        </w:tc>
        <w:tc>
          <w:tcPr>
            <w:tcW w:w="100" w:type="dxa"/>
            <w:vAlign w:val="bottom"/>
          </w:tcPr>
          <w:p>
            <w:pPr>
              <w:spacing w:after="0"/>
              <w:rPr>
                <w:sz w:val="15"/>
                <w:szCs w:val="15"/>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2.68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10,421</w:t>
            </w:r>
          </w:p>
        </w:tc>
        <w:tc>
          <w:tcPr>
            <w:tcW w:w="100" w:type="dxa"/>
            <w:vAlign w:val="bottom"/>
          </w:tcPr>
          <w:p>
            <w:pPr>
              <w:spacing w:after="0"/>
              <w:rPr>
                <w:sz w:val="15"/>
                <w:szCs w:val="15"/>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57,244</w:t>
            </w: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12"/>
                <w:szCs w:val="12"/>
                <w:color w:val="auto"/>
              </w:rPr>
              <w:t>3.63</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2"/>
                <w:szCs w:val="12"/>
                <w:color w:val="auto"/>
              </w:rPr>
              <w:t>Residential mortgage backed -</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non-agency</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21,790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80,362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3.30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128,977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4.39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28,835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259,964</w:t>
            </w:r>
          </w:p>
        </w:tc>
        <w:tc>
          <w:tcPr>
            <w:tcW w:w="10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4.09</w:t>
            </w:r>
          </w:p>
        </w:tc>
        <w:tc>
          <w:tcPr>
            <w:tcW w:w="0" w:type="dxa"/>
            <w:vAlign w:val="bottom"/>
          </w:tcPr>
          <w:p>
            <w:pPr>
              <w:spacing w:after="0"/>
              <w:rPr>
                <w:sz w:val="1"/>
                <w:szCs w:val="1"/>
                <w:color w:val="auto"/>
              </w:rPr>
            </w:pPr>
          </w:p>
        </w:tc>
      </w:tr>
      <w:tr>
        <w:trPr>
          <w:trHeight w:val="118"/>
        </w:trPr>
        <w:tc>
          <w:tcPr>
            <w:tcW w:w="1820" w:type="dxa"/>
            <w:vAlign w:val="bottom"/>
          </w:tcPr>
          <w:p>
            <w:pPr>
              <w:ind w:left="240"/>
              <w:spacing w:after="0" w:line="118" w:lineRule="exact"/>
              <w:rPr>
                <w:sz w:val="20"/>
                <w:szCs w:val="20"/>
                <w:color w:val="auto"/>
              </w:rPr>
            </w:pPr>
            <w:r>
              <w:rPr>
                <w:rFonts w:ascii="Times New Roman" w:cs="Times New Roman" w:eastAsia="Times New Roman" w:hAnsi="Times New Roman"/>
                <w:sz w:val="12"/>
                <w:szCs w:val="12"/>
                <w:color w:val="auto"/>
              </w:rPr>
              <w:t>Commercial mortgage backed -</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agency</w:t>
            </w:r>
          </w:p>
        </w:tc>
        <w:tc>
          <w:tcPr>
            <w:tcW w:w="2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26,594</w:t>
            </w:r>
          </w:p>
        </w:tc>
        <w:tc>
          <w:tcPr>
            <w:tcW w:w="100" w:type="dxa"/>
            <w:vAlign w:val="bottom"/>
          </w:tcPr>
          <w:p>
            <w:pPr>
              <w:spacing w:after="0"/>
              <w:rPr>
                <w:sz w:val="15"/>
                <w:szCs w:val="15"/>
                <w:color w:val="auto"/>
              </w:rPr>
            </w:pPr>
          </w:p>
        </w:tc>
        <w:tc>
          <w:tcPr>
            <w:tcW w:w="8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4.82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7,197</w:t>
            </w:r>
          </w:p>
        </w:tc>
        <w:tc>
          <w:tcPr>
            <w:tcW w:w="100" w:type="dxa"/>
            <w:vAlign w:val="bottom"/>
          </w:tcPr>
          <w:p>
            <w:pPr>
              <w:spacing w:after="0"/>
              <w:rPr>
                <w:sz w:val="15"/>
                <w:szCs w:val="15"/>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33,791</w:t>
            </w: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12"/>
                <w:szCs w:val="12"/>
                <w:color w:val="auto"/>
              </w:rPr>
              <w:t>4.85</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240"/>
              <w:spacing w:after="0" w:line="126" w:lineRule="exact"/>
              <w:rPr>
                <w:sz w:val="20"/>
                <w:szCs w:val="20"/>
                <w:color w:val="auto"/>
              </w:rPr>
            </w:pPr>
            <w:r>
              <w:rPr>
                <w:rFonts w:ascii="Times New Roman" w:cs="Times New Roman" w:eastAsia="Times New Roman" w:hAnsi="Times New Roman"/>
                <w:sz w:val="12"/>
                <w:szCs w:val="12"/>
                <w:color w:val="auto"/>
              </w:rPr>
              <w:t>Commercial mortgage backed -</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non-agency</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86,629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47,211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24,781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3.98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158,621</w:t>
            </w:r>
          </w:p>
        </w:tc>
        <w:tc>
          <w:tcPr>
            <w:tcW w:w="10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3.92</w:t>
            </w:r>
          </w:p>
        </w:tc>
        <w:tc>
          <w:tcPr>
            <w:tcW w:w="0" w:type="dxa"/>
            <w:vAlign w:val="bottom"/>
          </w:tcPr>
          <w:p>
            <w:pPr>
              <w:spacing w:after="0"/>
              <w:rPr>
                <w:sz w:val="1"/>
                <w:szCs w:val="1"/>
                <w:color w:val="auto"/>
              </w:rPr>
            </w:pPr>
          </w:p>
        </w:tc>
      </w:tr>
      <w:tr>
        <w:trPr>
          <w:trHeight w:val="165"/>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Asset backed</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9,069</w:t>
            </w:r>
          </w:p>
        </w:tc>
        <w:tc>
          <w:tcPr>
            <w:tcW w:w="100" w:type="dxa"/>
            <w:vAlign w:val="bottom"/>
          </w:tcPr>
          <w:p>
            <w:pPr>
              <w:spacing w:after="0"/>
              <w:rPr>
                <w:sz w:val="14"/>
                <w:szCs w:val="1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30,463</w:t>
            </w:r>
          </w:p>
        </w:tc>
        <w:tc>
          <w:tcPr>
            <w:tcW w:w="100" w:type="dxa"/>
            <w:vAlign w:val="bottom"/>
          </w:tcPr>
          <w:p>
            <w:pPr>
              <w:spacing w:after="0"/>
              <w:rPr>
                <w:sz w:val="14"/>
                <w:szCs w:val="14"/>
                <w:color w:val="auto"/>
              </w:rPr>
            </w:pPr>
          </w:p>
        </w:tc>
        <w:tc>
          <w:tcPr>
            <w:tcW w:w="8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6.09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24,776</w:t>
            </w:r>
          </w:p>
        </w:tc>
        <w:tc>
          <w:tcPr>
            <w:tcW w:w="100" w:type="dxa"/>
            <w:vAlign w:val="bottom"/>
          </w:tcPr>
          <w:p>
            <w:pPr>
              <w:spacing w:after="0"/>
              <w:rPr>
                <w:sz w:val="14"/>
                <w:szCs w:val="14"/>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6.01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64,308</w:t>
            </w:r>
          </w:p>
        </w:tc>
        <w:tc>
          <w:tcPr>
            <w:tcW w:w="1040" w:type="dxa"/>
            <w:vAlign w:val="bottom"/>
            <w:gridSpan w:val="3"/>
          </w:tcPr>
          <w:p>
            <w:pPr>
              <w:ind w:left="660"/>
              <w:spacing w:after="0"/>
              <w:rPr>
                <w:sz w:val="20"/>
                <w:szCs w:val="20"/>
                <w:color w:val="auto"/>
              </w:rPr>
            </w:pPr>
            <w:r>
              <w:rPr>
                <w:rFonts w:ascii="Times New Roman" w:cs="Times New Roman" w:eastAsia="Times New Roman" w:hAnsi="Times New Roman"/>
                <w:sz w:val="12"/>
                <w:szCs w:val="12"/>
                <w:color w:val="auto"/>
              </w:rPr>
              <w:t>6.05</w:t>
            </w: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8.29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15,688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5.57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14,421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32,861</w:t>
            </w:r>
          </w:p>
        </w:tc>
        <w:tc>
          <w:tcPr>
            <w:tcW w:w="10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7.37</w:t>
            </w:r>
          </w:p>
        </w:tc>
        <w:tc>
          <w:tcPr>
            <w:tcW w:w="0" w:type="dxa"/>
            <w:vAlign w:val="bottom"/>
          </w:tcPr>
          <w:p>
            <w:pPr>
              <w:spacing w:after="0"/>
              <w:rPr>
                <w:sz w:val="1"/>
                <w:szCs w:val="1"/>
                <w:color w:val="auto"/>
              </w:rPr>
            </w:pPr>
          </w:p>
        </w:tc>
      </w:tr>
      <w:tr>
        <w:trPr>
          <w:trHeight w:val="158"/>
        </w:trPr>
        <w:tc>
          <w:tcPr>
            <w:tcW w:w="1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122,598</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3.53 %</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520,740</w:t>
            </w:r>
          </w:p>
        </w:tc>
        <w:tc>
          <w:tcPr>
            <w:tcW w:w="100" w:type="dxa"/>
            <w:vAlign w:val="bottom"/>
          </w:tcPr>
          <w:p>
            <w:pPr>
              <w:spacing w:after="0"/>
              <w:rPr>
                <w:sz w:val="13"/>
                <w:szCs w:val="13"/>
                <w:color w:val="auto"/>
              </w:rPr>
            </w:pPr>
          </w:p>
        </w:tc>
        <w:tc>
          <w:tcPr>
            <w:tcW w:w="8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2"/>
                <w:szCs w:val="12"/>
                <w:color w:val="auto"/>
                <w:w w:val="99"/>
              </w:rPr>
              <w:t>3.04 %</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598,527</w:t>
            </w: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2"/>
                <w:szCs w:val="12"/>
                <w:color w:val="auto"/>
              </w:rPr>
              <w:t>3.19 %</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307,724</w:t>
            </w: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3.66 %</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1,549,589</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2"/>
                <w:szCs w:val="12"/>
                <w:color w:val="auto"/>
              </w:rPr>
              <w:t>3.26 %</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loan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1 — Nature of Business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Loan balances by portfolio segment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0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2,637,802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1,309,084</w:t>
            </w: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131,381</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49,091</w:t>
            </w: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67,847</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1,173,749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527,980</w:t>
            </w:r>
          </w:p>
        </w:tc>
      </w:tr>
      <w:tr>
        <w:trPr>
          <w:trHeight w:val="20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5,672,236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2,087,756</w:t>
            </w:r>
          </w:p>
        </w:tc>
      </w:tr>
      <w:tr>
        <w:trPr>
          <w:trHeight w:val="20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(25,301)</w:t>
            </w: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5,604,196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2,062,455</w:t>
            </w:r>
          </w:p>
        </w:tc>
      </w:tr>
    </w:tbl>
    <w:p>
      <w:pPr>
        <w:spacing w:after="0" w:line="231"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loan portfolio, excluding ACL, increased by $3.6 billion from December 31, 2023, to December 31, 2024, primarily due to the effect of the Merger. Additionally, the Company has continued to grow organically by continuing to serve existing customers and new customers through our expansion into newer markets.</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December 31, 2024. The maturity distribution is grouped by remaining scheduled principal payments that are due in the following periods. The principal balances of loans are indicated by both fixed and floating rate categories in the table below (in thousands).</w:t>
      </w:r>
    </w:p>
    <w:p>
      <w:pPr>
        <w:spacing w:after="0" w:line="17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Within One Year</w:t>
            </w:r>
          </w:p>
        </w:tc>
        <w:tc>
          <w:tcPr>
            <w:tcW w:w="1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One Year to Five Years</w:t>
            </w:r>
          </w:p>
        </w:tc>
        <w:tc>
          <w:tcPr>
            <w:tcW w:w="1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Five Years to 15 Years</w:t>
            </w:r>
          </w:p>
        </w:tc>
        <w:tc>
          <w:tcPr>
            <w:tcW w:w="1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After 15 Years</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16"/>
        </w:trPr>
        <w:tc>
          <w:tcPr>
            <w:tcW w:w="2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52"/>
              <w:spacing w:after="0" w:line="117" w:lineRule="exact"/>
              <w:rPr>
                <w:sz w:val="20"/>
                <w:szCs w:val="20"/>
                <w:color w:val="auto"/>
              </w:rPr>
            </w:pPr>
            <w:r>
              <w:rPr>
                <w:rFonts w:ascii="Times New Roman" w:cs="Times New Roman" w:eastAsia="Times New Roman" w:hAnsi="Times New Roman"/>
                <w:sz w:val="12"/>
                <w:szCs w:val="12"/>
                <w:b w:val="1"/>
                <w:bCs w:val="1"/>
                <w:color w:val="auto"/>
              </w:rPr>
              <w:t>Adjustable</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72"/>
              <w:spacing w:after="0" w:line="117" w:lineRule="exact"/>
              <w:rPr>
                <w:sz w:val="20"/>
                <w:szCs w:val="20"/>
                <w:color w:val="auto"/>
              </w:rPr>
            </w:pPr>
            <w:r>
              <w:rPr>
                <w:rFonts w:ascii="Times New Roman" w:cs="Times New Roman" w:eastAsia="Times New Roman" w:hAnsi="Times New Roman"/>
                <w:sz w:val="12"/>
                <w:szCs w:val="12"/>
                <w:b w:val="1"/>
                <w:bCs w:val="1"/>
                <w:color w:val="auto"/>
                <w:w w:val="99"/>
              </w:rPr>
              <w:t>Adjustable</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52"/>
              <w:spacing w:after="0" w:line="117" w:lineRule="exact"/>
              <w:rPr>
                <w:sz w:val="20"/>
                <w:szCs w:val="20"/>
                <w:color w:val="auto"/>
              </w:rPr>
            </w:pPr>
            <w:r>
              <w:rPr>
                <w:rFonts w:ascii="Times New Roman" w:cs="Times New Roman" w:eastAsia="Times New Roman" w:hAnsi="Times New Roman"/>
                <w:sz w:val="12"/>
                <w:szCs w:val="12"/>
                <w:b w:val="1"/>
                <w:bCs w:val="1"/>
                <w:color w:val="auto"/>
              </w:rPr>
              <w:t>Adjustable</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77"/>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Fixed Rates</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Rates</w:t>
            </w: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Fixed Rates</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Rates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Fixed Rates</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Rates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Fixed Rates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Adjustable Rates</w:t>
            </w:r>
          </w:p>
        </w:tc>
        <w:tc>
          <w:tcPr>
            <w:tcW w:w="220" w:type="dxa"/>
            <w:vAlign w:val="bottom"/>
          </w:tcPr>
          <w:p>
            <w:pPr>
              <w:spacing w:after="0"/>
              <w:rPr>
                <w:sz w:val="15"/>
                <w:szCs w:val="15"/>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7"/>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08"/>
        </w:trPr>
        <w:tc>
          <w:tcPr>
            <w:tcW w:w="2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193,750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1,024,153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17,071</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317,617</w:t>
            </w:r>
          </w:p>
        </w:tc>
        <w:tc>
          <w:tcPr>
            <w:tcW w:w="100" w:type="dxa"/>
            <w:vAlign w:val="bottom"/>
          </w:tcPr>
          <w:p>
            <w:pPr>
              <w:spacing w:after="0"/>
              <w:rPr>
                <w:sz w:val="18"/>
                <w:szCs w:val="18"/>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2,637,802</w:t>
            </w:r>
          </w:p>
        </w:tc>
      </w:tr>
      <w:tr>
        <w:trPr>
          <w:trHeight w:val="159"/>
        </w:trPr>
        <w:tc>
          <w:tcPr>
            <w:tcW w:w="212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6"/>
                <w:szCs w:val="16"/>
                <w:color w:val="auto"/>
                <w:w w:val="99"/>
              </w:rPr>
              <w:t>Owner-occupied commercial</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0"/>
        </w:trPr>
        <w:tc>
          <w:tcPr>
            <w:tcW w:w="2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614,362</w:t>
            </w:r>
          </w:p>
        </w:tc>
      </w:tr>
      <w:tr>
        <w:trPr>
          <w:trHeight w:val="158"/>
        </w:trPr>
        <w:tc>
          <w:tcPr>
            <w:tcW w:w="212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rPr>
              <w:t>Acquisition, construction &amp;</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8"/>
        </w:trPr>
        <w:tc>
          <w:tcPr>
            <w:tcW w:w="2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development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465,537</w:t>
            </w:r>
          </w:p>
        </w:tc>
      </w:tr>
      <w:tr>
        <w:trPr>
          <w:trHeight w:val="212"/>
        </w:trPr>
        <w:tc>
          <w:tcPr>
            <w:tcW w:w="2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138,605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613,085</w:t>
            </w:r>
          </w:p>
        </w:tc>
      </w:tr>
      <w:tr>
        <w:trPr>
          <w:trHeight w:val="188"/>
        </w:trPr>
        <w:tc>
          <w:tcPr>
            <w:tcW w:w="21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commercial loans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271,798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1,354,012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664,188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4,330,786</w:t>
            </w:r>
          </w:p>
        </w:tc>
      </w:tr>
      <w:tr>
        <w:trPr>
          <w:trHeight w:val="159"/>
        </w:trPr>
        <w:tc>
          <w:tcPr>
            <w:tcW w:w="212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6"/>
                <w:szCs w:val="16"/>
                <w:color w:val="auto"/>
                <w:w w:val="98"/>
              </w:rPr>
              <w:t>Single family residential (1-4</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0"/>
        </w:trPr>
        <w:tc>
          <w:tcPr>
            <w:tcW w:w="2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1,173,749</w:t>
            </w:r>
          </w:p>
        </w:tc>
      </w:tr>
      <w:tr>
        <w:trPr>
          <w:trHeight w:val="158"/>
        </w:trPr>
        <w:tc>
          <w:tcPr>
            <w:tcW w:w="2120" w:type="dxa"/>
            <w:vAlign w:val="bottom"/>
          </w:tcPr>
          <w:p>
            <w:pPr>
              <w:ind w:left="240"/>
              <w:spacing w:after="0" w:line="158" w:lineRule="exact"/>
              <w:rPr>
                <w:sz w:val="20"/>
                <w:szCs w:val="20"/>
                <w:color w:val="auto"/>
              </w:rPr>
            </w:pPr>
            <w:r>
              <w:rPr>
                <w:rFonts w:ascii="Times New Roman" w:cs="Times New Roman" w:eastAsia="Times New Roman" w:hAnsi="Times New Roman"/>
                <w:sz w:val="16"/>
                <w:szCs w:val="16"/>
                <w:color w:val="auto"/>
              </w:rPr>
              <w:t>Consumer non-real estate</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8"/>
        </w:trPr>
        <w:tc>
          <w:tcPr>
            <w:tcW w:w="21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and other</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28,614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167,701</w:t>
            </w:r>
          </w:p>
        </w:tc>
      </w:tr>
      <w:tr>
        <w:trPr>
          <w:trHeight w:val="190"/>
        </w:trPr>
        <w:tc>
          <w:tcPr>
            <w:tcW w:w="2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296,385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562,020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1,421,139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672,984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538,610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659,399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512,533</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1,009,166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5,672,236</w:t>
            </w:r>
          </w:p>
        </w:tc>
      </w:tr>
    </w:tbl>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8"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Company’s asset quality remained strong through December 31, 2024. The Company’s non-performing assets, which includes non-performing loans consisting of non-accrual loans, loans that are more than 90 days past due and still accruing, and other real estate owned, as of December 31, 2024, and December 31, 2023, totaled $41.2 million and $3.7 million, respectively. The increase in the non-performing asset balance is mostly due to the effect of the Merger and the related increase in the loan portfolio as of December 31, 2024 when compared to December 31, 2023. In addition, the other real estate owned assets were entirely assumed as part of the Merger.</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December 31, 2024, and December 31, 2023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0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0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10"/>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8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0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bl>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 xml:space="preserve">Refer to the discussion in the “Critical Accounting Policies and Estimates” section above and </w:t>
      </w:r>
      <w:r>
        <w:rPr>
          <w:rFonts w:ascii="Times New Roman" w:cs="Times New Roman" w:eastAsia="Times New Roman" w:hAnsi="Times New Roman"/>
          <w:sz w:val="18"/>
          <w:szCs w:val="18"/>
          <w:u w:val="single" w:color="auto"/>
          <w:color w:val="0000FF"/>
        </w:rPr>
        <w:t>Note 1 — Nature of Business Activities and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management’s approach to estimating the allowance for credit losses.</w:t>
      </w:r>
    </w:p>
    <w:p>
      <w:pPr>
        <w:spacing w:after="0" w:line="117"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 xml:space="preserve">The Company maintains the ACL at a level deemed adequate by management for expected credit losses. As disclosed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in Notes to Consolidated Financial Statements, on January 1, 2023, the Company implemented CECL and increased the ACL, previously the allowance for credit losses, with a cumulative-effect adjustment to the ACL for credit losses of $4.4 million, which included a 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9"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Gross charged-off loans were $1.8 million, $0.2 million, and $3.5 million for the years ended December 31, 2024, December 31, 2023, and December 31, 2022, respectively. The increase in charge-offs during 2024, when compared to 2023, was due to the merger and the increase in the value of the loan portfolio. A majority of the charge-offs in 2022 related to a loan that the Company sold as part of a portfolio management strategy. Gross recoveries totaled $0.2 million, $0.1 million, and $0.2 million for the years ended December 31, 2024, December 31, 2023, and December 31, 2022, respectively. The ACL as a percentage of gross loans, net of unearned income, was 1.20%, 1.21%, and 1.11% as of December 31, 2024, December 31, 2023, and December 31, 2022, respectively.</w:t>
      </w:r>
    </w:p>
    <w:p>
      <w:pPr>
        <w:spacing w:after="0" w:line="104" w:lineRule="exact"/>
        <w:rPr>
          <w:sz w:val="20"/>
          <w:szCs w:val="20"/>
          <w:color w:val="auto"/>
        </w:rPr>
      </w:pPr>
    </w:p>
    <w:p>
      <w:pPr>
        <w:jc w:val="both"/>
        <w:ind w:firstLine="315"/>
        <w:spacing w:after="0" w:line="331" w:lineRule="auto"/>
        <w:rPr>
          <w:sz w:val="20"/>
          <w:szCs w:val="20"/>
          <w:color w:val="auto"/>
        </w:rPr>
      </w:pPr>
      <w:r>
        <w:rPr>
          <w:rFonts w:ascii="Times New Roman" w:cs="Times New Roman" w:eastAsia="Times New Roman" w:hAnsi="Times New Roman"/>
          <w:sz w:val="16"/>
          <w:szCs w:val="16"/>
          <w:color w:val="auto"/>
        </w:rPr>
        <w:t>The Company recorded a provision for credit losses of $20.5 million, a provision for credit losses of $0.2 million, and a provision recapture of credit losses of $7.5 million for the years ended December 31, 2024, December 31, 2023, and December 31, 2022, respectively. The increase in provision for the year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December 31, 2024 was due to the Merger and the requirement to record an immediate provision expense for loans classified as non-PCD versus PCD loans where the Company is allowed to establish an adjustment to the ACL.</w:t>
      </w:r>
    </w:p>
    <w:p>
      <w:pPr>
        <w:spacing w:after="0" w:line="117"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for the year ended December 31, 2024, and the changes in the Company’s allowance for loan losses for the years ended December 31, 2023, and December 31, 2022 (dollars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0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5,672,236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2,087,756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1,887,221</w:t>
            </w:r>
          </w:p>
        </w:tc>
      </w:tr>
      <w:tr>
        <w:trPr>
          <w:trHeight w:val="208"/>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Balance of allowance at beginning of year</w:t>
            </w:r>
          </w:p>
        </w:tc>
        <w:tc>
          <w:tcPr>
            <w:tcW w:w="380" w:type="dxa"/>
            <w:vAlign w:val="bottom"/>
          </w:tcPr>
          <w:p>
            <w:pPr>
              <w:spacing w:after="0"/>
              <w:rPr>
                <w:sz w:val="18"/>
                <w:szCs w:val="18"/>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(25,301)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(21,039)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(31,709)</w:t>
            </w:r>
          </w:p>
        </w:tc>
      </w:tr>
      <w:tr>
        <w:trPr>
          <w:trHeight w:val="21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CECL adjustment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Allowance established for acquired PCD loans</w:t>
            </w:r>
          </w:p>
        </w:tc>
        <w:tc>
          <w:tcPr>
            <w:tcW w:w="380" w:type="dxa"/>
            <w:vAlign w:val="bottom"/>
          </w:tcPr>
          <w:p>
            <w:pPr>
              <w:spacing w:after="0"/>
              <w:rPr>
                <w:sz w:val="18"/>
                <w:szCs w:val="18"/>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(23,910)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Loans charged-off</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3,282</w:t>
            </w:r>
          </w:p>
        </w:tc>
      </w:tr>
      <w:tr>
        <w:trPr>
          <w:trHeight w:val="212"/>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w:t>
            </w:r>
          </w:p>
        </w:tc>
      </w:tr>
      <w:tr>
        <w:trPr>
          <w:trHeight w:val="208"/>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Residential</w:t>
            </w: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148</w:t>
            </w:r>
          </w:p>
        </w:tc>
      </w:tr>
      <w:tr>
        <w:trPr>
          <w:trHeight w:val="201"/>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loans charged-off</w:t>
            </w:r>
          </w:p>
        </w:tc>
        <w:tc>
          <w:tcPr>
            <w:tcW w:w="380" w:type="dxa"/>
            <w:vAlign w:val="bottom"/>
          </w:tcPr>
          <w:p>
            <w:pPr>
              <w:spacing w:after="0"/>
              <w:rPr>
                <w:sz w:val="17"/>
                <w:szCs w:val="17"/>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1,807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3,450</w:t>
            </w:r>
          </w:p>
        </w:tc>
      </w:tr>
      <w:tr>
        <w:trPr>
          <w:trHeight w:val="21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Commercial real estate</w:t>
            </w: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w:t>
            </w:r>
          </w:p>
        </w:tc>
      </w:tr>
      <w:tr>
        <w:trPr>
          <w:trHeight w:val="212"/>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Residential</w:t>
            </w: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184</w:t>
            </w:r>
          </w:p>
        </w:tc>
      </w:tr>
      <w:tr>
        <w:trPr>
          <w:trHeight w:val="212"/>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w:t>
            </w:r>
          </w:p>
        </w:tc>
      </w:tr>
      <w:tr>
        <w:trPr>
          <w:trHeight w:val="201"/>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246</w:t>
            </w:r>
          </w:p>
        </w:tc>
      </w:tr>
      <w:tr>
        <w:trPr>
          <w:trHeight w:val="20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1,646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3,204</w:t>
            </w:r>
          </w:p>
        </w:tc>
      </w:tr>
      <w:tr>
        <w:trPr>
          <w:trHeight w:val="208"/>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20,475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(7,466)</w:t>
            </w:r>
          </w:p>
        </w:tc>
      </w:tr>
      <w:tr>
        <w:trPr>
          <w:trHeight w:val="20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allowance</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(68,040)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(21,039)</w:t>
            </w:r>
          </w:p>
        </w:tc>
      </w:tr>
      <w:tr>
        <w:trPr>
          <w:trHeight w:val="244"/>
        </w:trPr>
        <w:tc>
          <w:tcPr>
            <w:tcW w:w="6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5,684,348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2,007,030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1,773,883</w:t>
            </w:r>
          </w:p>
        </w:tc>
      </w:tr>
      <w:tr>
        <w:trPr>
          <w:trHeight w:val="210"/>
        </w:trPr>
        <w:tc>
          <w:tcPr>
            <w:tcW w:w="6040" w:type="dxa"/>
            <w:vAlign w:val="bottom"/>
          </w:tcPr>
          <w:p>
            <w:pPr>
              <w:spacing w:after="0" w:line="210" w:lineRule="exact"/>
              <w:rPr>
                <w:sz w:val="20"/>
                <w:szCs w:val="20"/>
                <w:color w:val="auto"/>
              </w:rPr>
            </w:pPr>
            <w:r>
              <w:rPr>
                <w:rFonts w:ascii="Times New Roman" w:cs="Times New Roman" w:eastAsia="Times New Roman" w:hAnsi="Times New Roman"/>
                <w:sz w:val="16"/>
                <w:szCs w:val="16"/>
                <w:color w:val="auto"/>
              </w:rPr>
              <w:t>Allowance coverage ratio</w:t>
            </w:r>
            <w:r>
              <w:rPr>
                <w:rFonts w:ascii="Times New Roman" w:cs="Times New Roman" w:eastAsia="Times New Roman" w:hAnsi="Times New Roman"/>
                <w:sz w:val="20"/>
                <w:szCs w:val="20"/>
                <w:color w:val="auto"/>
                <w:vertAlign w:val="superscript"/>
              </w:rPr>
              <w:t>(1)</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10"/>
        </w:trPr>
        <w:tc>
          <w:tcPr>
            <w:tcW w:w="60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Net charge-offs to average outstanding loans during the period</w:t>
            </w:r>
            <w:r>
              <w:rPr>
                <w:rFonts w:ascii="Times New Roman" w:cs="Times New Roman" w:eastAsia="Times New Roman" w:hAnsi="Times New Roman"/>
                <w:sz w:val="20"/>
                <w:szCs w:val="20"/>
                <w:color w:val="auto"/>
                <w:vertAlign w:val="superscript"/>
              </w:rPr>
              <w:t>(2)</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0.18</w:t>
            </w:r>
          </w:p>
        </w:tc>
      </w:tr>
      <w:tr>
        <w:trPr>
          <w:trHeight w:val="27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r>
              <w:rPr>
                <w:rFonts w:ascii="Times New Roman" w:cs="Times New Roman" w:eastAsia="Times New Roman" w:hAnsi="Times New Roman"/>
                <w:sz w:val="20"/>
                <w:szCs w:val="20"/>
                <w:color w:val="auto"/>
                <w:vertAlign w:val="superscript"/>
              </w:rPr>
              <w:t>(3)</w:t>
            </w:r>
          </w:p>
        </w:tc>
        <w:tc>
          <w:tcPr>
            <w:tcW w:w="380" w:type="dxa"/>
            <w:vAlign w:val="bottom"/>
          </w:tcPr>
          <w:p>
            <w:pPr>
              <w:spacing w:after="0"/>
              <w:rPr>
                <w:sz w:val="23"/>
                <w:szCs w:val="23"/>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177.34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675.77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382.74</w:t>
            </w: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320" w:hanging="315"/>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5" w:lineRule="exact"/>
        <w:rPr>
          <w:rFonts w:ascii="Times New Roman" w:cs="Times New Roman" w:eastAsia="Times New Roman" w:hAnsi="Times New Roman"/>
          <w:sz w:val="14"/>
          <w:szCs w:val="14"/>
          <w:color w:val="auto"/>
        </w:rPr>
      </w:pPr>
    </w:p>
    <w:p>
      <w:pPr>
        <w:ind w:left="320" w:hanging="315"/>
        <w:spacing w:after="0" w:line="254" w:lineRule="auto"/>
        <w:tabs>
          <w:tab w:leader="none" w:pos="3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ind w:left="320" w:hanging="315"/>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at the end of the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allowance for credit losses and total loans as of December 31, 2024, and December 31, 2023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180" w:type="dxa"/>
            <w:vAlign w:val="bottom"/>
          </w:tcPr>
          <w:p>
            <w:pPr>
              <w:spacing w:after="0"/>
              <w:rPr>
                <w:sz w:val="13"/>
                <w:szCs w:val="13"/>
                <w:color w:val="auto"/>
              </w:rPr>
            </w:pPr>
          </w:p>
        </w:tc>
        <w:tc>
          <w:tcPr>
            <w:tcW w:w="16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Allowance for credit</w:t>
            </w:r>
          </w:p>
        </w:tc>
        <w:tc>
          <w:tcPr>
            <w:tcW w:w="176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6"/>
                <w:szCs w:val="16"/>
                <w:b w:val="1"/>
                <w:bCs w:val="1"/>
                <w:color w:val="auto"/>
                <w:w w:val="97"/>
              </w:rPr>
              <w:t>Percent of Allowance in</w:t>
            </w:r>
          </w:p>
        </w:tc>
        <w:tc>
          <w:tcPr>
            <w:tcW w:w="16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Percent of Loans in</w:t>
            </w:r>
          </w:p>
        </w:tc>
        <w:tc>
          <w:tcPr>
            <w:tcW w:w="0" w:type="dxa"/>
            <w:vAlign w:val="bottom"/>
          </w:tcPr>
          <w:p>
            <w:pPr>
              <w:spacing w:after="0"/>
              <w:rPr>
                <w:sz w:val="1"/>
                <w:szCs w:val="1"/>
                <w:color w:val="auto"/>
              </w:rPr>
            </w:pPr>
          </w:p>
        </w:tc>
      </w:tr>
      <w:tr>
        <w:trPr>
          <w:trHeight w:val="158"/>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40" w:type="dxa"/>
            <w:vAlign w:val="bottom"/>
            <w:gridSpan w:val="3"/>
            <w:vMerge w:val="continue"/>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6"/>
              </w:rPr>
              <w:t>Each Category to Total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Each Category to Total</w:t>
            </w: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Allocated Allowance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04"/>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30,444</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44.75 %</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46.50 %</w:t>
            </w: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10.83</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25.55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0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0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 real estate and other</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78"/>
        </w:trPr>
        <w:tc>
          <w:tcPr>
            <w:tcW w:w="6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Allowance for loan</w:t>
            </w:r>
          </w:p>
        </w:tc>
        <w:tc>
          <w:tcPr>
            <w:tcW w:w="176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6"/>
                <w:szCs w:val="16"/>
                <w:b w:val="1"/>
                <w:bCs w:val="1"/>
                <w:color w:val="auto"/>
                <w:w w:val="97"/>
              </w:rPr>
              <w:t>Percent of Allowance in</w:t>
            </w:r>
          </w:p>
        </w:tc>
        <w:tc>
          <w:tcPr>
            <w:tcW w:w="16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Percent of Loans in</w:t>
            </w:r>
          </w:p>
        </w:tc>
        <w:tc>
          <w:tcPr>
            <w:tcW w:w="0" w:type="dxa"/>
            <w:vAlign w:val="bottom"/>
          </w:tcPr>
          <w:p>
            <w:pPr>
              <w:spacing w:after="0"/>
              <w:rPr>
                <w:sz w:val="1"/>
                <w:szCs w:val="1"/>
                <w:color w:val="auto"/>
              </w:rPr>
            </w:pPr>
          </w:p>
        </w:tc>
      </w:tr>
      <w:tr>
        <w:trPr>
          <w:trHeight w:val="158"/>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6"/>
              </w:rPr>
              <w:t>Each Category to Total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Each Category to Total</w:t>
            </w: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Allocated Allowance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04"/>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20,633</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81.56 %</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62.71 %</w:t>
            </w: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08"/>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 real estate and other</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are described more fully in </w:t>
      </w:r>
      <w:r>
        <w:rPr>
          <w:rFonts w:ascii="Times New Roman" w:cs="Times New Roman" w:eastAsia="Times New Roman" w:hAnsi="Times New Roman"/>
          <w:sz w:val="18"/>
          <w:szCs w:val="18"/>
          <w:u w:val="single" w:color="auto"/>
          <w:color w:val="0000FF"/>
        </w:rPr>
        <w:t>Note 13 — Derivatives</w:t>
      </w:r>
      <w:r>
        <w:rPr>
          <w:rFonts w:ascii="Times New Roman" w:cs="Times New Roman" w:eastAsia="Times New Roman" w:hAnsi="Times New Roman"/>
          <w:sz w:val="18"/>
          <w:szCs w:val="18"/>
          <w:color w:val="auto"/>
        </w:rPr>
        <w:t xml:space="preserve"> in Notes to Consolidated Financial Statements.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14—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 lines of credit from correspondent banking relationships. The Company also utilizes brokered time deposits. For more discussion of brokered time deposits, see the Deposits heading below this section.</w:t>
      </w:r>
    </w:p>
    <w:p>
      <w:pPr>
        <w:spacing w:after="0" w:line="134"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As of December 31, 2024, the Company has available unused borrowing capacity of $4.1 billion through its available lines of credit with the FHLB of Atlanta, the Federal Reserve Borrower-In-Custody Program line, and unsecured federal fund lines of credit from correspondent banking relationships.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short-term borrowings at year end 2024 and 2023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365,000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272,000</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 at end of period</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4.75 %</w:t>
            </w: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regarding long-term debt at year end 2024, and 2023, respectively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50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1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111,885</w:t>
            </w:r>
          </w:p>
        </w:tc>
        <w:tc>
          <w:tcPr>
            <w:tcW w:w="1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10.08%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Total deposits increased by $3.5 billion from December 31, 2024, to December 31, 2023, primarily driven by the Merger. The Company’s brokered deposits balance was $244.8 million and $389.0 million at December 31, 2024, and December 31, 2023, respectively. All of the Company’s brokered deposits are in the form of certificates of deposits that are insured by the FDIC. Excluding the brokered deposit balance, the total deposit balance increased by $3.7 billion from December 31, 2023 to December 31, 2024 mostly due to the completion of the Merger.</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balance of each category of deposits as of the dates indicated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 31, 2024</w:t>
            </w:r>
          </w:p>
        </w:tc>
        <w:tc>
          <w:tcPr>
            <w:tcW w:w="220" w:type="dxa"/>
            <w:vAlign w:val="bottom"/>
          </w:tcPr>
          <w:p>
            <w:pPr>
              <w:spacing w:after="0"/>
              <w:rPr>
                <w:sz w:val="18"/>
                <w:szCs w:val="18"/>
                <w:color w:val="auto"/>
              </w:rPr>
            </w:pPr>
          </w:p>
        </w:tc>
        <w:tc>
          <w:tcPr>
            <w:tcW w:w="13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 31, 2023</w:t>
            </w:r>
          </w:p>
        </w:tc>
      </w:tr>
      <w:tr>
        <w:trPr>
          <w:trHeight w:val="212"/>
        </w:trPr>
        <w:tc>
          <w:tcPr>
            <w:tcW w:w="8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220" w:type="dxa"/>
            <w:vAlign w:val="bottom"/>
          </w:tcPr>
          <w:p>
            <w:pPr>
              <w:spacing w:after="0"/>
              <w:rPr>
                <w:sz w:val="18"/>
                <w:szCs w:val="18"/>
                <w:color w:val="auto"/>
              </w:rPr>
            </w:pPr>
          </w:p>
        </w:tc>
        <w:tc>
          <w:tcPr>
            <w:tcW w:w="134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0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1,379,940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830,320</w:t>
            </w: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2,223,540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509,646</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1,658,480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925,853</w:t>
            </w: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389,011</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347,051</w:t>
            </w:r>
          </w:p>
        </w:tc>
      </w:tr>
      <w:tr>
        <w:trPr>
          <w:trHeight w:val="20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5,135,299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2,171,561</w:t>
            </w: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6,515,239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of $1.9 billion and $677.3 million at December 31, 2024, and December 31, 2023. The increase in uninsured deposits as of December 31, 2024 was due to the completion of the Merger and the related increase in total deposits. The Company does not have material deposit concentration risk to any significant market, industry or individual at December 31, 2024.</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December 31, 2024, that meet or exceed the FDIC insurance limit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 31, 2024</w:t>
            </w:r>
          </w:p>
        </w:tc>
      </w:tr>
      <w:tr>
        <w:trPr>
          <w:trHeight w:val="20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142,793</w:t>
            </w:r>
          </w:p>
        </w:tc>
      </w:tr>
      <w:tr>
        <w:trPr>
          <w:trHeight w:val="208"/>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105,330</w:t>
            </w:r>
          </w:p>
        </w:tc>
      </w:tr>
      <w:tr>
        <w:trPr>
          <w:trHeight w:val="21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27,708</w:t>
            </w:r>
          </w:p>
        </w:tc>
      </w:tr>
      <w:tr>
        <w:trPr>
          <w:trHeight w:val="20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8,569</w:t>
            </w:r>
          </w:p>
        </w:tc>
      </w:tr>
      <w:tr>
        <w:trPr>
          <w:trHeight w:val="20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284,400</w:t>
            </w:r>
          </w:p>
        </w:tc>
      </w:tr>
    </w:tbl>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Total shareholders’ equity at December 31, 2024, was $730.2 million, compared to $314.8 million at December 31, 2023. Shareholders’ equity increased by $415.4 million primarily due to the completion of the Merger. Additionally, accumulated other comprehensive loss decreased by $7.8 million as a result of an increase in the fair value of investment securities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spacing w:after="0" w:line="13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8"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3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hedge some or all of our interest rate risk will be successful. See </w:t>
      </w:r>
      <w:r>
        <w:rPr>
          <w:rFonts w:ascii="Times New Roman" w:cs="Times New Roman" w:eastAsia="Times New Roman" w:hAnsi="Times New Roman"/>
          <w:sz w:val="18"/>
          <w:szCs w:val="18"/>
          <w:u w:val="single" w:color="auto"/>
          <w:color w:val="0000FF"/>
        </w:rPr>
        <w:t>Note 13 — Derivatives</w:t>
      </w:r>
      <w:r>
        <w:rPr>
          <w:rFonts w:ascii="Times New Roman" w:cs="Times New Roman" w:eastAsia="Times New Roman" w:hAnsi="Times New Roman"/>
          <w:sz w:val="18"/>
          <w:szCs w:val="18"/>
          <w:color w:val="auto"/>
        </w:rPr>
        <w:t xml:space="preserve"> in Notes to Consolidated Financial Statements for a discussion of our hedging activity.</w:t>
      </w:r>
    </w:p>
    <w:p>
      <w:pPr>
        <w:spacing w:after="0" w:line="13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and through wholesale funding. Wholesale funding consists of, but is not limited to, borrowings with the FHLB, federal funds purchased, and brokered time deposits.</w:t>
      </w:r>
    </w:p>
    <w:p>
      <w:pPr>
        <w:spacing w:after="0" w:line="11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128"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34"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9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As of December 31, 2024</w:t>
            </w:r>
          </w:p>
        </w:tc>
        <w:tc>
          <w:tcPr>
            <w:tcW w:w="3740" w:type="dxa"/>
            <w:vAlign w:val="bottom"/>
          </w:tcPr>
          <w:p>
            <w:pPr>
              <w:jc w:val="right"/>
              <w:ind w:right="961"/>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12"/>
        </w:trPr>
        <w:tc>
          <w:tcPr>
            <w:tcW w:w="36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Change in Interest Rates (in Basis Points)</w:t>
            </w:r>
          </w:p>
        </w:tc>
        <w:tc>
          <w:tcPr>
            <w:tcW w:w="3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Percentage Change in Earnings</w:t>
            </w:r>
          </w:p>
        </w:tc>
        <w:tc>
          <w:tcPr>
            <w:tcW w:w="3740" w:type="dxa"/>
            <w:vAlign w:val="bottom"/>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Percentage Change in Earnings</w:t>
            </w:r>
          </w:p>
        </w:tc>
      </w:tr>
      <w:tr>
        <w:trPr>
          <w:trHeight w:val="205"/>
        </w:trPr>
        <w:tc>
          <w:tcPr>
            <w:tcW w:w="3580" w:type="dxa"/>
            <w:vAlign w:val="bottom"/>
            <w:tcBorders>
              <w:top w:val="single" w:sz="8" w:color="auto"/>
            </w:tcBorders>
            <w:shd w:val="clear" w:color="auto" w:fill="CCEEFF"/>
          </w:tcPr>
          <w:p>
            <w:pPr>
              <w:jc w:val="center"/>
              <w:ind w:left="3141"/>
              <w:spacing w:after="0"/>
              <w:rPr>
                <w:sz w:val="20"/>
                <w:szCs w:val="20"/>
                <w:color w:val="auto"/>
              </w:rPr>
            </w:pPr>
            <w:r>
              <w:rPr>
                <w:rFonts w:ascii="Times New Roman" w:cs="Times New Roman" w:eastAsia="Times New Roman" w:hAnsi="Times New Roman"/>
                <w:sz w:val="16"/>
                <w:szCs w:val="16"/>
                <w:color w:val="auto"/>
                <w:w w:val="99"/>
              </w:rPr>
              <w:t>200</w:t>
            </w:r>
          </w:p>
        </w:tc>
        <w:tc>
          <w:tcPr>
            <w:tcW w:w="8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ind w:left="3340"/>
              <w:spacing w:after="0"/>
              <w:rPr>
                <w:sz w:val="20"/>
                <w:szCs w:val="20"/>
                <w:color w:val="auto"/>
              </w:rPr>
            </w:pPr>
            <w:r>
              <w:rPr>
                <w:rFonts w:ascii="Times New Roman" w:cs="Times New Roman" w:eastAsia="Times New Roman" w:hAnsi="Times New Roman"/>
                <w:sz w:val="16"/>
                <w:szCs w:val="16"/>
                <w:color w:val="auto"/>
              </w:rPr>
              <w:t>0.9 %</w:t>
            </w:r>
          </w:p>
        </w:tc>
      </w:tr>
      <w:tr>
        <w:trPr>
          <w:trHeight w:val="208"/>
        </w:trPr>
        <w:tc>
          <w:tcPr>
            <w:tcW w:w="3580" w:type="dxa"/>
            <w:vAlign w:val="bottom"/>
          </w:tcPr>
          <w:p>
            <w:pPr>
              <w:jc w:val="center"/>
              <w:ind w:left="3141"/>
              <w:spacing w:after="0"/>
              <w:rPr>
                <w:sz w:val="20"/>
                <w:szCs w:val="20"/>
                <w:color w:val="auto"/>
              </w:rPr>
            </w:pPr>
            <w:r>
              <w:rPr>
                <w:rFonts w:ascii="Times New Roman" w:cs="Times New Roman" w:eastAsia="Times New Roman" w:hAnsi="Times New Roman"/>
                <w:sz w:val="16"/>
                <w:szCs w:val="16"/>
                <w:color w:val="auto"/>
                <w:w w:val="99"/>
              </w:rPr>
              <w:t>100</w:t>
            </w:r>
          </w:p>
        </w:tc>
        <w:tc>
          <w:tcPr>
            <w:tcW w:w="80" w:type="dxa"/>
            <w:vAlign w:val="bottom"/>
          </w:tcPr>
          <w:p>
            <w:pPr>
              <w:spacing w:after="0"/>
              <w:rPr>
                <w:sz w:val="18"/>
                <w:szCs w:val="18"/>
                <w:color w:val="auto"/>
              </w:rPr>
            </w:pPr>
          </w:p>
        </w:tc>
        <w:tc>
          <w:tcPr>
            <w:tcW w:w="3740" w:type="dxa"/>
            <w:vAlign w:val="bottom"/>
          </w:tcPr>
          <w:p>
            <w:pPr>
              <w:jc w:val="center"/>
              <w:ind w:left="3041"/>
              <w:spacing w:after="0"/>
              <w:rPr>
                <w:sz w:val="20"/>
                <w:szCs w:val="20"/>
                <w:color w:val="auto"/>
              </w:rPr>
            </w:pPr>
            <w:r>
              <w:rPr>
                <w:rFonts w:ascii="Times New Roman" w:cs="Times New Roman" w:eastAsia="Times New Roman" w:hAnsi="Times New Roman"/>
                <w:sz w:val="16"/>
                <w:szCs w:val="16"/>
                <w:color w:val="auto"/>
                <w:w w:val="97"/>
              </w:rPr>
              <w:t>(0.7)</w:t>
            </w:r>
          </w:p>
        </w:tc>
        <w:tc>
          <w:tcPr>
            <w:tcW w:w="80" w:type="dxa"/>
            <w:vAlign w:val="bottom"/>
          </w:tcPr>
          <w:p>
            <w:pPr>
              <w:spacing w:after="0"/>
              <w:rPr>
                <w:sz w:val="18"/>
                <w:szCs w:val="18"/>
                <w:color w:val="auto"/>
              </w:rPr>
            </w:pPr>
          </w:p>
        </w:tc>
        <w:tc>
          <w:tcPr>
            <w:tcW w:w="3740" w:type="dxa"/>
            <w:vAlign w:val="bottom"/>
          </w:tcPr>
          <w:p>
            <w:pPr>
              <w:ind w:left="3340"/>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3580" w:type="dxa"/>
            <w:vAlign w:val="bottom"/>
            <w:shd w:val="clear" w:color="auto" w:fill="CCEEFF"/>
          </w:tcPr>
          <w:p>
            <w:pPr>
              <w:jc w:val="center"/>
              <w:ind w:left="3081"/>
              <w:spacing w:after="0"/>
              <w:rPr>
                <w:sz w:val="20"/>
                <w:szCs w:val="20"/>
                <w:color w:val="auto"/>
              </w:rPr>
            </w:pPr>
            <w:r>
              <w:rPr>
                <w:rFonts w:ascii="Times New Roman" w:cs="Times New Roman" w:eastAsia="Times New Roman" w:hAnsi="Times New Roman"/>
                <w:sz w:val="16"/>
                <w:szCs w:val="16"/>
                <w:color w:val="auto"/>
                <w:w w:val="97"/>
              </w:rPr>
              <w:t>(100)</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center"/>
              <w:ind w:left="3061"/>
              <w:spacing w:after="0"/>
              <w:rPr>
                <w:sz w:val="20"/>
                <w:szCs w:val="20"/>
                <w:color w:val="auto"/>
              </w:rPr>
            </w:pPr>
            <w:r>
              <w:rPr>
                <w:rFonts w:ascii="Times New Roman" w:cs="Times New Roman" w:eastAsia="Times New Roman" w:hAnsi="Times New Roman"/>
                <w:sz w:val="16"/>
                <w:szCs w:val="16"/>
                <w:color w:val="auto"/>
                <w:w w:val="99"/>
              </w:rPr>
              <w:t>0.5</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w:t>
            </w:r>
          </w:p>
        </w:tc>
      </w:tr>
      <w:tr>
        <w:trPr>
          <w:trHeight w:val="208"/>
        </w:trPr>
        <w:tc>
          <w:tcPr>
            <w:tcW w:w="3580" w:type="dxa"/>
            <w:vAlign w:val="bottom"/>
          </w:tcPr>
          <w:p>
            <w:pPr>
              <w:jc w:val="center"/>
              <w:ind w:left="3081"/>
              <w:spacing w:after="0"/>
              <w:rPr>
                <w:sz w:val="20"/>
                <w:szCs w:val="20"/>
                <w:color w:val="auto"/>
              </w:rPr>
            </w:pPr>
            <w:r>
              <w:rPr>
                <w:rFonts w:ascii="Times New Roman" w:cs="Times New Roman" w:eastAsia="Times New Roman" w:hAnsi="Times New Roman"/>
                <w:sz w:val="16"/>
                <w:szCs w:val="16"/>
                <w:color w:val="auto"/>
                <w:w w:val="97"/>
              </w:rPr>
              <w:t>(200)</w:t>
            </w:r>
          </w:p>
        </w:tc>
        <w:tc>
          <w:tcPr>
            <w:tcW w:w="80" w:type="dxa"/>
            <w:vAlign w:val="bottom"/>
          </w:tcPr>
          <w:p>
            <w:pPr>
              <w:spacing w:after="0"/>
              <w:rPr>
                <w:sz w:val="18"/>
                <w:szCs w:val="18"/>
                <w:color w:val="auto"/>
              </w:rPr>
            </w:pPr>
          </w:p>
        </w:tc>
        <w:tc>
          <w:tcPr>
            <w:tcW w:w="3740" w:type="dxa"/>
            <w:vAlign w:val="bottom"/>
          </w:tcPr>
          <w:p>
            <w:pPr>
              <w:jc w:val="center"/>
              <w:ind w:left="3061"/>
              <w:spacing w:after="0"/>
              <w:rPr>
                <w:sz w:val="20"/>
                <w:szCs w:val="20"/>
                <w:color w:val="auto"/>
              </w:rPr>
            </w:pPr>
            <w:r>
              <w:rPr>
                <w:rFonts w:ascii="Times New Roman" w:cs="Times New Roman" w:eastAsia="Times New Roman" w:hAnsi="Times New Roman"/>
                <w:sz w:val="16"/>
                <w:szCs w:val="16"/>
                <w:color w:val="auto"/>
                <w:w w:val="99"/>
              </w:rPr>
              <w:t>0.5</w:t>
            </w:r>
          </w:p>
        </w:tc>
        <w:tc>
          <w:tcPr>
            <w:tcW w:w="80" w:type="dxa"/>
            <w:vAlign w:val="bottom"/>
          </w:tcPr>
          <w:p>
            <w:pPr>
              <w:spacing w:after="0"/>
              <w:rPr>
                <w:sz w:val="18"/>
                <w:szCs w:val="18"/>
                <w:color w:val="auto"/>
              </w:rPr>
            </w:pPr>
          </w:p>
        </w:tc>
        <w:tc>
          <w:tcPr>
            <w:tcW w:w="37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(0.8)</w:t>
            </w:r>
          </w:p>
        </w:tc>
      </w:tr>
      <w:tr>
        <w:trPr>
          <w:trHeight w:val="212"/>
        </w:trPr>
        <w:tc>
          <w:tcPr>
            <w:tcW w:w="3580" w:type="dxa"/>
            <w:vAlign w:val="bottom"/>
            <w:shd w:val="clear" w:color="auto" w:fill="CCEEFF"/>
          </w:tcPr>
          <w:p>
            <w:pPr>
              <w:jc w:val="center"/>
              <w:ind w:left="3081"/>
              <w:spacing w:after="0"/>
              <w:rPr>
                <w:sz w:val="20"/>
                <w:szCs w:val="20"/>
                <w:color w:val="auto"/>
              </w:rPr>
            </w:pPr>
            <w:r>
              <w:rPr>
                <w:rFonts w:ascii="Times New Roman" w:cs="Times New Roman" w:eastAsia="Times New Roman" w:hAnsi="Times New Roman"/>
                <w:sz w:val="16"/>
                <w:szCs w:val="16"/>
                <w:color w:val="auto"/>
                <w:w w:val="97"/>
              </w:rPr>
              <w:t>(300)</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center"/>
              <w:ind w:left="3061"/>
              <w:spacing w:after="0"/>
              <w:rPr>
                <w:sz w:val="20"/>
                <w:szCs w:val="20"/>
                <w:color w:val="auto"/>
              </w:rPr>
            </w:pPr>
            <w:r>
              <w:rPr>
                <w:rFonts w:ascii="Times New Roman" w:cs="Times New Roman" w:eastAsia="Times New Roman" w:hAnsi="Times New Roman"/>
                <w:sz w:val="16"/>
                <w:szCs w:val="16"/>
                <w:color w:val="auto"/>
                <w:w w:val="99"/>
              </w:rPr>
              <w:t>0.5</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(0.3)</w:t>
            </w:r>
          </w:p>
        </w:tc>
      </w:tr>
    </w:tbl>
    <w:p>
      <w:pPr>
        <w:spacing w:after="0" w:line="229" w:lineRule="exact"/>
        <w:rPr>
          <w:sz w:val="20"/>
          <w:szCs w:val="20"/>
          <w:color w:val="auto"/>
        </w:rPr>
      </w:pPr>
    </w:p>
    <w:p>
      <w:pPr>
        <w:jc w:val="both"/>
        <w:ind w:firstLine="315"/>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December 31, 2024, and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As of December 31, 2024</w:t>
            </w:r>
          </w:p>
        </w:tc>
        <w:tc>
          <w:tcPr>
            <w:tcW w:w="3740" w:type="dxa"/>
            <w:vAlign w:val="bottom"/>
          </w:tcPr>
          <w:p>
            <w:pPr>
              <w:jc w:val="right"/>
              <w:ind w:right="961"/>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12"/>
        </w:trPr>
        <w:tc>
          <w:tcPr>
            <w:tcW w:w="36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Change in Interest Rates (in Basis Points)</w:t>
            </w:r>
          </w:p>
        </w:tc>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Percentage Change in EVE</w:t>
            </w:r>
          </w:p>
        </w:tc>
        <w:tc>
          <w:tcPr>
            <w:tcW w:w="3740" w:type="dxa"/>
            <w:vAlign w:val="bottom"/>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Percentage Change in EVE</w:t>
            </w:r>
          </w:p>
        </w:tc>
      </w:tr>
      <w:tr>
        <w:trPr>
          <w:trHeight w:val="205"/>
        </w:trPr>
        <w:tc>
          <w:tcPr>
            <w:tcW w:w="3580" w:type="dxa"/>
            <w:vAlign w:val="bottom"/>
            <w:tcBorders>
              <w:top w:val="single" w:sz="8" w:color="auto"/>
            </w:tcBorders>
            <w:shd w:val="clear" w:color="auto" w:fill="CCEEFF"/>
          </w:tcPr>
          <w:p>
            <w:pPr>
              <w:jc w:val="center"/>
              <w:ind w:left="3141"/>
              <w:spacing w:after="0"/>
              <w:rPr>
                <w:sz w:val="20"/>
                <w:szCs w:val="20"/>
                <w:color w:val="auto"/>
              </w:rPr>
            </w:pPr>
            <w:r>
              <w:rPr>
                <w:rFonts w:ascii="Times New Roman" w:cs="Times New Roman" w:eastAsia="Times New Roman" w:hAnsi="Times New Roman"/>
                <w:sz w:val="16"/>
                <w:szCs w:val="16"/>
                <w:color w:val="auto"/>
                <w:w w:val="99"/>
              </w:rPr>
              <w:t>200</w:t>
            </w:r>
          </w:p>
        </w:tc>
        <w:tc>
          <w:tcPr>
            <w:tcW w:w="8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8"/>
        </w:trPr>
        <w:tc>
          <w:tcPr>
            <w:tcW w:w="3580" w:type="dxa"/>
            <w:vAlign w:val="bottom"/>
          </w:tcPr>
          <w:p>
            <w:pPr>
              <w:jc w:val="center"/>
              <w:ind w:left="3141"/>
              <w:spacing w:after="0"/>
              <w:rPr>
                <w:sz w:val="20"/>
                <w:szCs w:val="20"/>
                <w:color w:val="auto"/>
              </w:rPr>
            </w:pPr>
            <w:r>
              <w:rPr>
                <w:rFonts w:ascii="Times New Roman" w:cs="Times New Roman" w:eastAsia="Times New Roman" w:hAnsi="Times New Roman"/>
                <w:sz w:val="16"/>
                <w:szCs w:val="16"/>
                <w:color w:val="auto"/>
                <w:w w:val="99"/>
              </w:rPr>
              <w:t>100</w:t>
            </w:r>
          </w:p>
        </w:tc>
        <w:tc>
          <w:tcPr>
            <w:tcW w:w="80" w:type="dxa"/>
            <w:vAlign w:val="bottom"/>
          </w:tcPr>
          <w:p>
            <w:pPr>
              <w:spacing w:after="0"/>
              <w:rPr>
                <w:sz w:val="18"/>
                <w:szCs w:val="18"/>
                <w:color w:val="auto"/>
              </w:rPr>
            </w:pPr>
          </w:p>
        </w:tc>
        <w:tc>
          <w:tcPr>
            <w:tcW w:w="3740" w:type="dxa"/>
            <w:vAlign w:val="bottom"/>
          </w:tcPr>
          <w:p>
            <w:pPr>
              <w:jc w:val="center"/>
              <w:ind w:left="3041"/>
              <w:spacing w:after="0"/>
              <w:rPr>
                <w:sz w:val="20"/>
                <w:szCs w:val="20"/>
                <w:color w:val="auto"/>
              </w:rPr>
            </w:pPr>
            <w:r>
              <w:rPr>
                <w:rFonts w:ascii="Times New Roman" w:cs="Times New Roman" w:eastAsia="Times New Roman" w:hAnsi="Times New Roman"/>
                <w:sz w:val="16"/>
                <w:szCs w:val="16"/>
                <w:color w:val="auto"/>
                <w:w w:val="97"/>
              </w:rPr>
              <w:t>(3.6)</w:t>
            </w:r>
          </w:p>
        </w:tc>
        <w:tc>
          <w:tcPr>
            <w:tcW w:w="80" w:type="dxa"/>
            <w:vAlign w:val="bottom"/>
          </w:tcPr>
          <w:p>
            <w:pPr>
              <w:spacing w:after="0"/>
              <w:rPr>
                <w:sz w:val="18"/>
                <w:szCs w:val="18"/>
                <w:color w:val="auto"/>
              </w:rPr>
            </w:pPr>
          </w:p>
        </w:tc>
        <w:tc>
          <w:tcPr>
            <w:tcW w:w="37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3580" w:type="dxa"/>
            <w:vAlign w:val="bottom"/>
            <w:shd w:val="clear" w:color="auto" w:fill="CCEEFF"/>
          </w:tcPr>
          <w:p>
            <w:pPr>
              <w:jc w:val="center"/>
              <w:ind w:left="3081"/>
              <w:spacing w:after="0"/>
              <w:rPr>
                <w:sz w:val="20"/>
                <w:szCs w:val="20"/>
                <w:color w:val="auto"/>
              </w:rPr>
            </w:pPr>
            <w:r>
              <w:rPr>
                <w:rFonts w:ascii="Times New Roman" w:cs="Times New Roman" w:eastAsia="Times New Roman" w:hAnsi="Times New Roman"/>
                <w:sz w:val="16"/>
                <w:szCs w:val="16"/>
                <w:color w:val="auto"/>
                <w:w w:val="97"/>
              </w:rPr>
              <w:t>(100)</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center"/>
              <w:ind w:left="3061"/>
              <w:spacing w:after="0"/>
              <w:rPr>
                <w:sz w:val="20"/>
                <w:szCs w:val="20"/>
                <w:color w:val="auto"/>
              </w:rPr>
            </w:pPr>
            <w:r>
              <w:rPr>
                <w:rFonts w:ascii="Times New Roman" w:cs="Times New Roman" w:eastAsia="Times New Roman" w:hAnsi="Times New Roman"/>
                <w:sz w:val="16"/>
                <w:szCs w:val="16"/>
                <w:color w:val="auto"/>
                <w:w w:val="99"/>
              </w:rPr>
              <w:t>1.9</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w:t>
            </w:r>
          </w:p>
        </w:tc>
      </w:tr>
      <w:tr>
        <w:trPr>
          <w:trHeight w:val="208"/>
        </w:trPr>
        <w:tc>
          <w:tcPr>
            <w:tcW w:w="3580" w:type="dxa"/>
            <w:vAlign w:val="bottom"/>
          </w:tcPr>
          <w:p>
            <w:pPr>
              <w:jc w:val="center"/>
              <w:ind w:left="3081"/>
              <w:spacing w:after="0"/>
              <w:rPr>
                <w:sz w:val="20"/>
                <w:szCs w:val="20"/>
                <w:color w:val="auto"/>
              </w:rPr>
            </w:pPr>
            <w:r>
              <w:rPr>
                <w:rFonts w:ascii="Times New Roman" w:cs="Times New Roman" w:eastAsia="Times New Roman" w:hAnsi="Times New Roman"/>
                <w:sz w:val="16"/>
                <w:szCs w:val="16"/>
                <w:color w:val="auto"/>
                <w:w w:val="97"/>
              </w:rPr>
              <w:t>(200)</w:t>
            </w:r>
          </w:p>
        </w:tc>
        <w:tc>
          <w:tcPr>
            <w:tcW w:w="80" w:type="dxa"/>
            <w:vAlign w:val="bottom"/>
          </w:tcPr>
          <w:p>
            <w:pPr>
              <w:spacing w:after="0"/>
              <w:rPr>
                <w:sz w:val="18"/>
                <w:szCs w:val="18"/>
                <w:color w:val="auto"/>
              </w:rPr>
            </w:pPr>
          </w:p>
        </w:tc>
        <w:tc>
          <w:tcPr>
            <w:tcW w:w="3740" w:type="dxa"/>
            <w:vAlign w:val="bottom"/>
          </w:tcPr>
          <w:p>
            <w:pPr>
              <w:jc w:val="center"/>
              <w:ind w:left="3061"/>
              <w:spacing w:after="0"/>
              <w:rPr>
                <w:sz w:val="20"/>
                <w:szCs w:val="20"/>
                <w:color w:val="auto"/>
              </w:rPr>
            </w:pPr>
            <w:r>
              <w:rPr>
                <w:rFonts w:ascii="Times New Roman" w:cs="Times New Roman" w:eastAsia="Times New Roman" w:hAnsi="Times New Roman"/>
                <w:sz w:val="16"/>
                <w:szCs w:val="16"/>
                <w:color w:val="auto"/>
                <w:w w:val="99"/>
              </w:rPr>
              <w:t>0.5</w:t>
            </w:r>
          </w:p>
        </w:tc>
        <w:tc>
          <w:tcPr>
            <w:tcW w:w="80" w:type="dxa"/>
            <w:vAlign w:val="bottom"/>
          </w:tcPr>
          <w:p>
            <w:pPr>
              <w:spacing w:after="0"/>
              <w:rPr>
                <w:sz w:val="18"/>
                <w:szCs w:val="18"/>
                <w:color w:val="auto"/>
              </w:rPr>
            </w:pPr>
          </w:p>
        </w:tc>
        <w:tc>
          <w:tcPr>
            <w:tcW w:w="37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3580" w:type="dxa"/>
            <w:vAlign w:val="bottom"/>
            <w:shd w:val="clear" w:color="auto" w:fill="CCEEFF"/>
          </w:tcPr>
          <w:p>
            <w:pPr>
              <w:jc w:val="center"/>
              <w:ind w:left="3081"/>
              <w:spacing w:after="0"/>
              <w:rPr>
                <w:sz w:val="20"/>
                <w:szCs w:val="20"/>
                <w:color w:val="auto"/>
              </w:rPr>
            </w:pPr>
            <w:r>
              <w:rPr>
                <w:rFonts w:ascii="Times New Roman" w:cs="Times New Roman" w:eastAsia="Times New Roman" w:hAnsi="Times New Roman"/>
                <w:sz w:val="16"/>
                <w:szCs w:val="16"/>
                <w:color w:val="auto"/>
                <w:w w:val="97"/>
              </w:rPr>
              <w:t>(300)</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center"/>
              <w:ind w:left="3041"/>
              <w:spacing w:after="0"/>
              <w:rPr>
                <w:sz w:val="20"/>
                <w:szCs w:val="20"/>
                <w:color w:val="auto"/>
              </w:rPr>
            </w:pPr>
            <w:r>
              <w:rPr>
                <w:rFonts w:ascii="Times New Roman" w:cs="Times New Roman" w:eastAsia="Times New Roman" w:hAnsi="Times New Roman"/>
                <w:sz w:val="16"/>
                <w:szCs w:val="16"/>
                <w:color w:val="auto"/>
                <w:w w:val="97"/>
              </w:rPr>
              <w:t>(3.4)</w:t>
            </w:r>
          </w:p>
        </w:tc>
        <w:tc>
          <w:tcPr>
            <w:tcW w:w="80" w:type="dxa"/>
            <w:vAlign w:val="bottom"/>
            <w:shd w:val="clear" w:color="auto" w:fill="CCEEFF"/>
          </w:tcPr>
          <w:p>
            <w:pPr>
              <w:spacing w:after="0"/>
              <w:rPr>
                <w:sz w:val="18"/>
                <w:szCs w:val="18"/>
                <w:color w:val="auto"/>
              </w:rPr>
            </w:pPr>
          </w:p>
        </w:tc>
        <w:tc>
          <w:tcPr>
            <w:tcW w:w="37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Audited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10360" w:type="dxa"/>
            <w:vAlign w:val="bottom"/>
            <w:gridSpan w:val="8"/>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No.: 173)</w:t>
            </w:r>
          </w:p>
        </w:tc>
        <w:tc>
          <w:tcPr>
            <w:tcW w:w="860" w:type="dxa"/>
            <w:vAlign w:val="bottom"/>
            <w:gridSpan w:val="3"/>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8"/>
                <w:szCs w:val="18"/>
                <w:color w:val="0000FF"/>
              </w:rPr>
              <w:t>83</w:t>
            </w:r>
          </w:p>
        </w:tc>
      </w:tr>
      <w:tr>
        <w:trPr>
          <w:trHeight w:val="39"/>
        </w:trPr>
        <w:tc>
          <w:tcPr>
            <w:tcW w:w="20" w:type="dxa"/>
            <w:vAlign w:val="bottom"/>
            <w:shd w:val="clear" w:color="auto" w:fill="CCEEFF"/>
          </w:tcPr>
          <w:p>
            <w:pPr>
              <w:spacing w:after="0"/>
              <w:rPr>
                <w:sz w:val="3"/>
                <w:szCs w:val="3"/>
                <w:color w:val="auto"/>
              </w:rPr>
            </w:pPr>
          </w:p>
        </w:tc>
        <w:tc>
          <w:tcPr>
            <w:tcW w:w="332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3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860" w:type="dxa"/>
            <w:vAlign w:val="bottom"/>
            <w:gridSpan w:val="3"/>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84</w:t>
            </w:r>
          </w:p>
        </w:tc>
      </w:tr>
      <w:tr>
        <w:trPr>
          <w:trHeight w:val="30"/>
        </w:trPr>
        <w:tc>
          <w:tcPr>
            <w:tcW w:w="20" w:type="dxa"/>
            <w:vAlign w:val="bottom"/>
          </w:tcPr>
          <w:p>
            <w:pPr>
              <w:spacing w:after="0"/>
              <w:rPr>
                <w:sz w:val="2"/>
                <w:szCs w:val="2"/>
                <w:color w:val="auto"/>
              </w:rPr>
            </w:pPr>
          </w:p>
        </w:tc>
        <w:tc>
          <w:tcPr>
            <w:tcW w:w="33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652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6"/>
              </w:rPr>
              <w:t>Consolidated Statements of Income for the Years Ended December 31, 2024, 2023, and 2022</w:t>
            </w:r>
          </w:p>
        </w:tc>
        <w:tc>
          <w:tcPr>
            <w:tcW w:w="3840" w:type="dxa"/>
            <w:vAlign w:val="bottom"/>
            <w:gridSpan w:val="4"/>
            <w:shd w:val="clear" w:color="auto" w:fill="CCEEFF"/>
          </w:tcPr>
          <w:p>
            <w:pPr>
              <w:spacing w:after="0"/>
              <w:rPr>
                <w:sz w:val="16"/>
                <w:szCs w:val="16"/>
                <w:color w:val="auto"/>
              </w:rPr>
            </w:pPr>
          </w:p>
        </w:tc>
        <w:tc>
          <w:tcPr>
            <w:tcW w:w="860" w:type="dxa"/>
            <w:vAlign w:val="bottom"/>
            <w:gridSpan w:val="3"/>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85</w:t>
            </w:r>
          </w:p>
        </w:tc>
      </w:tr>
      <w:tr>
        <w:trPr>
          <w:trHeight w:val="39"/>
        </w:trPr>
        <w:tc>
          <w:tcPr>
            <w:tcW w:w="20" w:type="dxa"/>
            <w:vAlign w:val="bottom"/>
            <w:shd w:val="clear" w:color="auto" w:fill="CCEEFF"/>
          </w:tcPr>
          <w:p>
            <w:pPr>
              <w:spacing w:after="0"/>
              <w:rPr>
                <w:sz w:val="3"/>
                <w:szCs w:val="3"/>
                <w:color w:val="auto"/>
              </w:rPr>
            </w:pPr>
          </w:p>
        </w:tc>
        <w:tc>
          <w:tcPr>
            <w:tcW w:w="332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96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103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2024, 2023, and 2022</w:t>
            </w:r>
          </w:p>
        </w:tc>
        <w:tc>
          <w:tcPr>
            <w:tcW w:w="860" w:type="dxa"/>
            <w:vAlign w:val="bottom"/>
            <w:gridSpan w:val="3"/>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86</w:t>
            </w:r>
          </w:p>
        </w:tc>
      </w:tr>
      <w:tr>
        <w:trPr>
          <w:trHeight w:val="30"/>
        </w:trPr>
        <w:tc>
          <w:tcPr>
            <w:tcW w:w="20" w:type="dxa"/>
            <w:vAlign w:val="bottom"/>
          </w:tcPr>
          <w:p>
            <w:pPr>
              <w:spacing w:after="0"/>
              <w:rPr>
                <w:sz w:val="2"/>
                <w:szCs w:val="2"/>
                <w:color w:val="auto"/>
              </w:rPr>
            </w:pPr>
          </w:p>
        </w:tc>
        <w:tc>
          <w:tcPr>
            <w:tcW w:w="33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8300" w:type="dxa"/>
            <w:vAlign w:val="bottom"/>
            <w:gridSpan w:val="7"/>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6"/>
              </w:rPr>
              <w:t>Consolidated Statements of Changes in Shareholders’ Equity for the Years Ended December 31, 2024, 2023, and 2022</w:t>
            </w:r>
          </w:p>
        </w:tc>
        <w:tc>
          <w:tcPr>
            <w:tcW w:w="20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87</w:t>
            </w:r>
          </w:p>
        </w:tc>
      </w:tr>
      <w:tr>
        <w:trPr>
          <w:trHeight w:val="39"/>
        </w:trPr>
        <w:tc>
          <w:tcPr>
            <w:tcW w:w="20" w:type="dxa"/>
            <w:vAlign w:val="bottom"/>
            <w:shd w:val="clear" w:color="auto" w:fill="CCEEFF"/>
          </w:tcPr>
          <w:p>
            <w:pPr>
              <w:spacing w:after="0"/>
              <w:rPr>
                <w:sz w:val="3"/>
                <w:szCs w:val="3"/>
                <w:color w:val="auto"/>
              </w:rPr>
            </w:pPr>
          </w:p>
        </w:tc>
        <w:tc>
          <w:tcPr>
            <w:tcW w:w="332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19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682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0000FF"/>
                <w:w w:val="96"/>
              </w:rPr>
              <w:t>Consolidated Statements of Cash Flows for the Years Ended December 31, 2024, 2023, and 2022</w:t>
            </w:r>
          </w:p>
        </w:tc>
        <w:tc>
          <w:tcPr>
            <w:tcW w:w="1480" w:type="dxa"/>
            <w:vAlign w:val="bottom"/>
            <w:gridSpan w:val="2"/>
          </w:tcPr>
          <w:p>
            <w:pPr>
              <w:spacing w:after="0"/>
              <w:rPr>
                <w:sz w:val="15"/>
                <w:szCs w:val="15"/>
                <w:color w:val="auto"/>
              </w:rPr>
            </w:pPr>
          </w:p>
        </w:tc>
        <w:tc>
          <w:tcPr>
            <w:tcW w:w="2060" w:type="dxa"/>
            <w:vAlign w:val="bottom"/>
          </w:tcPr>
          <w:p>
            <w:pPr>
              <w:spacing w:after="0"/>
              <w:rPr>
                <w:sz w:val="15"/>
                <w:szCs w:val="15"/>
                <w:color w:val="auto"/>
              </w:rPr>
            </w:pPr>
          </w:p>
        </w:tc>
        <w:tc>
          <w:tcPr>
            <w:tcW w:w="860" w:type="dxa"/>
            <w:vAlign w:val="bottom"/>
            <w:gridSpan w:val="3"/>
          </w:tcPr>
          <w:p>
            <w:pPr>
              <w:jc w:val="right"/>
              <w:ind w:right="20"/>
              <w:spacing w:after="0" w:line="184" w:lineRule="exact"/>
              <w:rPr>
                <w:sz w:val="20"/>
                <w:szCs w:val="20"/>
                <w:color w:val="auto"/>
              </w:rPr>
            </w:pPr>
            <w:r>
              <w:rPr>
                <w:rFonts w:ascii="Times New Roman" w:cs="Times New Roman" w:eastAsia="Times New Roman" w:hAnsi="Times New Roman"/>
                <w:sz w:val="18"/>
                <w:szCs w:val="18"/>
                <w:color w:val="0000FF"/>
              </w:rPr>
              <w:t>88</w:t>
            </w:r>
          </w:p>
        </w:tc>
      </w:tr>
      <w:tr>
        <w:trPr>
          <w:trHeight w:val="30"/>
        </w:trPr>
        <w:tc>
          <w:tcPr>
            <w:tcW w:w="20" w:type="dxa"/>
            <w:vAlign w:val="bottom"/>
          </w:tcPr>
          <w:p>
            <w:pPr>
              <w:spacing w:after="0"/>
              <w:rPr>
                <w:sz w:val="2"/>
                <w:szCs w:val="2"/>
                <w:color w:val="auto"/>
              </w:rPr>
            </w:pPr>
          </w:p>
        </w:tc>
        <w:tc>
          <w:tcPr>
            <w:tcW w:w="33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9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68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540" w:type="dxa"/>
            <w:vAlign w:val="bottom"/>
            <w:gridSpan w:val="3"/>
            <w:shd w:val="clear" w:color="auto" w:fill="CCEEFF"/>
          </w:tcPr>
          <w:p>
            <w:pPr>
              <w:spacing w:after="0"/>
              <w:rPr>
                <w:sz w:val="16"/>
                <w:szCs w:val="16"/>
                <w:color w:val="auto"/>
              </w:rPr>
            </w:pPr>
          </w:p>
        </w:tc>
        <w:tc>
          <w:tcPr>
            <w:tcW w:w="860" w:type="dxa"/>
            <w:vAlign w:val="bottom"/>
            <w:gridSpan w:val="3"/>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90</w:t>
            </w:r>
          </w:p>
        </w:tc>
      </w:tr>
      <w:tr>
        <w:trPr>
          <w:trHeight w:val="39"/>
        </w:trPr>
        <w:tc>
          <w:tcPr>
            <w:tcW w:w="20" w:type="dxa"/>
            <w:vAlign w:val="bottom"/>
            <w:shd w:val="clear" w:color="auto" w:fill="CCEEFF"/>
          </w:tcPr>
          <w:p>
            <w:pPr>
              <w:spacing w:after="0"/>
              <w:rPr>
                <w:sz w:val="3"/>
                <w:szCs w:val="3"/>
                <w:color w:val="auto"/>
              </w:rPr>
            </w:pPr>
          </w:p>
        </w:tc>
        <w:tc>
          <w:tcPr>
            <w:tcW w:w="332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30480</wp:posOffset>
            </wp:positionV>
            <wp:extent cx="1250315" cy="3835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50315"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3"/>
          <w:szCs w:val="13"/>
          <w:color w:val="auto"/>
        </w:rPr>
        <w:t>Crowe LLP</w:t>
      </w:r>
    </w:p>
    <w:p>
      <w:pPr>
        <w:ind w:left="8800"/>
        <w:spacing w:after="0"/>
        <w:rPr>
          <w:sz w:val="20"/>
          <w:szCs w:val="20"/>
          <w:color w:val="auto"/>
        </w:rPr>
      </w:pPr>
      <w:r>
        <w:rPr>
          <w:rFonts w:ascii="Times New Roman" w:cs="Times New Roman" w:eastAsia="Times New Roman" w:hAnsi="Times New Roman"/>
          <w:sz w:val="11"/>
          <w:szCs w:val="11"/>
          <w:color w:val="auto"/>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Burke &amp; Herbert Financial Services Corp.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Alexandria, Virginia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Burke &amp; Herbert Financial Services Corp. (the "Company") as of December 31, 2024 and 2023, the related consolidated statements of income, comprehensive income (loss), changes in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Principal</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has changed its method of accounting for credit losses effective January 1, 2023, due to the adoption of Financial Accounting Standards Board (FASB) Accounting Standards Codification No.326, Financial Instruments – Credit Losses (ASC 326). The Company adopted the new credit loss standard using the modified retrospective method such that prior period amounts are not adjusted and continue to be reported in accordance with previously applicable generally accepted accounting principles.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/s/Crowe LLP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 with banks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44,498</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1,432,371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at cost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 at fair value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2,087,756</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5,604,196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2,062,455</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61,128</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94,159</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83,544</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3,617,579</w:t>
            </w:r>
          </w:p>
        </w:tc>
        <w:tc>
          <w:tcPr>
            <w:tcW w:w="0" w:type="dxa"/>
            <w:vAlign w:val="bottom"/>
          </w:tcPr>
          <w:p>
            <w:pPr>
              <w:spacing w:after="0"/>
              <w:rPr>
                <w:sz w:val="1"/>
                <w:szCs w:val="1"/>
                <w:color w:val="auto"/>
              </w:rPr>
            </w:pPr>
          </w:p>
        </w:tc>
      </w:tr>
      <w:tr>
        <w:trPr>
          <w:trHeight w:val="179"/>
        </w:trPr>
        <w:tc>
          <w:tcPr>
            <w:tcW w:w="8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1,379,940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830,320</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5,135,299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2,171,561</w:t>
            </w: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6,515,239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3,001,881</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272,000</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interest and other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28,948</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7,082,028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3,302,829</w:t>
            </w:r>
          </w:p>
        </w:tc>
        <w:tc>
          <w:tcPr>
            <w:tcW w:w="0" w:type="dxa"/>
            <w:vAlign w:val="bottom"/>
          </w:tcPr>
          <w:p>
            <w:pPr>
              <w:spacing w:after="0"/>
              <w:rPr>
                <w:sz w:val="1"/>
                <w:szCs w:val="1"/>
                <w:color w:val="auto"/>
              </w:rPr>
            </w:pPr>
          </w:p>
        </w:tc>
      </w:tr>
      <w:tr>
        <w:trPr>
          <w:trHeight w:val="179"/>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14)</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Preferred stock and related surplus, $1.00 par value per share; 2,000,000 shares authorized; 1,500 shares issued and</w:t>
            </w: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at December 31, 2024, zero shares issued and outstanding at December 31, 2023</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158"/>
        </w:trPr>
        <w:tc>
          <w:tcPr>
            <w:tcW w:w="802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$0.50 par value; 40,000,000 shares authorized, 15,540,394 shares issued and 14,969,104 shares outstanding at December 31,</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 20,000,000 shares authorized, 8,000,000 shares issued and 7,428,710 shares outstanding at December 31, 2023</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additional paid-in capital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14,495</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427,333</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571,290 shares, at cost, at December 31, 2024, and 571,290 shares, at cost, at December 31, 2023</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730,157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314,750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7,812,185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3,617,579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loans, including fees</w:t>
            </w:r>
          </w:p>
        </w:tc>
        <w:tc>
          <w:tcPr>
            <w:tcW w:w="96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6"/>
              </w:rPr>
              <w:t>311,303</w:t>
            </w:r>
          </w:p>
        </w:tc>
        <w:tc>
          <w:tcPr>
            <w:tcW w:w="80" w:type="dxa"/>
            <w:vAlign w:val="bottom"/>
          </w:tcPr>
          <w:p>
            <w:pPr>
              <w:spacing w:after="0"/>
              <w:rPr>
                <w:sz w:val="18"/>
                <w:szCs w:val="18"/>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101,800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73,640</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loans, including fees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39,817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29,616</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10,243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8,940</w:t>
            </w:r>
          </w:p>
        </w:tc>
      </w:tr>
      <w:tr>
        <w:trPr>
          <w:trHeight w:val="208"/>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income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4,680</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0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366,161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146,896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112,633</w:t>
            </w: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118,664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14,189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7,412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140,376</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53,137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r>
      <w:tr>
        <w:trPr>
          <w:trHeight w:val="20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6"/>
              </w:rPr>
              <w:t>225,785</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103,692</w:t>
            </w:r>
          </w:p>
        </w:tc>
      </w:tr>
      <w:tr>
        <w:trPr>
          <w:trHeight w:val="179"/>
        </w:trPr>
        <w:tc>
          <w:tcPr>
            <w:tcW w:w="6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loans and available-for-sale securities</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20,475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(7,466)</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expense (recapture) - off-balance sheet credit exposures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3,745</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provision for (recapture of) credit losses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24,220</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(7,466)</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credit loss expense</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201,565</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111,158</w:t>
            </w:r>
          </w:p>
        </w:tc>
      </w:tr>
      <w:tr>
        <w:trPr>
          <w:trHeight w:val="179"/>
        </w:trPr>
        <w:tc>
          <w:tcPr>
            <w:tcW w:w="6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8,411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15,594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6,855</w:t>
            </w: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4,686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r>
      <w:tr>
        <w:trPr>
          <w:trHeight w:val="208"/>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6,118</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36,166</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17,087</w:t>
            </w:r>
          </w:p>
        </w:tc>
      </w:tr>
      <w:tr>
        <w:trPr>
          <w:trHeight w:val="179"/>
        </w:trPr>
        <w:tc>
          <w:tcPr>
            <w:tcW w:w="6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77,089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39,438</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17,186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11,577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23,174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w:t>
            </w:r>
          </w:p>
        </w:tc>
      </w:tr>
      <w:tr>
        <w:trPr>
          <w:trHeight w:val="208"/>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68,807</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17,419</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197,833</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75,946</w:t>
            </w:r>
          </w:p>
        </w:tc>
      </w:tr>
      <w:tr>
        <w:trPr>
          <w:trHeight w:val="179"/>
        </w:trPr>
        <w:tc>
          <w:tcPr>
            <w:tcW w:w="6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39,898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52,299</w:t>
            </w: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w:t>
            </w:r>
          </w:p>
        </w:tc>
      </w:tr>
      <w:tr>
        <w:trPr>
          <w:trHeight w:val="199"/>
        </w:trPr>
        <w:tc>
          <w:tcPr>
            <w:tcW w:w="6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35,708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44,013</w:t>
            </w:r>
          </w:p>
        </w:tc>
      </w:tr>
      <w:tr>
        <w:trPr>
          <w:trHeight w:val="21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applicable to common shares</w:t>
            </w: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35,033</w:t>
            </w:r>
          </w:p>
        </w:tc>
        <w:tc>
          <w:tcPr>
            <w:tcW w:w="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22,692</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44,013</w:t>
            </w:r>
          </w:p>
        </w:tc>
      </w:tr>
      <w:tr>
        <w:trPr>
          <w:trHeight w:val="192"/>
        </w:trPr>
        <w:tc>
          <w:tcPr>
            <w:tcW w:w="6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8"/>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0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spacing w:after="0"/>
              <w:rPr>
                <w:sz w:val="17"/>
                <w:szCs w:val="17"/>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4" w:lineRule="exact"/>
        <w:rPr>
          <w:sz w:val="20"/>
          <w:szCs w:val="20"/>
          <w:color w:val="auto"/>
        </w:rPr>
      </w:pPr>
    </w:p>
    <w:p>
      <w:pPr>
        <w:jc w:val="both"/>
        <w:ind w:left="7000"/>
        <w:spacing w:after="0"/>
        <w:tabs>
          <w:tab w:leader="none" w:pos="8640" w:val="left"/>
          <w:tab w:leader="none" w:pos="102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149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7" w:lineRule="exact"/>
        <w:rPr>
          <w:sz w:val="20"/>
          <w:szCs w:val="20"/>
          <w:color w:val="auto"/>
        </w:rPr>
      </w:pPr>
    </w:p>
    <w:p>
      <w:pPr>
        <w:ind w:left="20"/>
        <w:spacing w:after="0"/>
        <w:tabs>
          <w:tab w:leader="none" w:pos="636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Unrealized gains (losses)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41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ind w:left="400" w:right="460" w:hanging="156"/>
        <w:spacing w:after="0" w:line="228" w:lineRule="auto"/>
        <w:rPr>
          <w:sz w:val="20"/>
          <w:szCs w:val="20"/>
          <w:color w:val="auto"/>
        </w:rPr>
      </w:pPr>
      <w:r>
        <w:rPr>
          <w:rFonts w:ascii="Times New Roman" w:cs="Times New Roman" w:eastAsia="Times New Roman" w:hAnsi="Times New Roman"/>
          <w:sz w:val="18"/>
          <w:szCs w:val="18"/>
          <w:color w:val="auto"/>
        </w:rPr>
        <w:t>Unrealized gain (loss) arising during period, net of tax of $(1,903) for 2024, $(8,721) for 2023, and $38,333 for 2022</w:t>
      </w:r>
    </w:p>
    <w:p>
      <w:pPr>
        <w:spacing w:after="0" w:line="9" w:lineRule="exact"/>
        <w:rPr>
          <w:sz w:val="20"/>
          <w:szCs w:val="20"/>
          <w:color w:val="auto"/>
        </w:rPr>
      </w:pPr>
    </w:p>
    <w:p>
      <w:pPr>
        <w:ind w:left="400" w:right="540" w:hanging="156"/>
        <w:spacing w:after="0" w:line="231" w:lineRule="auto"/>
        <w:rPr>
          <w:sz w:val="20"/>
          <w:szCs w:val="20"/>
          <w:color w:val="auto"/>
        </w:rPr>
      </w:pPr>
      <w:r>
        <w:rPr>
          <w:rFonts w:ascii="Times New Roman" w:cs="Times New Roman" w:eastAsia="Times New Roman" w:hAnsi="Times New Roman"/>
          <w:sz w:val="18"/>
          <w:szCs w:val="18"/>
          <w:color w:val="auto"/>
        </w:rPr>
        <w:t>Reclassification adjustment for loss (gain) on securities, net of tax of $312 for 2024, $(24) for 2023, and ($95)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36130" cy="2584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58445"/>
                    </a:xfrm>
                    <a:prstGeom prst="rect">
                      <a:avLst/>
                    </a:prstGeom>
                    <a:noFill/>
                  </pic:spPr>
                </pic:pic>
              </a:graphicData>
            </a:graphic>
          </wp:anchor>
        </w:drawing>
      </w:r>
    </w:p>
    <w:p>
      <w:pPr>
        <w:ind w:left="400" w:right="600" w:hanging="156"/>
        <w:spacing w:after="0" w:line="231" w:lineRule="auto"/>
        <w:rPr>
          <w:sz w:val="20"/>
          <w:szCs w:val="20"/>
          <w:color w:val="auto"/>
        </w:rPr>
      </w:pPr>
      <w:r>
        <w:rPr>
          <w:rFonts w:ascii="Times New Roman" w:cs="Times New Roman" w:eastAsia="Times New Roman" w:hAnsi="Times New Roman"/>
          <w:sz w:val="18"/>
          <w:szCs w:val="18"/>
          <w:color w:val="auto"/>
        </w:rPr>
        <w:t>Reclassification adjustment for loss (gain) on fair value hedge, net of tax of $37 for 2024, $(215) for 2023, and $— for 2022</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6130" cy="141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 w:lineRule="exact"/>
        <w:rPr>
          <w:sz w:val="20"/>
          <w:szCs w:val="20"/>
          <w:color w:val="auto"/>
        </w:rPr>
      </w:pPr>
    </w:p>
    <w:p>
      <w:pPr>
        <w:ind w:left="400" w:right="480" w:hanging="156"/>
        <w:spacing w:after="0" w:line="228" w:lineRule="auto"/>
        <w:rPr>
          <w:sz w:val="20"/>
          <w:szCs w:val="20"/>
          <w:color w:val="auto"/>
        </w:rPr>
      </w:pPr>
      <w:r>
        <w:rPr>
          <w:rFonts w:ascii="Times New Roman" w:cs="Times New Roman" w:eastAsia="Times New Roman" w:hAnsi="Times New Roman"/>
          <w:sz w:val="18"/>
          <w:szCs w:val="18"/>
          <w:color w:val="auto"/>
        </w:rPr>
        <w:t>Changes in pension plan benefits, net of tax of $(349) for 2024, ($342) for 2023, and $263 for 2022</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Unrealized gain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6130" cy="141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 w:lineRule="exact"/>
        <w:rPr>
          <w:sz w:val="20"/>
          <w:szCs w:val="20"/>
          <w:color w:val="auto"/>
        </w:rPr>
      </w:pPr>
    </w:p>
    <w:p>
      <w:pPr>
        <w:ind w:left="400" w:right="460" w:hanging="156"/>
        <w:spacing w:after="0" w:line="228" w:lineRule="auto"/>
        <w:rPr>
          <w:sz w:val="20"/>
          <w:szCs w:val="20"/>
          <w:color w:val="auto"/>
        </w:rPr>
      </w:pPr>
      <w:r>
        <w:rPr>
          <w:rFonts w:ascii="Times New Roman" w:cs="Times New Roman" w:eastAsia="Times New Roman" w:hAnsi="Times New Roman"/>
          <w:sz w:val="18"/>
          <w:szCs w:val="18"/>
          <w:color w:val="auto"/>
        </w:rPr>
        <w:t>Unrealized holding gain (loss) on cash flow hedge, net of tax of $(920) for 2024, $75 for 2023, and $457 for 2022</w:t>
      </w:r>
    </w:p>
    <w:p>
      <w:pPr>
        <w:spacing w:after="0" w:line="9" w:lineRule="exact"/>
        <w:rPr>
          <w:sz w:val="20"/>
          <w:szCs w:val="20"/>
          <w:color w:val="auto"/>
        </w:rPr>
      </w:pPr>
    </w:p>
    <w:p>
      <w:pPr>
        <w:ind w:left="400" w:right="680" w:hanging="156"/>
        <w:spacing w:after="0" w:line="231" w:lineRule="auto"/>
        <w:rPr>
          <w:sz w:val="20"/>
          <w:szCs w:val="20"/>
          <w:color w:val="auto"/>
        </w:rPr>
      </w:pPr>
      <w:r>
        <w:rPr>
          <w:rFonts w:ascii="Times New Roman" w:cs="Times New Roman" w:eastAsia="Times New Roman" w:hAnsi="Times New Roman"/>
          <w:sz w:val="18"/>
          <w:szCs w:val="18"/>
          <w:color w:val="auto"/>
        </w:rPr>
        <w:t>Reclassification adjustment for losses (gains) included in net income, net of tax of $502 for 2024, $(367) for 2023, and $(35)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36130" cy="258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58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2"/>
              </w:rPr>
              <w:t>35,708</w:t>
            </w:r>
          </w:p>
        </w:tc>
        <w:tc>
          <w:tcPr>
            <w:tcW w:w="5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44,013</w:t>
            </w:r>
          </w:p>
        </w:tc>
      </w:tr>
      <w:tr>
        <w:trPr>
          <w:trHeight w:val="846"/>
        </w:trPr>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6,372</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(144,209)</w:t>
            </w:r>
          </w:p>
        </w:tc>
      </w:tr>
      <w:tr>
        <w:trPr>
          <w:trHeight w:val="407"/>
        </w:trPr>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5"/>
              </w:rPr>
              <w:t>(1,045)</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407"/>
        </w:trPr>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30"/>
        </w:trPr>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1,169</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630"/>
        </w:trPr>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3,082</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407"/>
        </w:trPr>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5"/>
              </w:rPr>
              <w:t>(1,681)</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1" w:lineRule="exact"/>
        <w:rPr>
          <w:sz w:val="20"/>
          <w:szCs w:val="20"/>
          <w:color w:val="auto"/>
        </w:rPr>
      </w:pPr>
    </w:p>
    <w:p>
      <w:pPr>
        <w:sectPr>
          <w:pgSz w:w="11900" w:h="16838" w:orient="portrait"/>
          <w:cols w:equalWidth="0" w:num="2">
            <w:col w:w="6660" w:space="720"/>
            <w:col w:w="38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5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8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(146,450)</w:t>
            </w:r>
          </w:p>
        </w:tc>
      </w:tr>
      <w:tr>
        <w:trPr>
          <w:trHeight w:val="216"/>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43,482</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(102,437)</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9"/>
                <w:szCs w:val="9"/>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9"/>
                <w:szCs w:val="9"/>
                <w:color w:val="auto"/>
              </w:rPr>
            </w:pP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Surplus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7,423,760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396,120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(27,822)</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389,627</w:t>
            </w:r>
          </w:p>
        </w:tc>
        <w:tc>
          <w:tcPr>
            <w:tcW w:w="0" w:type="dxa"/>
            <w:vAlign w:val="bottom"/>
          </w:tcPr>
          <w:p>
            <w:pPr>
              <w:spacing w:after="0"/>
              <w:rPr>
                <w:sz w:val="1"/>
                <w:szCs w:val="1"/>
                <w:color w:val="auto"/>
              </w:rPr>
            </w:pPr>
          </w:p>
        </w:tc>
      </w:tr>
      <w:tr>
        <w:trPr>
          <w:trHeight w:val="19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44,013</w:t>
            </w: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(146,450)</w:t>
            </w:r>
          </w:p>
        </w:tc>
        <w:tc>
          <w:tcPr>
            <w:tcW w:w="0" w:type="dxa"/>
            <w:vAlign w:val="bottom"/>
          </w:tcPr>
          <w:p>
            <w:pPr>
              <w:spacing w:after="0"/>
              <w:rPr>
                <w:sz w:val="1"/>
                <w:szCs w:val="1"/>
                <w:color w:val="auto"/>
              </w:rPr>
            </w:pPr>
          </w:p>
        </w:tc>
      </w:tr>
      <w:tr>
        <w:trPr>
          <w:trHeight w:val="135"/>
        </w:trPr>
        <w:tc>
          <w:tcPr>
            <w:tcW w:w="23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(Purchase) sale of treasury stock,</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8"/>
        </w:trPr>
        <w:tc>
          <w:tcPr>
            <w:tcW w:w="2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dividends, declared</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(15,742)</w:t>
            </w:r>
          </w:p>
        </w:tc>
        <w:tc>
          <w:tcPr>
            <w:tcW w:w="0" w:type="dxa"/>
            <w:vAlign w:val="bottom"/>
          </w:tcPr>
          <w:p>
            <w:pPr>
              <w:spacing w:after="0"/>
              <w:rPr>
                <w:sz w:val="1"/>
                <w:szCs w:val="1"/>
                <w:color w:val="auto"/>
              </w:rPr>
            </w:pPr>
          </w:p>
        </w:tc>
      </w:tr>
      <w:tr>
        <w:trPr>
          <w:trHeight w:val="135"/>
        </w:trPr>
        <w:tc>
          <w:tcPr>
            <w:tcW w:w="23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0" w:type="dxa"/>
            <w:vAlign w:val="bottom"/>
          </w:tcPr>
          <w:p>
            <w:pPr>
              <w:spacing w:after="0"/>
              <w:rPr>
                <w:sz w:val="1"/>
                <w:szCs w:val="1"/>
                <w:color w:val="auto"/>
              </w:rPr>
            </w:pPr>
          </w:p>
        </w:tc>
      </w:tr>
      <w:tr>
        <w:trPr>
          <w:trHeight w:val="188"/>
        </w:trPr>
        <w:tc>
          <w:tcPr>
            <w:tcW w:w="2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7,425,760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424,391</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273,453</w:t>
            </w:r>
          </w:p>
        </w:tc>
        <w:tc>
          <w:tcPr>
            <w:tcW w:w="0" w:type="dxa"/>
            <w:vAlign w:val="bottom"/>
          </w:tcPr>
          <w:p>
            <w:pPr>
              <w:spacing w:after="0"/>
              <w:rPr>
                <w:sz w:val="1"/>
                <w:szCs w:val="1"/>
                <w:color w:val="auto"/>
              </w:rPr>
            </w:pPr>
          </w:p>
        </w:tc>
      </w:tr>
      <w:tr>
        <w:trPr>
          <w:trHeight w:val="183"/>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22,692</w:t>
            </w: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CECL adjustment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19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36,001</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(Purchase) sale of treasury stock,</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dividends, declared</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(16,298)</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19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427,333</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(103,494)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314,750</w:t>
            </w:r>
          </w:p>
        </w:tc>
        <w:tc>
          <w:tcPr>
            <w:tcW w:w="0" w:type="dxa"/>
            <w:vAlign w:val="bottom"/>
          </w:tcPr>
          <w:p>
            <w:pPr>
              <w:spacing w:after="0"/>
              <w:rPr>
                <w:sz w:val="1"/>
                <w:szCs w:val="1"/>
                <w:color w:val="auto"/>
              </w:rPr>
            </w:pPr>
          </w:p>
        </w:tc>
      </w:tr>
      <w:tr>
        <w:trPr>
          <w:trHeight w:val="197"/>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35,708</w:t>
            </w:r>
          </w:p>
        </w:tc>
        <w:tc>
          <w:tcPr>
            <w:tcW w:w="0" w:type="dxa"/>
            <w:vAlign w:val="bottom"/>
          </w:tcPr>
          <w:p>
            <w:pPr>
              <w:spacing w:after="0"/>
              <w:rPr>
                <w:sz w:val="1"/>
                <w:szCs w:val="1"/>
                <w:color w:val="auto"/>
              </w:rPr>
            </w:pPr>
          </w:p>
        </w:tc>
      </w:tr>
      <w:tr>
        <w:trPr>
          <w:trHeight w:val="135"/>
        </w:trPr>
        <w:tc>
          <w:tcPr>
            <w:tcW w:w="23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Acquisition of Summit Financial</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7,405,772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383,329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397,445</w:t>
            </w:r>
          </w:p>
        </w:tc>
        <w:tc>
          <w:tcPr>
            <w:tcW w:w="0" w:type="dxa"/>
            <w:vAlign w:val="bottom"/>
          </w:tcPr>
          <w:p>
            <w:pPr>
              <w:spacing w:after="0"/>
              <w:rPr>
                <w:sz w:val="1"/>
                <w:szCs w:val="1"/>
                <w:color w:val="auto"/>
              </w:rPr>
            </w:pPr>
          </w:p>
        </w:tc>
      </w:tr>
      <w:tr>
        <w:trPr>
          <w:trHeight w:val="188"/>
        </w:trPr>
        <w:tc>
          <w:tcPr>
            <w:tcW w:w="2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Group, Inc.</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0" w:type="dxa"/>
            <w:vAlign w:val="bottom"/>
          </w:tcPr>
          <w:p>
            <w:pPr>
              <w:spacing w:after="0"/>
              <w:rPr>
                <w:sz w:val="1"/>
                <w:szCs w:val="1"/>
                <w:color w:val="auto"/>
              </w:rPr>
            </w:pPr>
          </w:p>
        </w:tc>
      </w:tr>
      <w:tr>
        <w:trPr>
          <w:trHeight w:val="135"/>
        </w:trPr>
        <w:tc>
          <w:tcPr>
            <w:tcW w:w="23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(Purchase) sale of treasury stock,</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Cash dividends, paid and accrued</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(28,260)</w:t>
            </w:r>
          </w:p>
        </w:tc>
        <w:tc>
          <w:tcPr>
            <w:tcW w:w="0" w:type="dxa"/>
            <w:vAlign w:val="bottom"/>
          </w:tcPr>
          <w:p>
            <w:pPr>
              <w:spacing w:after="0"/>
              <w:rPr>
                <w:sz w:val="1"/>
                <w:szCs w:val="1"/>
                <w:color w:val="auto"/>
              </w:rPr>
            </w:pPr>
          </w:p>
        </w:tc>
      </w:tr>
      <w:tr>
        <w:trPr>
          <w:trHeight w:val="135"/>
        </w:trPr>
        <w:tc>
          <w:tcPr>
            <w:tcW w:w="23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Preferred stock cash dividends,</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188"/>
        </w:trPr>
        <w:tc>
          <w:tcPr>
            <w:tcW w:w="2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declared</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00" w:type="dxa"/>
            <w:vAlign w:val="bottom"/>
            <w:shd w:val="clear" w:color="auto" w:fill="CCEEFF"/>
          </w:tcPr>
          <w:p>
            <w:pPr>
              <w:ind w:left="240"/>
              <w:spacing w:after="0" w:line="141"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0" w:type="dxa"/>
            <w:vAlign w:val="bottom"/>
          </w:tcPr>
          <w:p>
            <w:pPr>
              <w:spacing w:after="0"/>
              <w:rPr>
                <w:sz w:val="1"/>
                <w:szCs w:val="1"/>
                <w:color w:val="auto"/>
              </w:rPr>
            </w:pPr>
          </w:p>
        </w:tc>
      </w:tr>
      <w:tr>
        <w:trPr>
          <w:trHeight w:val="19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14,969,104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401,172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434,106</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730,157</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firstLine="5"/>
        <w:spacing w:after="0" w:line="289" w:lineRule="auto"/>
        <w:tabs>
          <w:tab w:leader="none" w:pos="161"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Cash dividends, paid and accrued for the year ending December 31, 2024, include dividends paid of $28.0 million and $299.0 thousand of dividends accrued on share-based compensation but unpaid as of December 31, 2024.</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63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of fixed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other 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on assumed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Accretion income related to acquired loans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housing tax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6,147</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Realized (gain) loss on sales of available-for-sale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Realized (gain) on sales of OREO property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company-owned life insurance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Accretion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Repayment of 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 on loans held-for-sale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sales of loans held-for-sale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Change in fair value of loans held-for-sale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Originations of loans held-for-sale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decrease in accrued interest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in accrued interest payable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r>
      <w:tr>
        <w:trPr>
          <w:trHeight w:val="216"/>
        </w:trPr>
        <w:tc>
          <w:tcPr>
            <w:tcW w:w="63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61,057</w:t>
            </w:r>
          </w:p>
        </w:tc>
      </w:tr>
      <w:tr>
        <w:trPr>
          <w:trHeight w:val="295"/>
        </w:trPr>
        <w:tc>
          <w:tcPr>
            <w:tcW w:w="6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Proceeds from maturities, prepayments, and calls of securities available-for-sale,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213,596</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sales of securities available-for-sale,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195,907</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Purchases of securities available-for-sale,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(367,615)</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from merger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Sales of restricted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Purchases of restricted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(27,081)</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sales of OREO properties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company-owned life insurance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decrease in loans made to customers,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(151,352)</w:t>
            </w:r>
          </w:p>
        </w:tc>
      </w:tr>
      <w:tr>
        <w:trPr>
          <w:trHeight w:val="221"/>
        </w:trPr>
        <w:tc>
          <w:tcPr>
            <w:tcW w:w="6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123,557</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3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increase (decrease) in non-interest-bearing accounts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29,845</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increase (decrease) in interest-bearing accounts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(42,862)</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 (decrease) in other short-term borrowings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68,100</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Repayment of finance lease liabilities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employee stock purchase program</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dividends paid</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Treasury stock transactions</w:t>
            </w:r>
          </w:p>
        </w:tc>
        <w:tc>
          <w:tcPr>
            <w:tcW w:w="4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3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(118,540)</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39,286</w:t>
            </w:r>
          </w:p>
        </w:tc>
      </w:tr>
      <w:tr>
        <w:trPr>
          <w:trHeight w:val="216"/>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Beginning of year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77,363</w:t>
            </w:r>
          </w:p>
        </w:tc>
      </w:tr>
      <w:tr>
        <w:trPr>
          <w:trHeight w:val="216"/>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End of year</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50,295</w:t>
            </w:r>
          </w:p>
        </w:tc>
      </w:tr>
      <w:tr>
        <w:trPr>
          <w:trHeight w:val="334"/>
        </w:trPr>
        <w:tc>
          <w:tcPr>
            <w:tcW w:w="6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for:</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paid to depositors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paid on short-term borrowings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paid on subordinated debt and trust preferred securities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paid on finance lease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available-for-sale securities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(182,088)</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pension plan benefits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arising from obtaining right-of-use assets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 &amp; equipment transferred to property held-for-sale</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portfolio loans to loans held-for-sale</w:t>
            </w:r>
          </w:p>
        </w:tc>
        <w:tc>
          <w:tcPr>
            <w:tcW w:w="4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19,594</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of sale from loans held-for-sale</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for merger, net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issued for merger, net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assets purchased in merger</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liabilities assumed in merger</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principles of consolidation</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Burke &amp; Herbert Financial Services Corp. (“Burke &amp; Herbert”) and its wholly-owned subsidiary Burke &amp; Herbert Bank &amp; Trust Company (“the Bank”), together referred to as “the Company” for purposes of the Notes to the Financial Statements. Intercompany transactions and balances are eliminated in consolidation.</w:t>
      </w:r>
    </w:p>
    <w:p>
      <w:pPr>
        <w:spacing w:after="0" w:line="128"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Burke &amp; Herbert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Burke &amp; Herbert. Burke &amp; Herbert has no material operations other than owning the Bank. In September 2023, the Burke &amp; Herbert elected to become a financial holding company under the BHCA. As a financial holding company of a Virginia state bank, Burke &amp; Herbert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77 branches and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Effective on the Closing Date, Burke &amp; Herbert completed the Merger with Summit, pursuant to the August 24, 2023 Merger Agreement.</w:t>
      </w:r>
    </w:p>
    <w:p>
      <w:pPr>
        <w:spacing w:after="0" w:line="16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with Burke &amp; Herbert as the surviving entity, and (ii) immediately following the Merger, SCB merged with and into the Bank, with the Bank as the surviving bank.</w:t>
      </w:r>
    </w:p>
    <w:p>
      <w:pPr>
        <w:spacing w:after="0" w:line="117"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the Summit Series 2021 Preferred Stock issued and outstanding was converted into the right to receive a share of the newly created Burke &amp; Herbert Series 2021 Preferred Stock. Summit’s results of operations are included from the Closing Date forward.</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5"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To prepare financial statements in conformity with U.S. generally accepted accounting principles (“GAAP”), management makes estimates and assumptions based on available information that affects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cash flows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For purposes of reporting cash flows, cash and cash equivalents include cash on hand and amounts due from banks, including cash items in process of clearing with maturities fewer than 90 days. Cash flows from customer loans, federal funds purchased, securities sold under agreements to repurchase, and deposits are reported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Restriction on cash</w:t>
      </w:r>
    </w:p>
    <w:p>
      <w:pPr>
        <w:spacing w:after="0" w:line="1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No reserve balances were required at December 31, 2024, and December 31, 2023. There was no reserve requirement with the Federal Reserve as of December 31, 2024, or December 31, 2023.</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Management determines the appropriate classification of debt securities at the time of purchase. Debt securities that the Company has both the positive intent and ability to hold to maturity are classified as held to maturity and are reported at cost, adjusted for amortization of premiums and accretion of discounts. Debt securities that the Company intends to hold for an indefinite period of time, but not necessarily to maturity, are classified as available-for-sale and are reported at fair value. Unrealized gains and losses on investments classified as available-for-sale have been accounted for as a separate component of accumulated other comprehensive income or loss, net of the related deferred tax effect.</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Interest income includes amortization of purchase premium or discount. Premiums and discounts on securities are recognized in interest income over the terms of the securities. Any decision to sell a security classified as available-for-sale would be based on various factors, including significant movements in interest rates, changes in the maturity mix of the Company’s assets and liabilities, liquidity needs, regulatory capital considerations, and other similar factors. Gains and losses on the sale of securities are recorded on the trade date and are determined using the specific identification method.</w:t>
      </w:r>
    </w:p>
    <w:p>
      <w:pPr>
        <w:spacing w:after="0" w:line="13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 debt security is placed on non-accrual status at the time any principal or interest payments become more than 90 days delinquent. Interest accrued but not received for a security placed on non-accrual is reversed against interest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(“ACL”) - available-for-sale debt securities</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Management evaluates all available-for-sale (“AFS”) debt securities in an unrealized loss position on a quarterly basis, and more frequently when economic or market conditions warrant such evaluation.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w:t>
      </w:r>
    </w:p>
    <w:p>
      <w:pPr>
        <w:spacing w:after="0" w:line="13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ACL is recognized in other comprehensive income.</w:t>
      </w:r>
    </w:p>
    <w:p>
      <w:pPr>
        <w:spacing w:after="0" w:line="13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Changes in the ACL are recorded as credit loss expense (or recapture). Losses are charged against the allowance when management believes the uncollectibility of an AFS security is confirmed or when either of the criteria regarding intent or requirement to sell is met.</w:t>
      </w:r>
    </w:p>
    <w:p>
      <w:pPr>
        <w:spacing w:after="0" w:line="117" w:lineRule="exact"/>
        <w:rPr>
          <w:sz w:val="20"/>
          <w:szCs w:val="20"/>
          <w:color w:val="auto"/>
        </w:rPr>
      </w:pPr>
    </w:p>
    <w:p>
      <w:pPr>
        <w:ind w:left="320" w:right="700"/>
        <w:spacing w:after="0" w:line="426" w:lineRule="auto"/>
        <w:rPr>
          <w:sz w:val="20"/>
          <w:szCs w:val="20"/>
          <w:color w:val="auto"/>
        </w:rPr>
      </w:pPr>
      <w:r>
        <w:rPr>
          <w:rFonts w:ascii="Times New Roman" w:cs="Times New Roman" w:eastAsia="Times New Roman" w:hAnsi="Times New Roman"/>
          <w:sz w:val="18"/>
          <w:szCs w:val="18"/>
          <w:color w:val="auto"/>
        </w:rPr>
        <w:t xml:space="preserve">Accrued interest receivable on AFS debt securities totaled $10.3 million at December 31, 2024, and is excluded from the estimate of credit losses. </w:t>
      </w:r>
      <w:r>
        <w:rPr>
          <w:rFonts w:ascii="Times New Roman" w:cs="Times New Roman" w:eastAsia="Times New Roman" w:hAnsi="Times New Roman"/>
          <w:sz w:val="18"/>
          <w:szCs w:val="18"/>
          <w:b w:val="1"/>
          <w:bCs w:val="1"/>
          <w:i w:val="1"/>
          <w:iCs w:val="1"/>
          <w:color w:val="auto"/>
        </w:rPr>
        <w:t>Equity securities</w:t>
      </w: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Equity securities are carried at fair value with changes in fair value reported in net income. Equity securities without readily determinable fair values are carried at cost, minus impairment, if any, plus or minus changes resulting from observable price changes in orderly transactions for the identical, or a similar,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Due to the nature of, and restrictions placed upon, certain equity securities have been classified as restricted stock and are carried at cost. These equity securities are not subject to the classifications above.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 commitments and related financial instruments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 held-for-sale</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Loans held-for-sale are those loans the Company has the intent to sell in the foreseeable future. The Company has elected to use the fair value accounting option (“FVO”) for loans held-for-sale. Gains and losses on sales of loans are recognized at settlement dates and are determined by the difference between the sales proceeds and the fair value of the loans. All sales are made without recourse and are sold with servicing released.</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Company enters into commitments to originate loans whereby the interest rate on the loan is determined prior to funding (interest rate lock commitments). Interest rate lock commitments on mortgage loans to be held-for-sale are accounted for as free-standing derivatives. The period of time between issuance of a loan commitment and closing and sale of the loan generally ranges from 15 to 90 days. The Company protects itself from changes in interest rates through the use of best-efforts forward delivery commitments, whereby the Company commits to sell a loan at the time the borrower commits to an interest rate with the intent that the buyer has assumed interest rate risk on the loan. As a result, the Company is not exposed to significant losses, nor will it realize significant gains related to rate lock commitments due to changes in interest rates. The Company has elected to use the FVO for best effort forward sales commitments.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At the inception of a derivative contract, the Company designates the derivative as one of three types based on the Company’s intentions and belief as to the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attributable to the hedged risk, are recognized in current earnings as respective fair values changes. For a cash flow hedge, the gain or loss on the derivative is reported in other comprehensive income and is reclassified into earnings in the same periods during which the hedged transaction affects earnings. Changes in the fair value of derivatives not designated or that do not qualify for hedge accounting are reported currently in earnings as non-interest income.</w:t>
      </w:r>
    </w:p>
    <w:p>
      <w:pPr>
        <w:spacing w:after="0" w:line="13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Accrued settlements on derivatives that qualify for hedge accounting are recorded in interest income or interest expense based on the item being hedged. Accrued settlements on derivatives not designated or that do not qualify for hedge accounting are reported in non-interest income. Cash flows on hedges are classified in the cash flow statement the same as the cash flows of the items being hedged.</w:t>
      </w:r>
    </w:p>
    <w:p>
      <w:pPr>
        <w:spacing w:after="0" w:line="128"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probable, a hedged firm commitment is no longer firm, or treatment of the derivative as a hedge is no longer appropriate or intended.</w:t>
      </w:r>
    </w:p>
    <w:p>
      <w:pPr>
        <w:spacing w:after="0" w:line="161"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probable of occurring, gains or losses that were accumulated in other comprehensive income are amortized into earnings over the same periods in which the hedged transactions will affect earnings.</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is exposed to losses if a counterparty fails to make its payments under a contract in which the Company is in the net receiving position. The Company anticipates that the counterparties will be able to fully satisfy their obligations under the agreements. All of the contracts to which the Company is a party settle monthly or quarterly. In addition, the Company obtains collateral above certain thresholds of the fair value of its derivatives for each dealer counterparty based upon their credit standing and the Company has netting agreements with the dealers with which it does business.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Loans that the Company has the intent and ability to hold for the foreseeable future or until maturity or payoff are reported at their outstanding unpaid principal balances, adjusted for partial charge-offs, the allowance for credit losses, and any deferred fees and costs on originated loans. Accrued interest receivable totaled $24.1 million on the Consolidated Balance Sheets and is excluded from the estimate of credit losses. Interest income is accrued on the unpaid principal balance. Loan origination fees, net of certain direct original costs, are deferred and recognized in interest income using the level-yield method without anticipating prepayments.</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For all loan portfolio segments, the accrual of interest income is discontinued at the time the loan becomes 90 days delinquent, unless the loan is well-secured and in process of collection. Loans also are placed on non-accrual if collection of principal or interest is considered impaired. Past-due status is based on the contractual terms of the loan. In all cases, loans are placed on nonaccrual or charged-off at an earlier date if collection of principal or interest is considered doubtful.</w:t>
      </w:r>
    </w:p>
    <w:p>
      <w:pPr>
        <w:spacing w:after="0" w:line="13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All interest income accrued, but not received, for loans placed on non-accrual is reversed against interest income. Interest income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For all portfolio segments, loans are returned to accrual status when all the principal and interest amounts contractually due are brought current, a history of on-time payments has again been established, and future payments are reasonably assured.</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credit risk</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Substantially all of the Company’s loans and commitments have been granted to customers in the Company’s market area; therefore, the Company’s exposure to credit risk is significantly affected by changes in the market area’s economy. Our customers are general depositors of the Company from the same market area. Some investments in state and municipal securities also involve governmental entities within the Company’s market area. The distribution of commitments to extend credit approximates the distribution of loans outstanding.</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 loans</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allowance for credit losses, in management’s judgement, reflects expected credit losses in the loan portfolio as of the balance sheet date. The estimate for expected credit losses is based on the evaluation of the size and current risk characteristics of the loan portfolio, past events, current conditions, reasonable and supportable forecasts of future economic conditions, and prepayment experience as related to credit contractual term information. The ACL is measured and recorded upon the initial recognition of a financial asset. The ACL is reduced by charge-offs, net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recoveries of previous losses, and is increased or decreased by a provision for (or recapture of) credit losses, which is recorded in the Consolidated Statements of Income.</w:t>
      </w:r>
    </w:p>
    <w:p>
      <w:pPr>
        <w:spacing w:after="0" w:line="11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ACL for expected credit losses is determined based on a quantitative assessment of two categories of loans: collectively evaluated loans and individually evaluated loans. In addition, the ACL also includes a qualitative component which adjusts the CECL model for risk factors that are not considered within the CECL model, but are relevant in assessing the expected credit losses within the loan portfolio.</w:t>
      </w:r>
    </w:p>
    <w:p>
      <w:pPr>
        <w:spacing w:after="0" w:line="128"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Company is using a remaining useful life or weighted average remaining maturity (“WARM”) methodology to estimate its current expected credit losses. For purposes of calculating reserves in collectively evaluated loans, the ACL calculation segments the Company’s loan portfolio using federal call codes to group loans which share similar risk characteristics. In order to generate reasonable and supportable forecasts of loss rates over a two-year period, the ACL calculation utilizes macroeconomic variable loss drivers, which may include aggregate macroeconomic indicators pertaining to such items as equity market conditions or interest rates, as well as other variables that are portfolio-specific, such as those that pertain to the commercial real estate or residential loan portfolios. A straight-line reversion technique is used for the following four quarters, and in following quarters, the ACL calculation reverts to historical average loss rates.</w:t>
      </w:r>
    </w:p>
    <w:p>
      <w:pPr>
        <w:spacing w:after="0" w:line="137"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risk factors considered by management include the following:</w:t>
      </w:r>
    </w:p>
    <w:p>
      <w:pPr>
        <w:spacing w:after="0" w:line="134" w:lineRule="exact"/>
        <w:rPr>
          <w:sz w:val="20"/>
          <w:szCs w:val="20"/>
          <w:color w:val="auto"/>
        </w:rPr>
      </w:pPr>
    </w:p>
    <w:p>
      <w:pPr>
        <w:ind w:left="640" w:hanging="32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volume of loans;</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and</w:t>
      </w:r>
    </w:p>
    <w:p>
      <w:pPr>
        <w:spacing w:after="0" w:line="160"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Delinquency trends.</w:t>
      </w:r>
    </w:p>
    <w:p>
      <w:pPr>
        <w:spacing w:after="0" w:line="161"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basis and are excluded from the collective evaluation for the ACL. Loans identified to be individually evaluated under CECL include loans on non-accrual status and may include accruing loans that do not share similar risk characteristics to other accruing loans collectively evaluated. A specific reserve analysis is applied to the individually evaluated loans, which considers collateral value, an observable market price, or the present value of the expected future cash flows. A specific reserve may be assigned if the measured value of the loan using one of the before mentioned methods is less than the current carrying value of the loan.</w:t>
      </w:r>
    </w:p>
    <w:p>
      <w:pPr>
        <w:spacing w:after="0" w:line="134" w:lineRule="exact"/>
        <w:rPr>
          <w:sz w:val="20"/>
          <w:szCs w:val="20"/>
          <w:color w:val="auto"/>
        </w:rPr>
      </w:pPr>
    </w:p>
    <w:p>
      <w:pPr>
        <w:jc w:val="both"/>
        <w:ind w:firstLine="315"/>
        <w:spacing w:after="0" w:line="282" w:lineRule="auto"/>
        <w:rPr>
          <w:sz w:val="20"/>
          <w:szCs w:val="20"/>
          <w:color w:val="auto"/>
        </w:rPr>
      </w:pPr>
      <w:r>
        <w:rPr>
          <w:rFonts w:ascii="Times New Roman" w:cs="Times New Roman" w:eastAsia="Times New Roman" w:hAnsi="Times New Roman"/>
          <w:sz w:val="16"/>
          <w:szCs w:val="16"/>
          <w:color w:val="auto"/>
        </w:rPr>
        <w:t>Under CECL, for collateral-dependent loans, the Company has adopted the practical expedient to measure the ACL based on the fair value of the collateral. A loan is considered collateral-dependent when the Company determines foreclosure is probable or the borrower is experiencing financial difficulty and the Company expects repayment to be provided substantially through the operation or sale of the collateral. Collateral could be in the form of real estate, equipment, or business assets. An ACL may result for a collateral-dependent loan if the fair value of the underlying collateral, as of the reporting date, adjusted for expected costs to repair or sell, was less than the amortized cost basis of the loan. If repayment of the loan is instead dependent only on the operation, rather than the sale of the collateral, the measure of the ACL does not incorporate estimated costs to sell. For loans analyzed on the basis of projected future principal and interest cash flows, the Company will discount the expected cash flows at the effective interest rate of the loan, and an ACL would result if the present value of the expected cash flows was less than the amortized cost basis of the loan. When the discounted cash flow method is used to determine the ACL,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does not adjust the effective interest rate used to discount cash flows to incorporate expected prepayments.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 off-balance sheet credit exposures</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On a quarterly basis, the Company estimates expected credit losses over the contractual period in which the Company is exposed to credit risk via a contractual obligation to extend credit, unless that obligation is unconditionally cancellable by the Company. The ACL on off-balance sheet credit exposures is adjusted through the provision for credit losses on the Consolidated Statements of Income. The estimate includes consideration of the likelihood that funding will occur and an estimate of expected credit losses on commitments expected to be funded over its estimated life by loan segment at each balance sheet date under the CECL model using the same methodology as the loan portfolio. The ACL for unfunded commitments is included in accrued interest and other liabilities on the Company’s Consolidated Balance Sheets.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Purchased credit deteriorated (PCD) loans</w:t>
      </w:r>
    </w:p>
    <w:p>
      <w:pPr>
        <w:spacing w:after="0" w:line="165"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The Company has purchased loans, some of which have experienced more than insignificant credit deterioration since origination. PCD loans are recorded at the amount paid. An allowance for credit losses is determined using the same methodology as other loans held for investment. The initial allowance for credit losses determined on a collective basis is allocated to the individual loans. The sum of the loan’s purchase price and allowance for credit losses becomes its initial amortized cost basis. The difference between the initial amortized cost basis and the par value of the loan is a noncredit discount of premium, which is amortized into interest income over the life of the loan. Subsequent changes to the allowance for credit losses are recorded through credit loss expense.</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Premises and equipment</w:t>
      </w:r>
    </w:p>
    <w:p>
      <w:pPr>
        <w:spacing w:after="0" w:line="165"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Land is carried at cost. Premises and equipment are stated at cost less accumulated depreciation. Buildings and related components are depreciated using the straight-line method with useful lives up to 40 years. Furniture, fixtures and equipment are depreciated using the straight-line method (or accelerated) method with useful lives ranging from 3 to 10 years. Maintenance and repairs are charged to expense as incurred and major improvements are capitalized.</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Company-owned life insurance</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has purchased life insurance policies on certain employees. Company-owned life insurance is recorded at the amount that can be realized under the insurance contract at the balance sheet date, which is the cash surrender value adjusted for other charges or other amounts due that are probable at settlement.</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owned (OREO)</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at the date of foreclosure less estimated costs of disposal, which establishes a new cost. After foreclosure, valuations periodically are performed by management and the foreclosed assets held-for-sale are carried at the lower of cost or fair value less estimated costs of disposal. Any write-down to fair value at the time of transfer to foreclosed assets is charged to the allowance for credit losses. All subsequent gains on sale, losses on sale, and additional write-downs are included in net gains/(losses) on other real estate owned. Revenue and expenses from the operations of foreclosed assets are included in other non-interest income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income tax accounting guidance. The Company has adopted the accounting guidance related to accounting for uncertainty in income taxes, which sets out a consistent framework to determine the appropriate level of tax reserves to maintain for uncertain tax positions.</w:t>
      </w:r>
    </w:p>
    <w:p>
      <w:pPr>
        <w:spacing w:after="0" w:line="128"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34"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interest and penalties on income taxes as a component of income tax expense.</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Pension plan</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was frozen to new participants on June 1, 2005. The Company’s funding policy for the defined benefit plan is to make annual contributions to the Plan in amounts that are determined based on actuarial valuations and recommendations and which meet the minimum funding requirements of the Employee Retirement Income Security Act of 1974.</w:t>
      </w:r>
    </w:p>
    <w:p>
      <w:pPr>
        <w:spacing w:after="0" w:line="128"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Authoritative accounting literature requires an employer to recognize the overfunded or underfunded status of a defined benefit postretirement plan as an asset or liability in its balance sheet and to recognize changes in the funded status in the year in which the changes occur through comprehensive income. The funded status of a benefit plan will be measured as the difference between plan assets at fair value and the benefit obligation. For a pension plan, the benefit obligation is the projected benefit obligation. For any other postretirement plan, the benefit obligation is the accumulated postretirement benefit obligation. Authoritative accounting literature also requires an employer to measure the funded status of a plan as of the date of its year-end balance sheet. The guidance also requires additional disclosure in the notes to financial statements about certain effects on net periodic benefit cost for the next fiscal year that arises from delayed recognition of the gains or losses, prior service costs or credits, and a transition asset or obligation.</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401(k) plan &amp; other plans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maintains the 401(k) plans of both legacy Summit and Burke &amp; Herbert. Under both of these plans, eligible employees may contribute a percentage of their compensation, and the Company matches a portion of the employee’s contribution based on the specific 401(k) plan. The contribution amounts matched by the Company depend on the 401(k) plan. The 401(k) expense is the amount of the matching contributions. For the deferred compensation and supplemental retirement plan, the expense allocates the benefits over the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Basic earnings per common share is net income divided by the weighted average number of common shares outstanding during the period. The Company’s capital structure includes a share-based incentive plan, and an employee stock purchase plan, which may be dilutive to earnings per share (“EPS”). Diluted EPS is calculated by assuming dilution of common shares and adjusting common shares for compensation cost attributable to the share-based compensation plan and employee stock purchase plan. Earnings and dividends per share are restated for all stock splits and stock dividends through the date of issuance of the financial statements.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Trust assets and fees</w:t>
      </w:r>
    </w:p>
    <w:p>
      <w:pPr>
        <w:spacing w:after="0" w:line="1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Assets of the trust department, other than trust cash on deposit at the Company, are not included in these financial statements because they are not assets of the Company. Trust fees are recognized in income using the accrual method.</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that there are currently any such matters that will have a material effect on the financial statements.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Comprehensive income (loss) consists of net income and other comprehensive income (loss), net of tax. Other comprehensive income (loss) includes unrealized gains and losses on securities available-for-sale, unrealized gains and losses on cash flow hedges, and changes in the funded status of the pension plan, which are also recognized as separate components of equity.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5"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Leases are classified as operating or finance leases at the lease commencement date. The Company leases certain locations for its operations. The Company records leases on the balance sheet in the form of a lease liability for the present value of future minimum payments under the lease terms and a right-of-use asset equal to the lease liability adjusted for items such as deferred or prepaid rent, lease incentives, and any impairment of the right-of-use asset. The discount rate used in determining the lease liability is based upon incremental borrowing rates the Company could obtain for similar loans as of the date of commencement or renewal. The Company does not record short-term leases with an initial lease term of one year or less on the consolidated balance sheets.</w:t>
      </w:r>
    </w:p>
    <w:p>
      <w:pPr>
        <w:spacing w:after="0" w:line="10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At lease inception, the Company determines the lease term by considering the non-cancelable lease term and all optional renewal periods that the Company is reasonably certain to renew. The lease term is also used to calculate straight-line lease expense. Leasehold improvements are amortized over the shorter of the useful life and the estimated lease term. The Company’s leases do not contain residual value guarantees or material variable lease payments that will impact the Company’s ability to pay dividends or cause the Company to incur additional material expenses.</w:t>
      </w:r>
    </w:p>
    <w:p>
      <w:pPr>
        <w:spacing w:after="0" w:line="13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Operating lease expense consists of a single lease cost allocated over the remaining lease term on a straight-line basis, variable lease expense, and any impairment of the right-of-use asset. Lease expense is included in occupancy expense on the Company’s consolidated statements of income. The Company’s variable lease expense includes rent escalators that are based on market conditions defined in the lease agreements. The amortization of the right-of-use asset arising from finance leases is expensed through occupancy expense and the interest on the related lease liability is expensed through other interest expense on the Company’s consolidated statements of income.</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Fair values of financial instruments are estimated using relevant market information and other assumptions. Fair value estimates involve uncertainties and matters of significant judgment regarding interest rates,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prepayments, and other factors, especially in the absence of broad markets for particular items. Changes in assumptions or in market conditions could significantly affect the estimates.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65"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6"/>
          <w:szCs w:val="16"/>
          <w:color w:val="auto"/>
        </w:rPr>
        <w:t>Goodwill arises from business combinations and is determined as the excess of the fair value of the consideration transferred, plus the fair value of any noncontrolling interests in the acquiree, over the fair value of the net assets acquired and liabilities assumed as of the acquisition date. Goodwill and intangible assets acquired in a business combination and determined to have indefinite useful life are not amortized but tested for impairment at least annually or more frequently if events and circumstances exist that indicate that an impairment test should be performed. The Company has selected September 30 as the date to perform the annual impairment test. Intangible assets with finite useful lives are amortized over their estimated useful lives to their estimated residual values. Amortized intangibles must be reviewed for impairment whenever events or changes in circumstances indicate that the carrying amount of the long-lived asset (group) might not be recoverable. An impairment loss related to intangible assets with finite useful lives is recognized if the carrying amount of the intangible asset is not recoverable and its carrying amount exceeds its fair value. After the impairment loss is recognized, the adjusted carrying amount of the intangible asset shall be its new accounting basis. Goodwill is the only intangible asset with an indefinite life on our balance sheet.</w:t>
      </w:r>
    </w:p>
    <w:p>
      <w:pPr>
        <w:spacing w:after="0" w:line="109"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Other intangible assets consists of core deposit and acquired customer relationship intangible assets arising from whole bank and branch acquisitions and are amortized on an accelerated method over their estimated useful lives, which range from 7 to 10 years.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Compensation cost is recognized for restricted stock units (“RSUs”) issued to employees, based on the fair value of these awards at the date of grant. The Company RSUs awards are all classified as equity under U.S. GAAP. Compensation cost is recognized on a straight-line basis over the requisite service period for the entire award. The Company’s accounting policy is to recognize forfeitures as they occur for all share-based compensation plans.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 reporting</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Company operates in one segment – Community Banking and the financial performance of this one segment is used to make resource allocations and performance decisions. The Company’s Chief Executive Officer is in charge of allocating the Company’s resources and assessing performance, and has been identified as the chief operating decision maker.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prior year net income or shareholder’s equity.</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63"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disclosure requirements. The purpose of the amendments is to enable “investors to better understand an entity’s overall performance” and assess “potential future cash flows.”</w:t>
      </w:r>
    </w:p>
    <w:p>
      <w:pPr>
        <w:spacing w:after="0" w:line="117"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ASU applies to all public entities that are required to report segment information in accordance with ASC 280. The enhanced segment disclosure requirements apply “retrospectively to all prior periods presented in the financial statements.” The significant segment expense and other segment item amounts “disclosed in prior periods shall be based on the significant segment expense categories identified and disclosed in the period of adoption.” The amendments in ASU 2023-07 were effective for all public entities for fiscal years beginning after December 15, 2023 and interim periods within fiscal years beginning after December 15, 2024, with early adoption permitted. The Company adopted the standard with the fiscal year ending December 31, 2024, and it did not have a material impact on the financial statements.</w:t>
      </w:r>
    </w:p>
    <w:p>
      <w:pPr>
        <w:spacing w:after="0" w:line="13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2016-13, Financial Instruments - Credit Losses (Topic 326):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(“ASC 326”), as amended, which replaces the incurred loss methodology with an expected credit loss methodology that is referred to as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 methodology. The CECL methodology requires an estimate of credit losses for the remaining estimated life of the financial asset using historical experience, current conditions, as well as future forecasts, including reasonable and supportable forecasts and other forecast periods. CECL generally applies to financial assets measured at amortized cost and some off-balance sheet credit exposures, such as unfunded commitments to extend credit. Financial assets measured at amortized cost are presented as the net amount expected to be collected.</w:t>
      </w:r>
    </w:p>
    <w:p>
      <w:pPr>
        <w:spacing w:after="0" w:line="13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that they will be required to sell.</w:t>
      </w:r>
    </w:p>
    <w:p>
      <w:pPr>
        <w:spacing w:after="0" w:line="128"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adopted ASC 326 and all related subsequent amendments thereto effective January 1, 2023, using the modified retrospective approach for all financial assets measured at amortized cost and off-balance sheet credit exposures. The adoption of the new CECL standard resulted in a cumulative-effect adjustment that increased the allowance for credit losses for loans by $4.1 million and increased the allowance for unfunded commitments by $274.8 thousand. Retained earnings, net of deferred taxes, decreased by $3.4 million. Results for reporting periods beginning after January 1, 2023, are presented under ASU 2016-13, while prior period amounts continue to be reported in accordance with the incurred loss model under the previously applicable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illustrates the impact of the adoption of CECL, and the transition away from the incurred loss method, on January 1, 2023. The impact to the ACL is presented at the loan segment level (in thousands):</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4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8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January 1, 2023</w:t>
            </w:r>
          </w:p>
        </w:tc>
        <w:tc>
          <w:tcPr>
            <w:tcW w:w="7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r>
      <w:tr>
        <w:trPr>
          <w:trHeight w:val="164"/>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80"/>
              <w:spacing w:after="0" w:line="164" w:lineRule="exact"/>
              <w:rPr>
                <w:sz w:val="20"/>
                <w:szCs w:val="20"/>
                <w:color w:val="auto"/>
              </w:rPr>
            </w:pPr>
            <w:r>
              <w:rPr>
                <w:rFonts w:ascii="Times New Roman" w:cs="Times New Roman" w:eastAsia="Times New Roman" w:hAnsi="Times New Roman"/>
                <w:sz w:val="18"/>
                <w:szCs w:val="18"/>
                <w:color w:val="auto"/>
                <w:w w:val="97"/>
              </w:rPr>
              <w:t>Reserves under Incurred</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line="164" w:lineRule="exact"/>
              <w:rPr>
                <w:sz w:val="20"/>
                <w:szCs w:val="20"/>
                <w:color w:val="auto"/>
              </w:rPr>
            </w:pPr>
            <w:r>
              <w:rPr>
                <w:rFonts w:ascii="Times New Roman" w:cs="Times New Roman" w:eastAsia="Times New Roman" w:hAnsi="Times New Roman"/>
                <w:sz w:val="18"/>
                <w:szCs w:val="18"/>
                <w:color w:val="auto"/>
                <w:w w:val="96"/>
              </w:rPr>
              <w:t>Reserves under CECL</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6"/>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Loss Model</w:t>
            </w:r>
          </w:p>
        </w:tc>
        <w:tc>
          <w:tcPr>
            <w:tcW w:w="140" w:type="dxa"/>
            <w:vAlign w:val="bottom"/>
          </w:tcPr>
          <w:p>
            <w:pPr>
              <w:spacing w:after="0"/>
              <w:rPr>
                <w:sz w:val="20"/>
                <w:szCs w:val="20"/>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Model</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Impact of CECL Adoption</w:t>
            </w:r>
          </w:p>
        </w:tc>
      </w:tr>
      <w:tr>
        <w:trPr>
          <w:trHeight w:val="203"/>
        </w:trPr>
        <w:tc>
          <w:tcPr>
            <w:tcW w:w="486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18,163</w:t>
            </w:r>
          </w:p>
        </w:tc>
        <w:tc>
          <w:tcPr>
            <w:tcW w:w="1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Unallocated reserve</w:t>
            </w:r>
          </w:p>
        </w:tc>
        <w:tc>
          <w:tcPr>
            <w:tcW w:w="10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03"/>
        </w:trPr>
        <w:tc>
          <w:tcPr>
            <w:tcW w:w="486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credit losses on off-balance sheet credit exposure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31"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adopted ASC 326 using the prospective transition approach for debt securities for which other-than-temporary impairment had been recognized prior to January 1, 2023. As of December 31, 2022, the Company did not have any other-than-temporarily impaired investment securities. The Company did not record an ACL for securities upon adoption.</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elected not to measure an ACL for accrued interest receivable and instead elected to reverse interest income on loans or securities that are placed on non-accrual status, which generally occurs when the instrument is 90 days past due, or earlier if the Company believes the collection of interest is doubtful. The Company has concluded that this policy results in the timely reversal of uncollectible interest.</w:t>
      </w:r>
    </w:p>
    <w:p>
      <w:pPr>
        <w:spacing w:after="0" w:line="126"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 xml:space="preserve">On January 1, 2023, the Company adopted Accounting Standard Update (“ASU”) 2022-02, Financial Instruments - Credit Losses (Topic 326), </w:t>
      </w:r>
      <w:r>
        <w:rPr>
          <w:rFonts w:ascii="Times New Roman" w:cs="Times New Roman" w:eastAsia="Times New Roman" w:hAnsi="Times New Roman"/>
          <w:sz w:val="18"/>
          <w:szCs w:val="18"/>
          <w:i w:val="1"/>
          <w:iCs w:val="1"/>
          <w:color w:val="auto"/>
        </w:rPr>
        <w:t>Troubled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Restructurings and Vintage Disclosures</w:t>
      </w:r>
      <w:r>
        <w:rPr>
          <w:rFonts w:ascii="Times New Roman" w:cs="Times New Roman" w:eastAsia="Times New Roman" w:hAnsi="Times New Roman"/>
          <w:sz w:val="18"/>
          <w:szCs w:val="18"/>
          <w:color w:val="auto"/>
        </w:rPr>
        <w:t>. ASU 2022-02 addresses areas identified by the FASB as part of its implementation review of the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(ASU 2016-13) that introduced the CECL model. The amendments eliminate the accounting guidance for troubled debt restructurings (“TDRs”) by creditors that have adopted the CECL model and enhance the disclosure requirements for certain loan refinancings and restructurings by creditors when a borrower is experiencing financial difficulty. In addition, the amendments require that the Company disclose current-period gross write-offs for financing receivables and net investment in leases by year of origination in the vintage disclosures. The Company adopted the standard prospectively, and it did not have a material impact on the financial statements.</w:t>
      </w:r>
    </w:p>
    <w:p>
      <w:pPr>
        <w:spacing w:after="0" w:line="137"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 xml:space="preserve">In March 2022, the FASB issued ASU 2022-01, </w:t>
      </w:r>
      <w:r>
        <w:rPr>
          <w:rFonts w:ascii="Times New Roman" w:cs="Times New Roman" w:eastAsia="Times New Roman" w:hAnsi="Times New Roman"/>
          <w:sz w:val="18"/>
          <w:szCs w:val="18"/>
          <w:i w:val="1"/>
          <w:iCs w:val="1"/>
          <w:color w:val="auto"/>
        </w:rPr>
        <w:t>Derivatives and Hedging (Topic 815), Fair Value Hedging - Portfolio Layer Method</w:t>
      </w:r>
      <w:r>
        <w:rPr>
          <w:rFonts w:ascii="Times New Roman" w:cs="Times New Roman" w:eastAsia="Times New Roman" w:hAnsi="Times New Roman"/>
          <w:sz w:val="18"/>
          <w:szCs w:val="18"/>
          <w:color w:val="auto"/>
        </w:rPr>
        <w:t>. ASU 2022-01 clarifies the guidance in ASC 815 on fair value hedge accounting of interest rate risk for portfolios of financial assets and is intended to better align hedge accounting with an organization’s risk management strategies. In 2017, FASB issued ASU 2017-12 to better align the economic results of risk management activities with hedge accounting. One of the major provisions of that standard was the addition of the last-of-layer hedging method. For a closed portfolio of fixed-rate-prepayable financial assets of one or more beneficial interests secured by a portfolio of prepayable financial instruments, such as mortgages or mortgage-backed securities, the last-of-layer method allows an entity to hedge its exposure to fair value changes due to the changes in interest rates for a portion of the portfolio that is not expected to be affected by prepayments, defaults, and other events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cash flows. ASU 2022-01 renames that method the portfolio layer method. ASU 2022-01 was effective January 1, 2023.</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Newly issued not yet adopted accounting standards</w:t>
      </w:r>
    </w:p>
    <w:p>
      <w:pPr>
        <w:spacing w:after="0" w:line="163" w:lineRule="exact"/>
        <w:rPr>
          <w:sz w:val="20"/>
          <w:szCs w:val="20"/>
          <w:color w:val="auto"/>
        </w:rPr>
      </w:pPr>
    </w:p>
    <w:p>
      <w:pPr>
        <w:jc w:val="both"/>
        <w:ind w:firstLine="315"/>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ASU seeks to improve the disclosures about a public business entity’s expenses and address requests from investors for more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the types of expenses in commonly presented expense captions. The amendments in this update are effective for annual reporting periods beginning after December 15, 2026, and interim reporting periods beginning after December 15, 2027. Early adoption is permitted. This ASU is not expected to have a material impact our consolidated financial statements.</w:t>
      </w:r>
    </w:p>
    <w:p>
      <w:pPr>
        <w:spacing w:after="0" w:line="130"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Stock Compensation (Topic 718): Scope Application of Profits Interest and Similar Awards</w:t>
      </w:r>
      <w:r>
        <w:rPr>
          <w:rFonts w:ascii="Times New Roman" w:cs="Times New Roman" w:eastAsia="Times New Roman" w:hAnsi="Times New Roman"/>
          <w:sz w:val="18"/>
          <w:szCs w:val="18"/>
          <w:color w:val="auto"/>
        </w:rPr>
        <w:t>. The amendments in this update seek to improve GAAP by adding an illustrative example that includes four fact patterns to demonstrate how an entity should apply the scope guidance in paragraph 718-10-15-3 to determine whether a profits interest award should be accounted for in accordance with Topic 718. The amendments in this update are effective for fiscal years beginning after December 15, 2024. Early adoption is permitted for both interim and annual financial statements that have not yet been issued or made available for issuance. The adoption of this pronouncement is not expected to have a material impact on our Consolidated Financial Statements.</w:t>
      </w:r>
    </w:p>
    <w:p>
      <w:pPr>
        <w:spacing w:after="0" w:line="135" w:lineRule="exact"/>
        <w:rPr>
          <w:sz w:val="20"/>
          <w:szCs w:val="20"/>
          <w:color w:val="auto"/>
        </w:rPr>
      </w:pPr>
    </w:p>
    <w:p>
      <w:pPr>
        <w:jc w:val="both"/>
        <w:ind w:firstLine="315"/>
        <w:spacing w:after="0" w:line="250"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seeks to enhance the transparency and decision usefulness of the disclosures. The amendments in this update address investor requests for more transparency about income tax information through improvements to disclosures primarily related to the rate reconciliation and income taxes paid information. The amendments in this update are effective for fiscal years beginning after December 15, 2024. Early adoption is permitted for annual consolidated financial statements that have not yet been issued. This ASU is not expected to have a material impact our consolidated financial statements.</w:t>
      </w:r>
    </w:p>
    <w:p>
      <w:pPr>
        <w:spacing w:after="0" w:line="130"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SEC disclosure requirements into the FASB Accounting Standards Codification. The amendments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effective two years later.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139" w:lineRule="exact"/>
        <w:rPr>
          <w:sz w:val="20"/>
          <w:szCs w:val="20"/>
          <w:color w:val="auto"/>
        </w:rPr>
      </w:pPr>
    </w:p>
    <w:p>
      <w:pPr>
        <w:jc w:val="both"/>
        <w:ind w:firstLine="315"/>
        <w:spacing w:after="0" w:line="277" w:lineRule="auto"/>
        <w:rPr>
          <w:sz w:val="20"/>
          <w:szCs w:val="20"/>
          <w:color w:val="auto"/>
        </w:rPr>
      </w:pPr>
      <w:r>
        <w:rPr>
          <w:rFonts w:ascii="Times New Roman" w:cs="Times New Roman" w:eastAsia="Times New Roman" w:hAnsi="Times New Roman"/>
          <w:sz w:val="16"/>
          <w:szCs w:val="16"/>
          <w:color w:val="auto"/>
        </w:rPr>
        <w:t xml:space="preserve">In March 2023, the FASB issued ASU 2023-02, </w:t>
      </w:r>
      <w:r>
        <w:rPr>
          <w:rFonts w:ascii="Times New Roman" w:cs="Times New Roman" w:eastAsia="Times New Roman" w:hAnsi="Times New Roman"/>
          <w:sz w:val="16"/>
          <w:szCs w:val="16"/>
          <w:i w:val="1"/>
          <w:iCs w:val="1"/>
          <w:color w:val="auto"/>
        </w:rPr>
        <w:t>Investments - Equity Method and Joint Ventures (Topic 323): Accounting for Investments in Tax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Structures Using the Proportional Amortization Method</w:t>
      </w:r>
      <w:r>
        <w:rPr>
          <w:rFonts w:ascii="Times New Roman" w:cs="Times New Roman" w:eastAsia="Times New Roman" w:hAnsi="Times New Roman"/>
          <w:sz w:val="16"/>
          <w:szCs w:val="16"/>
          <w:color w:val="auto"/>
        </w:rPr>
        <w:t>. These amendments permit reporting entities to elect to account for their tax equity investments,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regardless of the tax credit program from which the income tax credits are received, using the proportional amortization method if certain conditions are met. The ASU is effective for public business entities for fiscal years beginning after December 15, 2024, including interim periods with those fiscal years. Early adoption is permitted for all entities in any interim period. The amendments in this ASU must be applied on either a modified retrospective or a retrospective basis (except for LIHTC investments not accounted for using the proportional amortization method). A reporting entity that has LIHTC investments that are no longer permitted to use (1) the cost method guidance in paragraph 323-740-25-2A, (2) the equity method example in paragraphs 323-740-55-8 through 55-9, or</w:t>
      </w:r>
    </w:p>
    <w:p>
      <w:pPr>
        <w:spacing w:after="0" w:line="4"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delayed equity contribution guidance in paragraphs 323-740-25-3 must either use its general transition method (modified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retrospective or retrospective) or apply a prospective approach. We do not expect the adoption of ASU 2023-02 to have a material impact on our consolidated financial statements.</w:t>
      </w:r>
    </w:p>
    <w:p>
      <w:pPr>
        <w:spacing w:after="0" w:line="115" w:lineRule="exact"/>
        <w:rPr>
          <w:sz w:val="20"/>
          <w:szCs w:val="20"/>
          <w:color w:val="auto"/>
        </w:rPr>
      </w:pPr>
    </w:p>
    <w:p>
      <w:pPr>
        <w:jc w:val="both"/>
        <w:ind w:firstLine="315"/>
        <w:spacing w:after="0" w:line="283" w:lineRule="auto"/>
        <w:rPr>
          <w:sz w:val="20"/>
          <w:szCs w:val="20"/>
          <w:color w:val="auto"/>
        </w:rPr>
      </w:pPr>
      <w:r>
        <w:rPr>
          <w:rFonts w:ascii="Times New Roman" w:cs="Times New Roman" w:eastAsia="Times New Roman" w:hAnsi="Times New Roman"/>
          <w:sz w:val="16"/>
          <w:szCs w:val="16"/>
          <w:color w:val="auto"/>
        </w:rPr>
        <w:t xml:space="preserve">In June 2022, the FASB issued ASU 2022-03, </w:t>
      </w:r>
      <w:r>
        <w:rPr>
          <w:rFonts w:ascii="Times New Roman" w:cs="Times New Roman" w:eastAsia="Times New Roman" w:hAnsi="Times New Roman"/>
          <w:sz w:val="16"/>
          <w:szCs w:val="16"/>
          <w:i w:val="1"/>
          <w:iCs w:val="1"/>
          <w:color w:val="auto"/>
        </w:rPr>
        <w:t>Fair Value Measurements (Topic 820): Fair Value Measurements of Equity Securities Subject to Contractual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Sale Restrictions</w:t>
      </w:r>
      <w:r>
        <w:rPr>
          <w:rFonts w:ascii="Times New Roman" w:cs="Times New Roman" w:eastAsia="Times New Roman" w:hAnsi="Times New Roman"/>
          <w:sz w:val="16"/>
          <w:szCs w:val="16"/>
          <w:color w:val="auto"/>
        </w:rPr>
        <w:t>. ASU 2022-03 clarifies that a contractual restriction on the sale of an equity security is not considered part of the unit of account of the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security and, therefore, is not considered in measuring fair value. The amendments also clarify that an entity cannot, as a separate unit of account, recognize and measure a contractual sale restriction. The amendments also require some additional disclosures for equity securities that are subject to contractual sale restrictions. The amendments in this ASU are effective for fiscal years beginning after December 15, 2024, and interim periods within those fiscal years. The amendments in this ASU should be applied prospectively with any adjustments from the adoption of the amendments recognized in earnings and disclosed on the date of adoption. We do not expect the adoption of ASU 2022-03 to have a material impact on our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63"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carrying amount of available-for-sale securities and their approximate fair values at December 31, 2024, and December 31, 2023, are summarized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5"/>
                <w:szCs w:val="15"/>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165,619</w:t>
            </w:r>
          </w:p>
        </w:tc>
        <w:tc>
          <w:tcPr>
            <w:tcW w:w="100" w:type="dxa"/>
            <w:vAlign w:val="bottom"/>
          </w:tcPr>
          <w:p>
            <w:pPr>
              <w:spacing w:after="0"/>
              <w:rPr>
                <w:sz w:val="19"/>
                <w:szCs w:val="19"/>
                <w:color w:val="auto"/>
              </w:rPr>
            </w:pPr>
          </w:p>
        </w:tc>
        <w:tc>
          <w:tcPr>
            <w:tcW w:w="56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698,724</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247,876</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33,071</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154,511</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1,549,589</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1,432,371</w:t>
            </w:r>
          </w:p>
        </w:tc>
      </w:tr>
      <w:tr>
        <w:trPr>
          <w:trHeight w:val="442"/>
        </w:trPr>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5"/>
                <w:szCs w:val="15"/>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197,026</w:t>
            </w:r>
          </w:p>
        </w:tc>
        <w:tc>
          <w:tcPr>
            <w:tcW w:w="100" w:type="dxa"/>
            <w:vAlign w:val="bottom"/>
          </w:tcPr>
          <w:p>
            <w:pPr>
              <w:spacing w:after="0"/>
              <w:rPr>
                <w:sz w:val="19"/>
                <w:szCs w:val="19"/>
                <w:color w:val="auto"/>
              </w:rPr>
            </w:pPr>
          </w:p>
        </w:tc>
        <w:tc>
          <w:tcPr>
            <w:tcW w:w="56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463,203</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266,031</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177,061</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77,936</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1,372,575</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1,248,439</w:t>
            </w:r>
          </w:p>
        </w:tc>
      </w:tr>
    </w:tbl>
    <w:p>
      <w:pPr>
        <w:spacing w:after="0" w:line="21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At December 31, 2024, and December 31, 2023, securities with amortized costs of $1.2 billion and $826.5 million, respectively, and with estimated fair values of $1.1 billion and $742.5 million, respectively, were pledged to serve as collateral for secured borrowings, derivative exposures, or to secure public deposits as required or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proceeds from sales, calls and maturities, and principal payments received of debt securities available-for-sale, and the related gross gains and losses realized for the years ended December 31, 2024, December 31, 2023, and December 31, 2022,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vMerge w:val="restart"/>
          </w:tcPr>
          <w:p>
            <w:pPr>
              <w:jc w:val="right"/>
              <w:ind w:right="1348"/>
              <w:spacing w:after="0"/>
              <w:rPr>
                <w:sz w:val="20"/>
                <w:szCs w:val="20"/>
                <w:color w:val="auto"/>
              </w:rPr>
            </w:pPr>
            <w:r>
              <w:rPr>
                <w:rFonts w:ascii="Times New Roman" w:cs="Times New Roman" w:eastAsia="Times New Roman" w:hAnsi="Times New Roman"/>
                <w:sz w:val="16"/>
                <w:szCs w:val="16"/>
                <w:b w:val="1"/>
                <w:bCs w:val="1"/>
                <w:color w:val="auto"/>
                <w:w w:val="98"/>
              </w:rPr>
              <w:t>For the year ended December 31,</w:t>
            </w: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54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680" w:type="dxa"/>
            <w:vAlign w:val="bottom"/>
            <w:vMerge w:val="continue"/>
          </w:tcPr>
          <w:p>
            <w:pPr>
              <w:spacing w:after="0"/>
              <w:rPr>
                <w:sz w:val="16"/>
                <w:szCs w:val="16"/>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Calls and maturities</w:t>
            </w: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80" w:type="dxa"/>
            <w:vAlign w:val="bottom"/>
          </w:tcPr>
          <w:p>
            <w:pPr>
              <w:spacing w:after="0"/>
              <w:rPr>
                <w:sz w:val="16"/>
                <w:szCs w:val="16"/>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80" w:type="dxa"/>
            <w:vAlign w:val="bottom"/>
            <w:tcBorders>
              <w:top w:val="single" w:sz="8" w:color="auto"/>
            </w:tcBorders>
            <w:shd w:val="clear" w:color="auto" w:fill="CCEEFF"/>
          </w:tcPr>
          <w:p>
            <w:pPr>
              <w:jc w:val="right"/>
              <w:ind w:right="1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46,434</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211,443</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3680" w:type="dxa"/>
            <w:vAlign w:val="bottom"/>
          </w:tcPr>
          <w:p>
            <w:pPr>
              <w:jc w:val="right"/>
              <w:ind w:right="1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jc w:val="right"/>
              <w:ind w:right="1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2024, 2023, and 2022 was $(312.1) thousand, $23.5 thousand, and $95.3 thousand, respectively.</w:t>
      </w:r>
    </w:p>
    <w:p>
      <w:pPr>
        <w:spacing w:after="0" w:line="11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maturities of securities available-for-sale at December 31, 2024,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3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90"/>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Five to Ten Years</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40" w:type="dxa"/>
            <w:vAlign w:val="bottom"/>
          </w:tcPr>
          <w:p>
            <w:pPr>
              <w:spacing w:after="0"/>
              <w:rPr>
                <w:sz w:val="16"/>
                <w:szCs w:val="16"/>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165,619</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777,181</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57,244</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259,964</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33,791</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158,621</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64,308</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32,861</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520,647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598,527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307,723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3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90"/>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Five to Ten Years</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40" w:type="dxa"/>
            <w:vAlign w:val="bottom"/>
          </w:tcPr>
          <w:p>
            <w:pPr>
              <w:spacing w:after="0"/>
              <w:rPr>
                <w:sz w:val="16"/>
                <w:szCs w:val="16"/>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698,724</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53,186</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247,876</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33,071</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154,511</w:t>
            </w: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64,056</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490,708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545,604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274,624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1,432,371</w:t>
            </w:r>
          </w:p>
        </w:tc>
      </w:tr>
    </w:tbl>
    <w:p>
      <w:pPr>
        <w:spacing w:after="0" w:line="23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At year-end 2024 and 2023, there were no holdings of securities of any one issuer, other than U.S. Government and its agencies, in any amount greater than 10% of shareholders’ equity.</w:t>
      </w:r>
    </w:p>
    <w:p>
      <w:pPr>
        <w:spacing w:after="0" w:line="11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December 31, 2024, and December 31, 2023.</w:t>
      </w:r>
    </w:p>
    <w:p>
      <w:pPr>
        <w:spacing w:after="0" w:line="11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Available-for-sale securities in a continuous unrealized loss position for less than twelve months and more than twelve months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40" w:type="dxa"/>
            <w:vAlign w:val="bottom"/>
          </w:tcPr>
          <w:p>
            <w:pPr>
              <w:spacing w:after="0"/>
              <w:rPr>
                <w:sz w:val="15"/>
                <w:szCs w:val="15"/>
                <w:color w:val="auto"/>
              </w:rPr>
            </w:pPr>
          </w:p>
        </w:tc>
        <w:tc>
          <w:tcPr>
            <w:tcW w:w="29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w w:val="98"/>
              </w:rPr>
              <w:t>Gross Unrealized</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Pr>
          <w:p>
            <w:pPr>
              <w:spacing w:after="0"/>
              <w:rPr>
                <w:sz w:val="16"/>
                <w:szCs w:val="16"/>
                <w:color w:val="auto"/>
              </w:rPr>
            </w:pPr>
          </w:p>
        </w:tc>
        <w:tc>
          <w:tcPr>
            <w:tcW w:w="12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344,160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934,759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40" w:type="dxa"/>
            <w:vAlign w:val="bottom"/>
          </w:tcPr>
          <w:p>
            <w:pPr>
              <w:spacing w:after="0"/>
              <w:rPr>
                <w:sz w:val="15"/>
                <w:szCs w:val="15"/>
                <w:color w:val="auto"/>
              </w:rPr>
            </w:pPr>
          </w:p>
        </w:tc>
        <w:tc>
          <w:tcPr>
            <w:tcW w:w="29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76"/>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76"/>
              <w:spacing w:after="0" w:line="133"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right"/>
              <w:ind w:right="136"/>
              <w:spacing w:after="0" w:line="133"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60" w:type="dxa"/>
            <w:vAlign w:val="bottom"/>
          </w:tcPr>
          <w:p>
            <w:pPr>
              <w:spacing w:after="0"/>
              <w:rPr>
                <w:sz w:val="16"/>
                <w:szCs w:val="16"/>
                <w:color w:val="auto"/>
              </w:rPr>
            </w:pPr>
          </w:p>
        </w:tc>
        <w:tc>
          <w:tcPr>
            <w:tcW w:w="12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0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1,194,396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07"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ACL is recorded for the credit loss, limited by the amount that the fair value is less than the amortized cost basis under the CECL standard, and declines due to non-credit factors are recorded in accumulated 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statements of financial condition. Prior to implementation of the CECL standard, unrealized losses caused by a credit event would require the direct write-down of the AFS security through the other-than-temporary impairment (“OTTI”) approach.</w:t>
      </w:r>
    </w:p>
    <w:p>
      <w:pPr>
        <w:spacing w:after="0" w:line="139"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The Company did not record an ACL on the AFS securities as of December 31, 2024 and as of December 31, 2023. The Company considers the unrealized losses on the AFS securities to be related to fluctuations in market conditions, primarily interest rates, and not reflective of deterioration in credit. The Company had 462 securities in an unrealized loss position as of December 31, 2024. The Company has evaluated AFS securities in an unrealized loss position for credit-related impairment at December 31, 2024,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required to sell any of the investments before recovery of its amortized cost basis. As such, there was no ACL on AFS securities at December 31, 2024 and at December 31, 2023.</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Securities of U.S. Treasury and Federal Agencies and Federal Agency Mortgage (Residential and Commercial) Backed Securities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At December 31, 2024, the unrealized losses associated with 11 U.S. Treasuries and Government Agency securities, 15 Residential Mortgage Backed – Agency securities, and 14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December 31, 2024.</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Securities of U.S. States and Municipalities</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At December 31, 2024, the unrealized losses associated with 292 State and Municipal securities were primarily caused by changes in interest rates and not the credit quality of the securities. These investments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December 31, 2024.</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Commercial Mortgage Backed – Non-Agency Securities</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At December 31, 2024, the unrealized losses associated with 78 Residential Mortgage Backed – Non-Agency securities and 27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December 31, 2024.</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Asset-Backed Securities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At December 31, 2024, the unrealized losses associated with 16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December 31, 2024.</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Securities</w:t>
      </w:r>
    </w:p>
    <w:p>
      <w:pPr>
        <w:spacing w:after="0" w:line="165"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At December 31, 2024, the unrealized losses associated with 9 securities were primarily driven by interest rates and not the credit quality of the securities. These investments are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December 31, 2024.</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Company’s investment in FHLB stock totaled $18.2 million and $5.9 million at December 31, 2024, and 2023, respectively. The Company’s investment in Federal Reserve Bank stock totaled $14.8 million and $— at December 31, 2024, and 2023, respectively. FHLB and Federal Reserve stock are generally viewed as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3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investments and as restricted investment securities, which are carried at cost, because there is no market for the stocks other than member institutions. Therefore, when evaluating FHLB and Federal Reserve stock for impairment, their values are based on the ultimate recoverability of the par value rather than by recognizing temporary declines in value. The Company does not consider these investments to be impaired at December 31, 2024, and no impairment has been recognized. FHLB stock and Federal Reserve stock are included in a separate line item, Restricted stock, at cost, on the Consolidated Balance Sheets and are not part of the Company’s AFS investment securities portfolio.</w:t>
      </w:r>
    </w:p>
    <w:p>
      <w:pPr>
        <w:spacing w:after="0" w:line="13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Company’s Restricted stock line item on the Consolidated Balance Sheets also includes an investment in Community Bankers’ Bank, totaling $111 thousand at December 31, 2024, and $50 thousand December 31, 2023, which is carried at cost and is not impaired at December 31, 2024. The Company also has other restricted investments including Independent Community Bankcorp, Inc. and WV Bankers Title which are included in restricted stock on the Consolidated Balance Sheets as of December 31,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32" w:lineRule="exact"/>
        <w:rPr>
          <w:sz w:val="20"/>
          <w:szCs w:val="20"/>
          <w:color w:val="auto"/>
        </w:rPr>
      </w:pPr>
    </w:p>
    <w:p>
      <w:pPr>
        <w:ind w:left="640" w:hanging="320"/>
        <w:spacing w:after="0" w:line="26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17"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117"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17"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60" w:lineRule="exact"/>
        <w:rPr>
          <w:rFonts w:ascii="Times New Roman" w:cs="Times New Roman" w:eastAsia="Times New Roman" w:hAnsi="Times New Roman"/>
          <w:sz w:val="18"/>
          <w:szCs w:val="18"/>
          <w:color w:val="auto"/>
        </w:rPr>
      </w:pPr>
    </w:p>
    <w:p>
      <w:pPr>
        <w:jc w:val="both"/>
        <w:ind w:left="640" w:hanging="320"/>
        <w:spacing w:after="0" w:line="25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31"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which includes overdrafts, carry risk associated with the credit-worthiness of the borrower and the value of the collateral,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Loans at year-end by portfolio segment were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1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527,980</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2,087,756</w:t>
            </w:r>
          </w:p>
        </w:tc>
      </w:tr>
      <w:tr>
        <w:trPr>
          <w:trHeight w:val="21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2,062,455</w:t>
            </w:r>
          </w:p>
        </w:tc>
      </w:tr>
    </w:tbl>
    <w:p>
      <w:pPr>
        <w:spacing w:after="0" w:line="23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Net deferred loan fees included in the above loan categories totaled $4.4 million and $3.5 million at December 31, 2024, and December 31, 2023,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163"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 xml:space="preserve">On January 1, 2023, the Company adopted the CECL methodology as required under ASC 326. The measurement of expected credit losses under the CECL methodology is applicable to financial assets measured at amortized cost, including loan receivables. For further discussion on the Company’s accounting policies and policy elections related to the accounting standards update refer to </w:t>
      </w:r>
      <w:r>
        <w:rPr>
          <w:rFonts w:ascii="Times New Roman" w:cs="Times New Roman" w:eastAsia="Times New Roman" w:hAnsi="Times New Roman"/>
          <w:sz w:val="18"/>
          <w:szCs w:val="18"/>
          <w:u w:val="single" w:color="auto"/>
          <w:color w:val="0000FF"/>
        </w:rPr>
        <w:t>Note 1 — Nature of Business Activities and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these Notes to Consolidated Financial Statements. All information presented as of December 31, 2024, and December 31, 2023, is in accordance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ASC 326. All other information presented prior to January 1, 2023, is in accordance with previous applicable GAAP.</w:t>
      </w:r>
    </w:p>
    <w:p>
      <w:pPr>
        <w:spacing w:after="0" w:line="134"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The Company’s ACL is calculated quarterly, with any adjustment recorded to the provision for credit losses in the Consolidated Statements of Income. Management calculates the quantitative portion of collectively evaluated loans for all loan categories using the WARM method. For purposes of estimating the Company’s ACL, management generally evaluates collectively evaluated loans by federal call code in order to group loans with similar risk characteristics.</w:t>
      </w:r>
    </w:p>
    <w:p>
      <w:pPr>
        <w:spacing w:after="0" w:line="93"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3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 forecast. These qualitative risk factors considered by management are largely comparable to legacy factors prior to the adoption of CECL.</w:t>
      </w:r>
    </w:p>
    <w:p>
      <w:pPr>
        <w:spacing w:after="0" w:line="134"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tables present the activity in the ACL for the year ended December 31, 2024, including the impact of the allowance established for PCD loans, the activity in the ACL including the impact of the adoption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CECL for the year ended December 31, 2023, and the activity in the ACL for the year ended December 31, 2022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Owner-occupied</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Single family</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Consumer non-real</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rPr>
              <w:t>commercial real</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residential (1-4</w:t>
            </w:r>
          </w:p>
        </w:tc>
        <w:tc>
          <w:tcPr>
            <w:tcW w:w="116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estate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estate and other</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Unallocated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8"/>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6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Beginning balance, prior to adoption</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 CECL</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20,633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2,797</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Pr>
          <w:p>
            <w:pPr>
              <w:spacing w:after="0"/>
              <w:rPr>
                <w:sz w:val="15"/>
                <w:szCs w:val="15"/>
                <w:color w:val="auto"/>
              </w:rPr>
            </w:pPr>
          </w:p>
        </w:tc>
        <w:tc>
          <w:tcPr>
            <w:tcW w:w="860" w:type="dxa"/>
            <w:vAlign w:val="bottom"/>
          </w:tcPr>
          <w:p>
            <w:pPr>
              <w:jc w:val="right"/>
              <w:ind w:right="74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25,301</w:t>
            </w:r>
          </w:p>
        </w:tc>
        <w:tc>
          <w:tcPr>
            <w:tcW w:w="0" w:type="dxa"/>
            <w:vAlign w:val="bottom"/>
          </w:tcPr>
          <w:p>
            <w:pPr>
              <w:spacing w:after="0"/>
              <w:rPr>
                <w:sz w:val="1"/>
                <w:szCs w:val="1"/>
                <w:color w:val="auto"/>
              </w:rPr>
            </w:pPr>
          </w:p>
        </w:tc>
      </w:tr>
      <w:tr>
        <w:trPr>
          <w:trHeight w:val="126"/>
        </w:trPr>
        <w:tc>
          <w:tcPr>
            <w:tcW w:w="206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2"/>
                <w:szCs w:val="12"/>
                <w:color w:val="auto"/>
              </w:rPr>
              <w:t>Allowance established for acquired</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PCD loans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23,910</w:t>
            </w:r>
          </w:p>
        </w:tc>
        <w:tc>
          <w:tcPr>
            <w:tcW w:w="0" w:type="dxa"/>
            <w:vAlign w:val="bottom"/>
          </w:tcPr>
          <w:p>
            <w:pPr>
              <w:spacing w:after="0"/>
              <w:rPr>
                <w:sz w:val="1"/>
                <w:szCs w:val="1"/>
                <w:color w:val="auto"/>
              </w:rPr>
            </w:pPr>
          </w:p>
        </w:tc>
      </w:tr>
      <w:tr>
        <w:trPr>
          <w:trHeight w:val="118"/>
        </w:trPr>
        <w:tc>
          <w:tcPr>
            <w:tcW w:w="20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Provision for (recapture of) credit</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losses</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20,475</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Charge-offs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(1,807)</w:t>
            </w:r>
          </w:p>
        </w:tc>
        <w:tc>
          <w:tcPr>
            <w:tcW w:w="0" w:type="dxa"/>
            <w:vAlign w:val="bottom"/>
          </w:tcPr>
          <w:p>
            <w:pPr>
              <w:spacing w:after="0"/>
              <w:rPr>
                <w:sz w:val="1"/>
                <w:szCs w:val="1"/>
                <w:color w:val="auto"/>
              </w:rPr>
            </w:pPr>
          </w:p>
        </w:tc>
      </w:tr>
      <w:tr>
        <w:trPr>
          <w:trHeight w:val="165"/>
        </w:trPr>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Recoveries</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0" w:type="dxa"/>
            <w:vAlign w:val="bottom"/>
          </w:tcPr>
          <w:p>
            <w:pPr>
              <w:spacing w:after="0"/>
              <w:rPr>
                <w:sz w:val="1"/>
                <w:szCs w:val="1"/>
                <w:color w:val="auto"/>
              </w:rPr>
            </w:pPr>
          </w:p>
        </w:tc>
      </w:tr>
      <w:tr>
        <w:trPr>
          <w:trHeight w:val="164"/>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30,444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68,040</w:t>
            </w: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Owner-occupied</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Single family</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Consumer non-real</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rPr>
              <w:t>commercial real</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residential (1-4</w:t>
            </w:r>
          </w:p>
        </w:tc>
        <w:tc>
          <w:tcPr>
            <w:tcW w:w="116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estate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estate and other</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Unallocated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8"/>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2,379</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4"/>
                <w:szCs w:val="14"/>
                <w:color w:val="auto"/>
              </w:rPr>
            </w:pPr>
          </w:p>
        </w:tc>
        <w:tc>
          <w:tcPr>
            <w:tcW w:w="860" w:type="dxa"/>
            <w:vAlign w:val="bottom"/>
          </w:tcPr>
          <w:p>
            <w:pPr>
              <w:jc w:val="right"/>
              <w:ind w:right="74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21,039</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Impact of adoption CECL</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4,125</w:t>
            </w:r>
          </w:p>
        </w:tc>
        <w:tc>
          <w:tcPr>
            <w:tcW w:w="0" w:type="dxa"/>
            <w:vAlign w:val="bottom"/>
          </w:tcPr>
          <w:p>
            <w:pPr>
              <w:spacing w:after="0"/>
              <w:rPr>
                <w:sz w:val="1"/>
                <w:szCs w:val="1"/>
                <w:color w:val="auto"/>
              </w:rPr>
            </w:pPr>
          </w:p>
        </w:tc>
      </w:tr>
      <w:tr>
        <w:trPr>
          <w:trHeight w:val="118"/>
        </w:trPr>
        <w:tc>
          <w:tcPr>
            <w:tcW w:w="20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auto"/>
              </w:rPr>
              <w:t>Provision for (recapture of) credit</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losses</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Charge-offs</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0" w:type="dxa"/>
            <w:vAlign w:val="bottom"/>
          </w:tcPr>
          <w:p>
            <w:pPr>
              <w:spacing w:after="0"/>
              <w:rPr>
                <w:sz w:val="1"/>
                <w:szCs w:val="1"/>
                <w:color w:val="auto"/>
              </w:rPr>
            </w:pPr>
          </w:p>
        </w:tc>
      </w:tr>
      <w:tr>
        <w:trPr>
          <w:trHeight w:val="165"/>
        </w:trPr>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Recoveries</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0" w:type="dxa"/>
            <w:vAlign w:val="bottom"/>
          </w:tcPr>
          <w:p>
            <w:pPr>
              <w:spacing w:after="0"/>
              <w:rPr>
                <w:sz w:val="1"/>
                <w:szCs w:val="1"/>
                <w:color w:val="auto"/>
              </w:rPr>
            </w:pPr>
          </w:p>
        </w:tc>
      </w:tr>
      <w:tr>
        <w:trPr>
          <w:trHeight w:val="164"/>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20,633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25,301</w:t>
            </w:r>
          </w:p>
        </w:tc>
        <w:tc>
          <w:tcPr>
            <w:tcW w:w="0" w:type="dxa"/>
            <w:vAlign w:val="bottom"/>
          </w:tcPr>
          <w:p>
            <w:pPr>
              <w:spacing w:after="0"/>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Owner-occupied</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Commercial &amp;</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Single family</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Consumer non-real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rPr>
              <w:t>commercial real</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residential (1-4</w:t>
            </w:r>
          </w:p>
        </w:tc>
        <w:tc>
          <w:tcPr>
            <w:tcW w:w="11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estate</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estate</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industrial</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estate and other</w:t>
            </w:r>
          </w:p>
        </w:tc>
        <w:tc>
          <w:tcPr>
            <w:tcW w:w="1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8"/>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25,112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2,434</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1,180</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31,709</w:t>
            </w:r>
          </w:p>
        </w:tc>
        <w:tc>
          <w:tcPr>
            <w:tcW w:w="0" w:type="dxa"/>
            <w:vAlign w:val="bottom"/>
          </w:tcPr>
          <w:p>
            <w:pPr>
              <w:spacing w:after="0"/>
              <w:rPr>
                <w:sz w:val="1"/>
                <w:szCs w:val="1"/>
                <w:color w:val="auto"/>
              </w:rPr>
            </w:pPr>
          </w:p>
        </w:tc>
      </w:tr>
      <w:tr>
        <w:trPr>
          <w:trHeight w:val="124"/>
        </w:trPr>
        <w:tc>
          <w:tcPr>
            <w:tcW w:w="206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Provision for (recapture of) loan</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losses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(6,391)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(7,466)</w:t>
            </w:r>
          </w:p>
        </w:tc>
        <w:tc>
          <w:tcPr>
            <w:tcW w:w="0" w:type="dxa"/>
            <w:vAlign w:val="bottom"/>
          </w:tcPr>
          <w:p>
            <w:pPr>
              <w:spacing w:after="0"/>
              <w:rPr>
                <w:sz w:val="1"/>
                <w:szCs w:val="1"/>
                <w:color w:val="auto"/>
              </w:rPr>
            </w:pPr>
          </w:p>
        </w:tc>
      </w:tr>
      <w:tr>
        <w:trPr>
          <w:trHeight w:val="165"/>
        </w:trPr>
        <w:tc>
          <w:tcPr>
            <w:tcW w:w="20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Charge-offs</w:t>
            </w:r>
          </w:p>
        </w:tc>
        <w:tc>
          <w:tcPr>
            <w:tcW w:w="80" w:type="dxa"/>
            <w:vAlign w:val="bottom"/>
          </w:tcPr>
          <w:p>
            <w:pPr>
              <w:spacing w:after="0"/>
              <w:rPr>
                <w:sz w:val="14"/>
                <w:szCs w:val="14"/>
                <w:color w:val="auto"/>
              </w:rPr>
            </w:pPr>
          </w:p>
        </w:tc>
        <w:tc>
          <w:tcPr>
            <w:tcW w:w="9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(3,282)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(3,450)</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Recoveries</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0" w:type="dxa"/>
            <w:vAlign w:val="bottom"/>
          </w:tcPr>
          <w:p>
            <w:pPr>
              <w:spacing w:after="0"/>
              <w:rPr>
                <w:sz w:val="1"/>
                <w:szCs w:val="1"/>
                <w:color w:val="auto"/>
              </w:rPr>
            </w:pPr>
          </w:p>
        </w:tc>
      </w:tr>
      <w:tr>
        <w:trPr>
          <w:trHeight w:val="158"/>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2"/>
                <w:szCs w:val="12"/>
                <w:color w:val="auto"/>
              </w:rPr>
              <w:t>15,477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and loan origination fees, net due to immateriality. The following table presents the aging of the recorded investment in past due loans as of December 31, 2024, and December 31, 2023, by portfolio segment (in thousands).</w:t>
      </w:r>
    </w:p>
    <w:p>
      <w:pPr>
        <w:spacing w:after="0" w:line="15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2060" w:type="dxa"/>
            <w:vAlign w:val="bottom"/>
          </w:tcPr>
          <w:p>
            <w:pPr>
              <w:spacing w:after="0"/>
              <w:rPr>
                <w:sz w:val="11"/>
                <w:szCs w:val="11"/>
                <w:color w:val="auto"/>
              </w:rPr>
            </w:pPr>
          </w:p>
        </w:tc>
        <w:tc>
          <w:tcPr>
            <w:tcW w:w="1100" w:type="dxa"/>
            <w:vAlign w:val="bottom"/>
            <w:tcBorders>
              <w:top w:val="single" w:sz="8" w:color="auto"/>
            </w:tcBorders>
            <w:gridSpan w:val="3"/>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rPr>
              <w:t>30 - 59 Days Past</w:t>
            </w:r>
          </w:p>
        </w:tc>
        <w:tc>
          <w:tcPr>
            <w:tcW w:w="1100" w:type="dxa"/>
            <w:vAlign w:val="bottom"/>
            <w:tcBorders>
              <w:top w:val="single" w:sz="8" w:color="auto"/>
            </w:tcBorders>
            <w:gridSpan w:val="3"/>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rPr>
              <w:t>60 - 89 Days Past</w:t>
            </w:r>
          </w:p>
        </w:tc>
        <w:tc>
          <w:tcPr>
            <w:tcW w:w="1100" w:type="dxa"/>
            <w:vAlign w:val="bottom"/>
            <w:tcBorders>
              <w:top w:val="single" w:sz="8" w:color="auto"/>
            </w:tcBorders>
            <w:gridSpan w:val="3"/>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90 Days or More</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rPr>
              <w:t>90 Days Past Due</w:t>
            </w: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r>
      <w:tr>
        <w:trPr>
          <w:trHeight w:val="177"/>
        </w:trPr>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Due</w:t>
            </w:r>
          </w:p>
        </w:tc>
        <w:tc>
          <w:tcPr>
            <w:tcW w:w="2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Due</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Total Past Due</w:t>
            </w: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Current Loans</w:t>
            </w:r>
          </w:p>
        </w:tc>
        <w:tc>
          <w:tcPr>
            <w:tcW w:w="16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 Loans</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&amp; Still Accruing</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Non-accrual loans</w:t>
            </w:r>
          </w:p>
        </w:tc>
      </w:tr>
      <w:tr>
        <w:trPr>
          <w:trHeight w:val="171"/>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 real estate</w:t>
            </w:r>
          </w:p>
        </w:tc>
        <w:tc>
          <w:tcPr>
            <w:tcW w:w="22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19,414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2,618,388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2,637,802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19,183</w:t>
            </w:r>
          </w:p>
        </w:tc>
      </w:tr>
      <w:tr>
        <w:trPr>
          <w:trHeight w:val="165"/>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Owner-occupied commercial real estate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8,036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606,326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614,362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5,760</w:t>
            </w:r>
          </w:p>
        </w:tc>
      </w:tr>
      <w:tr>
        <w:trPr>
          <w:trHeight w:val="124"/>
        </w:trPr>
        <w:tc>
          <w:tcPr>
            <w:tcW w:w="206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Acquisition, construction &amp;</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84"/>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development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6,491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459,046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465,537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1,098</w:t>
            </w:r>
          </w:p>
        </w:tc>
      </w:tr>
      <w:tr>
        <w:trPr>
          <w:trHeight w:val="165"/>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 &amp; industrial</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4,717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608,368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613,085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1,757</w:t>
            </w:r>
          </w:p>
        </w:tc>
      </w:tr>
      <w:tr>
        <w:trPr>
          <w:trHeight w:val="17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Single family residential (1-4 units)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28,523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1,145,226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1,173,749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7,857</w:t>
            </w:r>
          </w:p>
        </w:tc>
      </w:tr>
      <w:tr>
        <w:trPr>
          <w:trHeight w:val="165"/>
        </w:trPr>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Consumer non-real estate and other</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1,132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166,569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167,701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w:t>
            </w:r>
          </w:p>
        </w:tc>
      </w:tr>
      <w:tr>
        <w:trPr>
          <w:trHeight w:val="164"/>
        </w:trPr>
        <w:tc>
          <w:tcPr>
            <w:tcW w:w="2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40,359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7,947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68,313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5,603,923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5,672,236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35,871</w:t>
            </w:r>
          </w:p>
        </w:tc>
      </w:tr>
    </w:tbl>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2060" w:type="dxa"/>
            <w:vAlign w:val="bottom"/>
          </w:tcPr>
          <w:p>
            <w:pPr>
              <w:spacing w:after="0"/>
              <w:rPr>
                <w:sz w:val="11"/>
                <w:szCs w:val="11"/>
                <w:color w:val="auto"/>
              </w:rPr>
            </w:pPr>
          </w:p>
        </w:tc>
        <w:tc>
          <w:tcPr>
            <w:tcW w:w="1100" w:type="dxa"/>
            <w:vAlign w:val="bottom"/>
            <w:tcBorders>
              <w:top w:val="single" w:sz="8" w:color="auto"/>
            </w:tcBorders>
            <w:gridSpan w:val="3"/>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rPr>
              <w:t>30 - 59 Days Past</w:t>
            </w:r>
          </w:p>
        </w:tc>
        <w:tc>
          <w:tcPr>
            <w:tcW w:w="1100" w:type="dxa"/>
            <w:vAlign w:val="bottom"/>
            <w:tcBorders>
              <w:top w:val="single" w:sz="8" w:color="auto"/>
            </w:tcBorders>
            <w:gridSpan w:val="3"/>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rPr>
              <w:t>60 - 89 Days Past</w:t>
            </w:r>
          </w:p>
        </w:tc>
        <w:tc>
          <w:tcPr>
            <w:tcW w:w="1100" w:type="dxa"/>
            <w:vAlign w:val="bottom"/>
            <w:tcBorders>
              <w:top w:val="single" w:sz="8" w:color="auto"/>
            </w:tcBorders>
            <w:gridSpan w:val="3"/>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90 Days or More</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right"/>
              <w:ind w:right="160"/>
              <w:spacing w:after="0" w:line="132" w:lineRule="exact"/>
              <w:rPr>
                <w:sz w:val="20"/>
                <w:szCs w:val="20"/>
                <w:color w:val="auto"/>
              </w:rPr>
            </w:pPr>
            <w:r>
              <w:rPr>
                <w:rFonts w:ascii="Times New Roman" w:cs="Times New Roman" w:eastAsia="Times New Roman" w:hAnsi="Times New Roman"/>
                <w:sz w:val="12"/>
                <w:szCs w:val="12"/>
                <w:b w:val="1"/>
                <w:bCs w:val="1"/>
                <w:color w:val="auto"/>
              </w:rPr>
              <w:t>90 Days Past Due</w:t>
            </w: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77"/>
        </w:trPr>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Due</w:t>
            </w:r>
          </w:p>
        </w:tc>
        <w:tc>
          <w:tcPr>
            <w:tcW w:w="2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Due</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Total Past Due</w:t>
            </w: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Current Loans</w:t>
            </w:r>
          </w:p>
        </w:tc>
        <w:tc>
          <w:tcPr>
            <w:tcW w:w="16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 Loans</w:t>
            </w:r>
          </w:p>
        </w:tc>
        <w:tc>
          <w:tcPr>
            <w:tcW w:w="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&amp; Still Accruing</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Non-accrual loans</w:t>
            </w:r>
          </w:p>
        </w:tc>
      </w:tr>
      <w:tr>
        <w:trPr>
          <w:trHeight w:val="171"/>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 real estate</w:t>
            </w:r>
          </w:p>
        </w:tc>
        <w:tc>
          <w:tcPr>
            <w:tcW w:w="22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10,496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10,496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1,298,588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1,309,084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Owner-occupied commercial real estate</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131,381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24"/>
        </w:trPr>
        <w:tc>
          <w:tcPr>
            <w:tcW w:w="206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Acquisition, construction &amp;</w:t>
            </w: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84"/>
        </w:trPr>
        <w:tc>
          <w:tcPr>
            <w:tcW w:w="2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development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 &amp; industrial</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Single family residential (1-4 units)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3,478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524,502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527,980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2,744</w:t>
            </w:r>
          </w:p>
        </w:tc>
      </w:tr>
      <w:tr>
        <w:trPr>
          <w:trHeight w:val="165"/>
        </w:trPr>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Consumer non-real estate and other</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20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12,351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15,326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2,072,430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2,087,756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3,744</w:t>
            </w:r>
          </w:p>
        </w:tc>
      </w:tr>
    </w:tbl>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the top twenty-five non-homogenous commercial loan relationships as measured by total Company exposure to each borrower. The Company uses the following definitions for credit risk classifications: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61" w:lineRule="exact"/>
        <w:rPr>
          <w:sz w:val="20"/>
          <w:szCs w:val="20"/>
          <w:color w:val="auto"/>
        </w:rPr>
      </w:pPr>
    </w:p>
    <w:p>
      <w:pPr>
        <w:jc w:val="both"/>
        <w:ind w:firstLine="315"/>
        <w:spacing w:after="0" w:line="270"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12"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25" w:lineRule="exact"/>
        <w:rPr>
          <w:sz w:val="20"/>
          <w:szCs w:val="20"/>
          <w:color w:val="auto"/>
        </w:rPr>
      </w:pPr>
    </w:p>
    <w:p>
      <w:pPr>
        <w:jc w:val="both"/>
        <w:ind w:firstLine="315"/>
        <w:spacing w:after="0" w:line="270"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28" w:lineRule="exact"/>
        <w:rPr>
          <w:sz w:val="20"/>
          <w:szCs w:val="20"/>
          <w:color w:val="auto"/>
        </w:rPr>
      </w:pPr>
    </w:p>
    <w:p>
      <w:pPr>
        <w:jc w:val="both"/>
        <w:ind w:firstLine="315"/>
        <w:spacing w:after="0" w:line="270"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 possibility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recovery in the future, it is not practical or desirable to defer writing off these loans at the present time.</w:t>
      </w:r>
    </w:p>
    <w:p>
      <w:pPr>
        <w:spacing w:after="0" w:line="11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December 31,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Term Loans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240" w:type="dxa"/>
            <w:vAlign w:val="bottom"/>
          </w:tcPr>
          <w:p>
            <w:pPr>
              <w:spacing w:after="0"/>
              <w:rPr>
                <w:sz w:val="15"/>
                <w:szCs w:val="15"/>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8"/>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 real estate</w:t>
            </w: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248,023</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378,322</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482,195</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337,136</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153,187</w:t>
            </w:r>
          </w:p>
        </w:tc>
        <w:tc>
          <w:tcPr>
            <w:tcW w:w="10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588,490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96,914</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2,284,267</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30,018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182,671</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49,752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39,636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170,864</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248,023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387,702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561,965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429,657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163,340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698,485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148,630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2,637,802</w:t>
            </w:r>
          </w:p>
        </w:tc>
      </w:tr>
      <w:tr>
        <w:trPr>
          <w:trHeight w:val="91"/>
        </w:trPr>
        <w:tc>
          <w:tcPr>
            <w:tcW w:w="1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382.00</w:t>
            </w:r>
          </w:p>
        </w:tc>
      </w:tr>
      <w:tr>
        <w:trPr>
          <w:trHeight w:val="91"/>
        </w:trPr>
        <w:tc>
          <w:tcPr>
            <w:tcW w:w="19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118"/>
        </w:trPr>
        <w:tc>
          <w:tcPr>
            <w:tcW w:w="19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Owner-occupied commercial real</w:t>
            </w: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64"/>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estate</w:t>
            </w: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61,433</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72,571</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93,941</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126,700</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36,197</w:t>
            </w:r>
          </w:p>
        </w:tc>
        <w:tc>
          <w:tcPr>
            <w:tcW w:w="10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170,809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32,452</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594,103</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4,247</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15,863</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61,433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72,571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99,133</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128,439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44,425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175,827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32,534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614,362</w:t>
            </w:r>
          </w:p>
        </w:tc>
      </w:tr>
      <w:tr>
        <w:trPr>
          <w:trHeight w:val="91"/>
        </w:trPr>
        <w:tc>
          <w:tcPr>
            <w:tcW w:w="1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91"/>
        </w:trPr>
        <w:tc>
          <w:tcPr>
            <w:tcW w:w="19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118"/>
        </w:trPr>
        <w:tc>
          <w:tcPr>
            <w:tcW w:w="19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Acquisition, construction &amp;</w:t>
            </w: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64"/>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development</w:t>
            </w: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25,461</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109,751</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90,652</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147,702</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3,564</w:t>
            </w:r>
          </w:p>
        </w:tc>
        <w:tc>
          <w:tcPr>
            <w:tcW w:w="10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16,312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15,107</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408,549</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2,783</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53,907</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25,461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122,866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95,119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153,669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25,078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16,375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465,537</w:t>
            </w:r>
          </w:p>
        </w:tc>
      </w:tr>
      <w:tr>
        <w:trPr>
          <w:trHeight w:val="91"/>
        </w:trPr>
        <w:tc>
          <w:tcPr>
            <w:tcW w:w="1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91"/>
        </w:trPr>
        <w:tc>
          <w:tcPr>
            <w:tcW w:w="19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 &amp; industrial</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108,206</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57,280</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47,828</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35,189</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15,109</w:t>
            </w:r>
          </w:p>
        </w:tc>
        <w:tc>
          <w:tcPr>
            <w:tcW w:w="10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237,852</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529,483</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35,237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64,861</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18,739</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108,608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57,565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87,547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46,705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17,137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29,050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266,473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613,085</w:t>
            </w:r>
          </w:p>
        </w:tc>
      </w:tr>
      <w:tr>
        <w:trPr>
          <w:trHeight w:val="91"/>
        </w:trPr>
        <w:tc>
          <w:tcPr>
            <w:tcW w:w="1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w:t>
            </w:r>
          </w:p>
        </w:tc>
      </w:tr>
      <w:tr>
        <w:trPr>
          <w:trHeight w:val="91"/>
        </w:trPr>
        <w:tc>
          <w:tcPr>
            <w:tcW w:w="19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Single family residential (1-4 units)</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88,857</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152,438</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201,410</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142,719</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77,783</w:t>
            </w:r>
          </w:p>
        </w:tc>
        <w:tc>
          <w:tcPr>
            <w:tcW w:w="10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332,025</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170,077</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1,165,309</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7,857</w:t>
            </w:r>
          </w:p>
        </w:tc>
      </w:tr>
      <w:tr>
        <w:trPr>
          <w:trHeight w:val="179"/>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88,950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153,932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202,210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143,305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78,388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336,175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170,789</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1,173,749</w:t>
            </w:r>
          </w:p>
        </w:tc>
      </w:tr>
      <w:tr>
        <w:trPr>
          <w:trHeight w:val="91"/>
        </w:trPr>
        <w:tc>
          <w:tcPr>
            <w:tcW w:w="1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r>
      <w:tr>
        <w:trPr>
          <w:trHeight w:val="91"/>
        </w:trPr>
        <w:tc>
          <w:tcPr>
            <w:tcW w:w="19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Consumer non-real estate and other</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21,095</w:t>
            </w:r>
          </w:p>
        </w:tc>
        <w:tc>
          <w:tcPr>
            <w:tcW w:w="100" w:type="dxa"/>
            <w:vAlign w:val="bottom"/>
          </w:tcPr>
          <w:p>
            <w:pPr>
              <w:spacing w:after="0"/>
              <w:rPr>
                <w:sz w:val="14"/>
                <w:szCs w:val="14"/>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10,796</w:t>
            </w:r>
          </w:p>
        </w:tc>
        <w:tc>
          <w:tcPr>
            <w:tcW w:w="80" w:type="dxa"/>
            <w:vAlign w:val="bottom"/>
          </w:tcPr>
          <w:p>
            <w:pPr>
              <w:spacing w:after="0"/>
              <w:rPr>
                <w:sz w:val="14"/>
                <w:szCs w:val="14"/>
                <w:color w:val="auto"/>
              </w:rPr>
            </w:pPr>
          </w:p>
        </w:tc>
        <w:tc>
          <w:tcPr>
            <w:tcW w:w="320" w:type="dxa"/>
            <w:vAlign w:val="bottom"/>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6,122</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100" w:type="dxa"/>
            <w:vAlign w:val="bottom"/>
          </w:tcPr>
          <w:p>
            <w:pPr>
              <w:spacing w:after="0"/>
              <w:rPr>
                <w:sz w:val="14"/>
                <w:szCs w:val="14"/>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2,797</w:t>
            </w:r>
          </w:p>
        </w:tc>
        <w:tc>
          <w:tcPr>
            <w:tcW w:w="100" w:type="dxa"/>
            <w:vAlign w:val="bottom"/>
          </w:tcPr>
          <w:p>
            <w:pPr>
              <w:spacing w:after="0"/>
              <w:rPr>
                <w:sz w:val="14"/>
                <w:szCs w:val="14"/>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123,148</w:t>
            </w:r>
          </w:p>
        </w:tc>
        <w:tc>
          <w:tcPr>
            <w:tcW w:w="100" w:type="dxa"/>
            <w:vAlign w:val="bottom"/>
          </w:tcPr>
          <w:p>
            <w:pPr>
              <w:spacing w:after="0"/>
              <w:rPr>
                <w:sz w:val="14"/>
                <w:szCs w:val="14"/>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166,890</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21,762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10,898</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1,099</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123,148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167,701</w:t>
            </w:r>
          </w:p>
        </w:tc>
      </w:tr>
      <w:tr>
        <w:trPr>
          <w:trHeight w:val="91"/>
        </w:trPr>
        <w:tc>
          <w:tcPr>
            <w:tcW w:w="1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r>
      <w:tr>
        <w:trPr>
          <w:trHeight w:val="25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Totals</w:t>
            </w: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554,237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805,534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1,052,113</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903,616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329,467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1,258,726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768,543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5,672,236</w:t>
            </w:r>
          </w:p>
        </w:tc>
      </w:tr>
    </w:tbl>
    <w:p>
      <w:pPr>
        <w:spacing w:after="0" w:line="200" w:lineRule="exact"/>
        <w:rPr>
          <w:sz w:val="20"/>
          <w:szCs w:val="20"/>
          <w:color w:val="auto"/>
        </w:rPr>
      </w:pPr>
    </w:p>
    <w:p>
      <w:pPr>
        <w:spacing w:after="0" w:line="26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December 31, 2023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Term Loans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240" w:type="dxa"/>
            <w:vAlign w:val="bottom"/>
          </w:tcPr>
          <w:p>
            <w:pPr>
              <w:spacing w:after="0"/>
              <w:rPr>
                <w:sz w:val="15"/>
                <w:szCs w:val="15"/>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8"/>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 real estate</w:t>
            </w: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195,857</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261,817</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166,253</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22,791</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75,170</w:t>
            </w:r>
          </w:p>
        </w:tc>
        <w:tc>
          <w:tcPr>
            <w:tcW w:w="10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416,774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36,761</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1,175,423</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52,560</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81,101</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289,472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214,549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22,791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82,255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467,399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36,761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1,309,084</w:t>
            </w:r>
          </w:p>
        </w:tc>
      </w:tr>
      <w:tr>
        <w:trPr>
          <w:trHeight w:val="91"/>
        </w:trPr>
        <w:tc>
          <w:tcPr>
            <w:tcW w:w="1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91"/>
        </w:trPr>
        <w:tc>
          <w:tcPr>
            <w:tcW w:w="19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118"/>
        </w:trPr>
        <w:tc>
          <w:tcPr>
            <w:tcW w:w="19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Owner-occupied commercial real</w:t>
            </w: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64"/>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estate</w:t>
            </w: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9,309</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31,725</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11,229</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14,103</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10,279</w:t>
            </w:r>
          </w:p>
        </w:tc>
        <w:tc>
          <w:tcPr>
            <w:tcW w:w="10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43,616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6,184</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126,445</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4,936</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32,257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11,229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48,020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131,381</w:t>
            </w:r>
          </w:p>
        </w:tc>
      </w:tr>
      <w:tr>
        <w:trPr>
          <w:trHeight w:val="91"/>
        </w:trPr>
        <w:tc>
          <w:tcPr>
            <w:tcW w:w="1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91"/>
        </w:trPr>
        <w:tc>
          <w:tcPr>
            <w:tcW w:w="190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118"/>
        </w:trPr>
        <w:tc>
          <w:tcPr>
            <w:tcW w:w="19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Acquisition, construction &amp;</w:t>
            </w: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64"/>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development</w:t>
            </w: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8,535</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24,286</w:t>
            </w:r>
          </w:p>
        </w:tc>
        <w:tc>
          <w:tcPr>
            <w:tcW w:w="8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13,698</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100" w:type="dxa"/>
            <w:vAlign w:val="bottom"/>
          </w:tcPr>
          <w:p>
            <w:pPr>
              <w:spacing w:after="0"/>
              <w:rPr>
                <w:sz w:val="14"/>
                <w:szCs w:val="14"/>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1,603</w:t>
            </w:r>
          </w:p>
        </w:tc>
        <w:tc>
          <w:tcPr>
            <w:tcW w:w="100" w:type="dxa"/>
            <w:vAlign w:val="bottom"/>
          </w:tcPr>
          <w:p>
            <w:pPr>
              <w:spacing w:after="0"/>
              <w:rPr>
                <w:sz w:val="14"/>
                <w:szCs w:val="14"/>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49,091</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2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24,286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13,698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49,091</w:t>
            </w:r>
          </w:p>
        </w:tc>
      </w:tr>
      <w:tr>
        <w:trPr>
          <w:trHeight w:val="91"/>
        </w:trPr>
        <w:tc>
          <w:tcPr>
            <w:tcW w:w="1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Commercial &amp; industrial</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29,111</w:t>
            </w:r>
          </w:p>
        </w:tc>
        <w:tc>
          <w:tcPr>
            <w:tcW w:w="100" w:type="dxa"/>
            <w:vAlign w:val="bottom"/>
          </w:tcPr>
          <w:p>
            <w:pPr>
              <w:spacing w:after="0"/>
              <w:rPr>
                <w:sz w:val="14"/>
                <w:szCs w:val="14"/>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15,204</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4,344</w:t>
            </w:r>
          </w:p>
        </w:tc>
        <w:tc>
          <w:tcPr>
            <w:tcW w:w="80" w:type="dxa"/>
            <w:vAlign w:val="bottom"/>
          </w:tcPr>
          <w:p>
            <w:pPr>
              <w:spacing w:after="0"/>
              <w:rPr>
                <w:sz w:val="14"/>
                <w:szCs w:val="14"/>
                <w:color w:val="auto"/>
              </w:rPr>
            </w:pPr>
          </w:p>
        </w:tc>
        <w:tc>
          <w:tcPr>
            <w:tcW w:w="40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10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16,854</w:t>
            </w:r>
          </w:p>
        </w:tc>
        <w:tc>
          <w:tcPr>
            <w:tcW w:w="100" w:type="dxa"/>
            <w:vAlign w:val="bottom"/>
          </w:tcPr>
          <w:p>
            <w:pPr>
              <w:spacing w:after="0"/>
              <w:rPr>
                <w:sz w:val="14"/>
                <w:szCs w:val="14"/>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67,025</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29,111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15,204</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5,166</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16,854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67,847</w:t>
            </w:r>
          </w:p>
        </w:tc>
      </w:tr>
      <w:tr>
        <w:trPr>
          <w:trHeight w:val="91"/>
        </w:trPr>
        <w:tc>
          <w:tcPr>
            <w:tcW w:w="1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91"/>
        </w:trPr>
        <w:tc>
          <w:tcPr>
            <w:tcW w:w="19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Single family residential (1-4 units)</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78,222</w:t>
            </w:r>
          </w:p>
        </w:tc>
        <w:tc>
          <w:tcPr>
            <w:tcW w:w="100" w:type="dxa"/>
            <w:vAlign w:val="bottom"/>
          </w:tcPr>
          <w:p>
            <w:pPr>
              <w:spacing w:after="0"/>
              <w:rPr>
                <w:sz w:val="14"/>
                <w:szCs w:val="14"/>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122,067</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60,202</w:t>
            </w:r>
          </w:p>
        </w:tc>
        <w:tc>
          <w:tcPr>
            <w:tcW w:w="80" w:type="dxa"/>
            <w:vAlign w:val="bottom"/>
          </w:tcPr>
          <w:p>
            <w:pPr>
              <w:spacing w:after="0"/>
              <w:rPr>
                <w:sz w:val="14"/>
                <w:szCs w:val="14"/>
                <w:color w:val="auto"/>
              </w:rPr>
            </w:pPr>
          </w:p>
        </w:tc>
        <w:tc>
          <w:tcPr>
            <w:tcW w:w="40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32,158</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40,938</w:t>
            </w:r>
          </w:p>
        </w:tc>
        <w:tc>
          <w:tcPr>
            <w:tcW w:w="100" w:type="dxa"/>
            <w:vAlign w:val="bottom"/>
          </w:tcPr>
          <w:p>
            <w:pPr>
              <w:spacing w:after="0"/>
              <w:rPr>
                <w:sz w:val="14"/>
                <w:szCs w:val="14"/>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137,376</w:t>
            </w:r>
          </w:p>
        </w:tc>
        <w:tc>
          <w:tcPr>
            <w:tcW w:w="10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54,273</w:t>
            </w:r>
          </w:p>
        </w:tc>
        <w:tc>
          <w:tcPr>
            <w:tcW w:w="100" w:type="dxa"/>
            <w:vAlign w:val="bottom"/>
          </w:tcPr>
          <w:p>
            <w:pPr>
              <w:spacing w:after="0"/>
              <w:rPr>
                <w:sz w:val="14"/>
                <w:szCs w:val="14"/>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525,236</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2,744</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78,222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122,067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60,493</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32,401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40,938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139,547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54,312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527,980</w:t>
            </w:r>
          </w:p>
        </w:tc>
      </w:tr>
      <w:tr>
        <w:trPr>
          <w:trHeight w:val="91"/>
        </w:trPr>
        <w:tc>
          <w:tcPr>
            <w:tcW w:w="1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91"/>
        </w:trPr>
        <w:tc>
          <w:tcPr>
            <w:tcW w:w="19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r>
      <w:tr>
        <w:trPr>
          <w:trHeight w:val="17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Consumer non-real estate and other</w:t>
            </w: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Pass</w:t>
            </w: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100" w:type="dxa"/>
            <w:vAlign w:val="bottom"/>
          </w:tcPr>
          <w:p>
            <w:pPr>
              <w:spacing w:after="0"/>
              <w:rPr>
                <w:sz w:val="14"/>
                <w:szCs w:val="14"/>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4"/>
                <w:szCs w:val="14"/>
                <w:color w:val="auto"/>
              </w:rPr>
            </w:pPr>
          </w:p>
        </w:tc>
        <w:tc>
          <w:tcPr>
            <w:tcW w:w="40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w:t>
            </w:r>
          </w:p>
        </w:tc>
        <w:tc>
          <w:tcPr>
            <w:tcW w:w="100" w:type="dxa"/>
            <w:vAlign w:val="bottom"/>
          </w:tcPr>
          <w:p>
            <w:pPr>
              <w:spacing w:after="0"/>
              <w:rPr>
                <w:sz w:val="14"/>
                <w:szCs w:val="14"/>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00" w:type="dxa"/>
            <w:vAlign w:val="bottom"/>
          </w:tcPr>
          <w:p>
            <w:pPr>
              <w:spacing w:after="0"/>
              <w:rPr>
                <w:sz w:val="14"/>
                <w:szCs w:val="14"/>
                <w:color w:val="auto"/>
              </w:rPr>
            </w:pPr>
          </w:p>
        </w:tc>
        <w:tc>
          <w:tcPr>
            <w:tcW w:w="36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100" w:type="dxa"/>
            <w:vAlign w:val="bottom"/>
          </w:tcPr>
          <w:p>
            <w:pPr>
              <w:spacing w:after="0"/>
              <w:rPr>
                <w:sz w:val="14"/>
                <w:szCs w:val="14"/>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2,373</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Special Mention</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Substandard</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Doubtful</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4"/>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2,373</w:t>
            </w:r>
          </w:p>
        </w:tc>
      </w:tr>
      <w:tr>
        <w:trPr>
          <w:trHeight w:val="91"/>
        </w:trPr>
        <w:tc>
          <w:tcPr>
            <w:tcW w:w="1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165"/>
        </w:trPr>
        <w:tc>
          <w:tcPr>
            <w:tcW w:w="1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Year to date gross charge-offs</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r>
      <w:tr>
        <w:trPr>
          <w:trHeight w:val="255"/>
        </w:trPr>
        <w:tc>
          <w:tcPr>
            <w:tcW w:w="1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Totals</w:t>
            </w: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321,368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483,436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305,178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69,608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134,601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656,867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116,698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2,087,756</w:t>
            </w:r>
          </w:p>
        </w:tc>
      </w:tr>
    </w:tbl>
    <w:p>
      <w:pPr>
        <w:spacing w:after="0" w:line="200" w:lineRule="exact"/>
        <w:rPr>
          <w:sz w:val="20"/>
          <w:szCs w:val="20"/>
          <w:color w:val="auto"/>
        </w:rPr>
      </w:pPr>
    </w:p>
    <w:p>
      <w:pPr>
        <w:spacing w:after="0" w:line="26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 December 31, 2024 and December 31, 2023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6"/>
          </w:tcPr>
          <w:p>
            <w:pPr>
              <w:jc w:val="center"/>
              <w:ind w:left="1030"/>
              <w:spacing w:after="0"/>
              <w:rPr>
                <w:sz w:val="20"/>
                <w:szCs w:val="20"/>
                <w:color w:val="auto"/>
              </w:rPr>
            </w:pPr>
            <w:r>
              <w:rPr>
                <w:rFonts w:ascii="Times New Roman" w:cs="Times New Roman" w:eastAsia="Times New Roman" w:hAnsi="Times New Roman"/>
                <w:sz w:val="14"/>
                <w:szCs w:val="14"/>
                <w:b w:val="1"/>
                <w:bCs w:val="1"/>
                <w:color w:val="auto"/>
                <w:w w:val="99"/>
              </w:rPr>
              <w:t>Collateral Dependent Loans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With No Related</w:t>
            </w:r>
          </w:p>
        </w:tc>
        <w:tc>
          <w:tcPr>
            <w:tcW w:w="140" w:type="dxa"/>
            <w:vAlign w:val="bottom"/>
          </w:tcPr>
          <w:p>
            <w:pPr>
              <w:spacing w:after="0"/>
              <w:rPr>
                <w:sz w:val="13"/>
                <w:szCs w:val="13"/>
                <w:color w:val="auto"/>
              </w:rPr>
            </w:pPr>
          </w:p>
        </w:tc>
        <w:tc>
          <w:tcPr>
            <w:tcW w:w="2580" w:type="dxa"/>
            <w:vAlign w:val="bottom"/>
            <w:gridSpan w:val="4"/>
            <w:vMerge w:val="restart"/>
          </w:tcPr>
          <w:p>
            <w:pPr>
              <w:jc w:val="right"/>
              <w:ind w:right="11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40" w:type="dxa"/>
            <w:vAlign w:val="bottom"/>
          </w:tcPr>
          <w:p>
            <w:pPr>
              <w:spacing w:after="0"/>
              <w:rPr>
                <w:sz w:val="16"/>
                <w:szCs w:val="16"/>
                <w:color w:val="auto"/>
              </w:rPr>
            </w:pPr>
          </w:p>
        </w:tc>
        <w:tc>
          <w:tcPr>
            <w:tcW w:w="25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Related Allowance</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0"/>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28,272</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6"/>
          </w:tcPr>
          <w:p>
            <w:pPr>
              <w:jc w:val="center"/>
              <w:ind w:left="1030"/>
              <w:spacing w:after="0"/>
              <w:rPr>
                <w:sz w:val="20"/>
                <w:szCs w:val="20"/>
                <w:color w:val="auto"/>
              </w:rPr>
            </w:pPr>
            <w:r>
              <w:rPr>
                <w:rFonts w:ascii="Times New Roman" w:cs="Times New Roman" w:eastAsia="Times New Roman" w:hAnsi="Times New Roman"/>
                <w:sz w:val="14"/>
                <w:szCs w:val="14"/>
                <w:b w:val="1"/>
                <w:bCs w:val="1"/>
                <w:color w:val="auto"/>
                <w:w w:val="99"/>
              </w:rPr>
              <w:t>Collateral Dependent Loans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With No Related</w:t>
            </w:r>
          </w:p>
        </w:tc>
        <w:tc>
          <w:tcPr>
            <w:tcW w:w="140" w:type="dxa"/>
            <w:vAlign w:val="bottom"/>
          </w:tcPr>
          <w:p>
            <w:pPr>
              <w:spacing w:after="0"/>
              <w:rPr>
                <w:sz w:val="13"/>
                <w:szCs w:val="13"/>
                <w:color w:val="auto"/>
              </w:rPr>
            </w:pPr>
          </w:p>
        </w:tc>
        <w:tc>
          <w:tcPr>
            <w:tcW w:w="2580" w:type="dxa"/>
            <w:vAlign w:val="bottom"/>
            <w:gridSpan w:val="4"/>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40" w:type="dxa"/>
            <w:vAlign w:val="bottom"/>
          </w:tcPr>
          <w:p>
            <w:pPr>
              <w:spacing w:after="0"/>
              <w:rPr>
                <w:sz w:val="16"/>
                <w:szCs w:val="16"/>
                <w:color w:val="auto"/>
              </w:rPr>
            </w:pPr>
          </w:p>
        </w:tc>
        <w:tc>
          <w:tcPr>
            <w:tcW w:w="25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4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4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Purchased Credit Deteriorated Loans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Company has purchased loans for which there was, at acquisition, evidence of more than insignificant deterioration of credit quality since origination.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those loans, at acquisition, is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Purchase price of loans 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136130" cy="141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Allowance for credit losses at acquisition</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Non-credit discount/(premium) 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133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Par value of acquired loans 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33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78"/>
        <w:spacing w:after="0"/>
        <w:rPr>
          <w:sz w:val="20"/>
          <w:szCs w:val="20"/>
          <w:color w:val="auto"/>
        </w:rPr>
      </w:pPr>
      <w:r>
        <w:rPr>
          <w:rFonts w:ascii="Times New Roman" w:cs="Times New Roman" w:eastAsia="Times New Roman" w:hAnsi="Times New Roman"/>
          <w:sz w:val="16"/>
          <w:szCs w:val="16"/>
          <w:b w:val="1"/>
          <w:bCs w:val="1"/>
          <w:color w:val="auto"/>
        </w:rPr>
        <w:t>Amounts</w:t>
      </w:r>
    </w:p>
    <w:p>
      <w:pPr>
        <w:spacing w:after="0" w:line="41" w:lineRule="exact"/>
        <w:rPr>
          <w:sz w:val="20"/>
          <w:szCs w:val="20"/>
          <w:color w:val="auto"/>
        </w:rPr>
      </w:pPr>
    </w:p>
    <w:p>
      <w:pPr>
        <w:ind w:left="1198" w:hanging="1198"/>
        <w:spacing w:after="0"/>
        <w:tabs>
          <w:tab w:leader="none" w:pos="119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380,795</w:t>
      </w:r>
    </w:p>
    <w:p>
      <w:pPr>
        <w:spacing w:after="0" w:line="26" w:lineRule="exact"/>
        <w:rPr>
          <w:rFonts w:ascii="Times New Roman" w:cs="Times New Roman" w:eastAsia="Times New Roman" w:hAnsi="Times New Roman"/>
          <w:sz w:val="16"/>
          <w:szCs w:val="16"/>
          <w:color w:val="auto"/>
        </w:rPr>
      </w:pPr>
    </w:p>
    <w:p>
      <w:pPr>
        <w:ind w:left="127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23,910</w:t>
      </w:r>
    </w:p>
    <w:p>
      <w:pPr>
        <w:spacing w:after="0" w:line="26" w:lineRule="exact"/>
        <w:rPr>
          <w:rFonts w:ascii="Times New Roman" w:cs="Times New Roman" w:eastAsia="Times New Roman" w:hAnsi="Times New Roman"/>
          <w:sz w:val="16"/>
          <w:szCs w:val="16"/>
          <w:color w:val="auto"/>
        </w:rPr>
      </w:pPr>
    </w:p>
    <w:p>
      <w:pPr>
        <w:ind w:left="127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1423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64" w:lineRule="exact"/>
        <w:rPr>
          <w:sz w:val="20"/>
          <w:szCs w:val="20"/>
          <w:color w:val="auto"/>
        </w:rPr>
      </w:pPr>
    </w:p>
    <w:p>
      <w:pPr>
        <w:ind w:left="1198" w:hanging="1198"/>
        <w:spacing w:after="0"/>
        <w:tabs>
          <w:tab w:leader="none" w:pos="119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442,345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1423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42" w:space="720"/>
            <w:col w:w="1778"/>
          </w:cols>
          <w:pgMar w:left="320" w:top="121" w:right="339" w:bottom="1440" w:gutter="0" w:footer="0" w:header="0"/>
          <w:type w:val="continuous"/>
        </w:sectPr>
      </w:pP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 xml:space="preserve">On January 1, 2023, the Company adopted ASU 2022-02 on a modified retrospective basis. ASU 2022-02 eliminates the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 </w:t>
      </w:r>
      <w:r>
        <w:rPr>
          <w:rFonts w:ascii="Times New Roman" w:cs="Times New Roman" w:eastAsia="Times New Roman" w:hAnsi="Times New Roman"/>
          <w:sz w:val="18"/>
          <w:szCs w:val="18"/>
          <w:i w:val="1"/>
          <w:iCs w:val="1"/>
          <w:color w:val="auto"/>
        </w:rPr>
        <w:t>Receivables — Nonrefundable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 and Other Costs</w:t>
      </w:r>
      <w:r>
        <w:rPr>
          <w:rFonts w:ascii="Times New Roman" w:cs="Times New Roman" w:eastAsia="Times New Roman" w:hAnsi="Times New Roman"/>
          <w:sz w:val="18"/>
          <w:szCs w:val="18"/>
          <w:color w:val="auto"/>
        </w:rPr>
        <w:t>, and subjects entities to new disclosure requirements on loan modifications to borrowers experiencing financial difficulty. Upon adoption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CECL, the Company loans classified as TDRs were individually evaluated for the ACL, and the measurement was done either using the collateral-dependent or the discounted cash flow method.</w:t>
      </w:r>
    </w:p>
    <w:p>
      <w:pPr>
        <w:spacing w:after="0" w:line="137"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charged-off against the ACL. The Company may also provide multiple types of modifications on an individual loan. For the years ended December 31, 2024 and December 31, 2023 the Company did not extend any modifications to borrowers experiencing financial difficulty that had a more-than-insignificant direct change in the contractual cash flows of the loan.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extend any modifications that were defined as TDRs during the years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Owned</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Real estate owned activity was as follows for the year ended December 31,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9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3"/>
        </w:trPr>
        <w:tc>
          <w:tcPr>
            <w:tcW w:w="9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9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acquired/transferred to real estate owned</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w:t>
            </w:r>
          </w:p>
        </w:tc>
      </w:tr>
      <w:tr>
        <w:trPr>
          <w:trHeight w:val="212"/>
        </w:trPr>
        <w:tc>
          <w:tcPr>
            <w:tcW w:w="9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9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 write-downs</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of real estate owned</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44"/>
        </w:trPr>
        <w:tc>
          <w:tcPr>
            <w:tcW w:w="9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08"/>
        </w:trPr>
        <w:tc>
          <w:tcPr>
            <w:tcW w:w="9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End of period balance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Premises and Equipment</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Premises and equipment are included in the Balance Sheet at December 31, 2024, and December 31, 2023,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3"/>
        </w:trPr>
        <w:tc>
          <w:tcPr>
            <w:tcW w:w="80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715"/>
              <w:spacing w:after="0"/>
              <w:rPr>
                <w:sz w:val="20"/>
                <w:szCs w:val="20"/>
                <w:color w:val="auto"/>
              </w:rPr>
            </w:pPr>
            <w:r>
              <w:rPr>
                <w:rFonts w:ascii="Times New Roman" w:cs="Times New Roman" w:eastAsia="Times New Roman" w:hAnsi="Times New Roman"/>
                <w:sz w:val="18"/>
                <w:szCs w:val="18"/>
                <w:color w:val="auto"/>
                <w:w w:val="96"/>
              </w:rPr>
              <w:t>14,626</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Premises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6"/>
              </w:rPr>
              <w:t>64,181</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Furniture and equipment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8"/>
                <w:szCs w:val="18"/>
                <w:color w:val="auto"/>
                <w:w w:val="96"/>
              </w:rPr>
              <w:t>17,505</w:t>
            </w:r>
          </w:p>
        </w:tc>
      </w:tr>
      <w:tr>
        <w:trPr>
          <w:trHeight w:val="216"/>
        </w:trPr>
        <w:tc>
          <w:tcPr>
            <w:tcW w:w="8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6"/>
              </w:rPr>
              <w:t>96,312</w:t>
            </w:r>
          </w:p>
        </w:tc>
      </w:tr>
      <w:tr>
        <w:trPr>
          <w:trHeight w:val="243"/>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8"/>
                <w:szCs w:val="18"/>
                <w:color w:val="auto"/>
                <w:w w:val="97"/>
              </w:rPr>
              <w:t>(35,184)</w:t>
            </w:r>
          </w:p>
        </w:tc>
      </w:tr>
      <w:tr>
        <w:trPr>
          <w:trHeight w:val="243"/>
        </w:trPr>
        <w:tc>
          <w:tcPr>
            <w:tcW w:w="80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r>
      <w:tr>
        <w:trPr>
          <w:trHeight w:val="216"/>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8"/>
                <w:szCs w:val="18"/>
                <w:color w:val="auto"/>
                <w:w w:val="96"/>
              </w:rPr>
              <w:t>61,128</w:t>
            </w:r>
          </w:p>
        </w:tc>
      </w:tr>
    </w:tbl>
    <w:p>
      <w:pPr>
        <w:spacing w:after="0" w:line="21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Depreciation and amortization (e.g. leasehold improvements) expense for the years ended December 31, 2024, December 31, 2023, and December 31, 2022 was $5.9 million, $2.9 million, and $3.1 million, respectively.</w:t>
      </w:r>
    </w:p>
    <w:p>
      <w:pPr>
        <w:spacing w:after="0" w:line="11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In 2024, 2023, and 2022, the Company sold or disposed of premises that resulted in a loss of $2.2 million, a loss of $36.6 thousand, and a gain of $4.5 million, respectively, that is captured in other operating expenses on the Consolidated Statements of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$284.4 million and $92.3 million on December 31, 2024, and December 31, 2023, respectively. Brokered time deposits, which are fully insured, totaled $244.8 million and $389.0 million at December 31, 2024, and December 31, 2023, respectively. Time deposits through the Certificate of Deposit Account Registry Service (“CDARS”) program totaled $35.7 million at December 31, 2024, compared to $24.2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At December 31, 2024, the scheduled maturities of brokered deposits and time deposits for the next five years, and for the years thereafter,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1,075,072</w:t>
            </w: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121,629</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w:t>
            </w: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w:t>
            </w:r>
          </w:p>
        </w:tc>
      </w:tr>
      <w:tr>
        <w:trPr>
          <w:trHeight w:val="223"/>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16"/>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1,253,279</w:t>
            </w:r>
          </w:p>
        </w:tc>
      </w:tr>
    </w:tbl>
    <w:p>
      <w:pPr>
        <w:spacing w:after="0" w:line="23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At December 31, 2024, and December 31, 2023, amounts included in time deposits for individual retirement accounts totaled $118.9 million and $28.5 million, respectively.</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Overdrafts of $1.6 million and $110 thousand were reclassified to loans as of the year ended December 31, 2024, and December 31, 2023,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Borrowed Funds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 xml:space="preserve">The Company had borrowings of $365.0 million and $272.0 million at December 31, 2024, and December 31, 2023, respectively. At December 31, 2024, the interest rate on this debt ranged from 4.43% to 4.57%. At December 31, 2023, the interest rate on this debt ranged from 4.38% to 5.57%. The average balance outstanding during 2024 and 2023 was $422.5 million and $293.9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11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w:t>
      </w:r>
    </w:p>
    <w:p>
      <w:pPr>
        <w:spacing w:after="0" w:line="13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has available lines of credit with the Federal Reserve Bank of Richmond, such as the Borrower-In-Custody program, the FHLB of Atlanta, and unsecured federal funds lines of credit from correspondent banking relationships. Through these sources, the Company has unused borrowing capacity of $4.1 billion as of December 31, 2024. The advances on credit lines are secured by both securities and loans. The lendable collateral value of securities and loans pledged against available lines of credit as of December 31, 2024, and December 31, 2023, was $3.1 billion and $797.8 million, respectively. As of December 31, 2024, all of the Company’s borrowings will mature within one calendar year.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contractual maturities of these borrowings as of December 31, 2024, are as follows (in thousands):</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4"/>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2025</w:t>
            </w: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2026</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bl>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As part of the Merger, Burke &amp; Herbert assumed $75 million of subordinated debentures, that were fair valued at $61.5 million with a $13.5 million discount being amortized into interest expense over the stated maturity. As of December 31, 2024, the net balance was $65.0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and bear interest at a fixed rate of 3.25% per year, from acquisition date to, but excluding, December 1, 2026, payable semi-annually in arrears. From and including, December 1, 2026 to, but excluding,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Borrowed Funds (continued)</w:t>
      </w:r>
    </w:p>
    <w:p>
      <w:pPr>
        <w:spacing w:after="0" w:line="200" w:lineRule="exact"/>
        <w:rPr>
          <w:sz w:val="20"/>
          <w:szCs w:val="20"/>
          <w:color w:val="auto"/>
        </w:rPr>
      </w:pPr>
    </w:p>
    <w:p>
      <w:pPr>
        <w:spacing w:after="0" w:line="3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 earlier redemption date, the interest rate will reset quarterly at a variable rate equal to the then current three-month term Secured Overnight Financing Rate (“SOFR”), as published by the Federal Reserve Bank of New York, plus 230 basis points, payable quarterly in arrears. This debt has a 10-year term, and generally, is not prepayable by us within the first 5 years from issuance, which was fourth quarter 2021.</w:t>
      </w:r>
    </w:p>
    <w:p>
      <w:pPr>
        <w:spacing w:after="0" w:line="128"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Through the Merger, Burke &amp; Herbert also assumed $30 million of subordinated debentures that were fair valued at $29.8 million with a $0.2 million discount being amortized into interest expense over the stated maturity. As of December 31, 2024, the net balance was $29.9 million. The subordinated debt qualifies as Tier 2 capital under Federal Reserve Board guidelines, until the debt is within 5 years of its maturity; thereafter, the amount qualifying as Tier 2 capital is reduced by 20% each year until its maturity. The subordinated debentures were issued in the third quarter of 2020 and bear interest at a fixed rate of 5.00% per year from the date of assumption to, but excluding, September 30, 2025, payable quarterly in arrears. From and including September 30, 2025, to, but excluding, the maturity date or earlier redemption date, the interest rate will reset quarterly at a variable rate equal to the then current three-month term SOFR plus 487 basis points, payable quarterly in arrears. This debt has a 10-year term, and generally, is not prepayable by us within the first 5 years from issuance, which was third quarter 2020.</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Subordinated Debentures Owed to Unconsolidated Subsidiary Trusts</w:t>
      </w:r>
    </w:p>
    <w:p>
      <w:pPr>
        <w:spacing w:after="0" w:line="163"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As part of the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 million of debentures, which were assumed by Burke &amp; Herbert in the Merger. SFG Capital Trust II issued $7.5 million in capital securities and $232 thousand in common securities and invested the proceeds in $7.7 million of debentures, which were assumed by Burke &amp; Herbert in the Merger. SFG Capital Trust III issued $8 million in capital securities and $248 thousand in common securities and invested the proceeds in $8.3 million of debentures, which were assumed by Burke &amp; Herbert in the Merger. Distributions on the capital securities issued by the trusts are payable quarterly at a variable rate equal to 3 month LIBOR plus 345 basis points for SFG Capital Trust I, 3 months of LIBOR plus 280 basis points for SFG Capital Trust II, and 3 month LIBOR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 collectively, fully and unconditionally guarantee the capital securities subject to the terms of the guarantee. The debentures of each Capital Trust are redeemable by us quarterly.</w:t>
      </w:r>
    </w:p>
    <w:p>
      <w:pPr>
        <w:spacing w:after="0" w:line="14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capital securities issued by SFG Capital Trust I, SFG Capital Trust II, and SFG Capital Trust III qualify as Tier 1 capital under the Federal Reserve guidelines. In accordance with these Guidelines, trust preferred securities are limited to 25% of Tier 1 capital elements, net of goodwill. The amount of trust preferred securities and certain other elements in excess of the limit can be included in Tier 2 capital.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subordinated debentures as of December 31, 2024,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Subordinated debentures</w:t>
            </w:r>
          </w:p>
        </w:tc>
        <w:tc>
          <w:tcPr>
            <w:tcW w:w="180" w:type="dxa"/>
            <w:vAlign w:val="bottom"/>
          </w:tcPr>
          <w:p>
            <w:pPr>
              <w:spacing w:after="0"/>
              <w:rPr>
                <w:sz w:val="13"/>
                <w:szCs w:val="13"/>
                <w:color w:val="auto"/>
              </w:rPr>
            </w:pPr>
          </w:p>
        </w:tc>
        <w:tc>
          <w:tcPr>
            <w:tcW w:w="23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Subordinated debentures owed to</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unconsolidated subsidiary trusts</w:t>
            </w:r>
          </w:p>
        </w:tc>
        <w:tc>
          <w:tcPr>
            <w:tcW w:w="0" w:type="dxa"/>
            <w:vAlign w:val="bottom"/>
          </w:tcPr>
          <w:p>
            <w:pPr>
              <w:spacing w:after="0"/>
              <w:rPr>
                <w:sz w:val="1"/>
                <w:szCs w:val="1"/>
                <w:color w:val="auto"/>
              </w:rPr>
            </w:pPr>
          </w:p>
        </w:tc>
      </w:tr>
      <w:tr>
        <w:trPr>
          <w:trHeight w:val="208"/>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Pr>
          <w:p>
            <w:pPr>
              <w:spacing w:after="0"/>
              <w:rPr>
                <w:sz w:val="18"/>
                <w:szCs w:val="18"/>
                <w:color w:val="auto"/>
              </w:rPr>
            </w:pP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00" w:type="dxa"/>
            <w:vAlign w:val="bottom"/>
          </w:tcPr>
          <w:p>
            <w:pPr>
              <w:spacing w:after="0"/>
              <w:rPr>
                <w:sz w:val="18"/>
                <w:szCs w:val="18"/>
                <w:color w:val="auto"/>
              </w:rPr>
            </w:pP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63"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components of applicable income tax expense (benefit) for the years ended December 31, 2024, December 31, 2023, and December 31, 2022,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3"/>
        </w:trPr>
        <w:tc>
          <w:tcPr>
            <w:tcW w:w="63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Current Expense:</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6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43"/>
        </w:trPr>
        <w:tc>
          <w:tcPr>
            <w:tcW w:w="6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23"/>
        </w:trPr>
        <w:tc>
          <w:tcPr>
            <w:tcW w:w="6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43"/>
        </w:trPr>
        <w:tc>
          <w:tcPr>
            <w:tcW w:w="63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16"/>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r>
    </w:tbl>
    <w:p>
      <w:pPr>
        <w:spacing w:after="0" w:line="231"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Deferred income taxes are provided on the asset and liability method whereby deferred tax assets are recognized for deductible temporary differences and net operating losses and deferred tax liabilities are recognized for taxable temporary differences. Temporary differences are the differences between the reported amounts of assets and liabilities and net operating loss carry-forwards and their tax basis. Deferred tax assets are reduced by a valuation allowance when, in the opinion of management, it is more likely than not that some portion of the deferred tax assets will not be realized. Deferred tax assets and liabilities are adjusted for the effects of changes in tax laws and rates on the date of enactment.</w:t>
      </w:r>
    </w:p>
    <w:p>
      <w:pPr>
        <w:spacing w:after="0" w:line="134"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and tax planning strategies in making this assessment. Based on the level of historical taxable income and projections for future taxable income over the periods in which the deferred tax assets are deductible, management believes it is more likely than not that the Company will realize the benefits of these deferred tax assets.</w:t>
      </w:r>
    </w:p>
    <w:p>
      <w:pPr>
        <w:spacing w:after="0" w:line="13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follows accounting guidance related to accounting for uncertainty in income taxes. Under the “more likely than not” threshold guidelines, the Company’s uncertain tax position reserve was zero and $167 thousand as of December 31, 2024, and December 31, 2023, respectively. The Company’s policy is to account for interest and penalties as a component of income tax expense. The Company is no longer subject to examination by federal, state, and local taxing authorities for years before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reconciles the amount of reported income tax expense in the financial statements to taxes that would be computed by applying the federal statutory tax rates to income before taxes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taxes using statutory 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of tax-exempt municipal interest income, net of non-deductible interest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income from company-owned life insurance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income tax credits, net of amortization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Merger-related</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 net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r>
    </w:tbl>
    <w:p>
      <w:pPr>
        <w:spacing w:after="0" w:line="231"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Deferred income taxes reflect the impact of “temporary differences” between amounts of assets and liabilities for financial reporting purposes and such amounts as measured for tax purposes. Deferred tax assets and liabilities represent the future tax return consequences of temporary differences, which will either be taxable or deductible when the related assets and liabilities are recovered or settled.</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net deferred tax amounts in the accompanying Consolidated Balance Sheets include the following components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3"/>
        </w:trPr>
        <w:tc>
          <w:tcPr>
            <w:tcW w:w="80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accruals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accruals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Partnership investments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losses on securities available-for-sale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26,069</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credit carryforward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OPEB Liability</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46,642</w:t>
            </w:r>
          </w:p>
        </w:tc>
      </w:tr>
      <w:tr>
        <w:trPr>
          <w:trHeight w:val="229"/>
        </w:trPr>
        <w:tc>
          <w:tcPr>
            <w:tcW w:w="8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accrual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gains on interest rate swaps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29"/>
        </w:trPr>
        <w:tc>
          <w:tcPr>
            <w:tcW w:w="80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w:t>
      </w:r>
    </w:p>
    <w:p>
      <w:pPr>
        <w:spacing w:after="0" w:line="163"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Company provides pension benefits for eligible employees through a defined benefit pension plan. Employees hired prior to June 1, 2005 participate in the retirement plan on a non-contributing basis and were fully vested after five years of service.</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set forth the Plan’s status and related disclosures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3"/>
        </w:trPr>
        <w:tc>
          <w:tcPr>
            <w:tcW w:w="80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Changes in benefit obligation:</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30,225</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(gain) loss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r>
      <w:tr>
        <w:trPr>
          <w:trHeight w:val="243"/>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 to beginning of year fair value</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 contribution</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33,181</w:t>
            </w:r>
          </w:p>
        </w:tc>
      </w:tr>
      <w:tr>
        <w:trPr>
          <w:trHeight w:val="243"/>
        </w:trPr>
        <w:tc>
          <w:tcPr>
            <w:tcW w:w="80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recognized as accrued pension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43"/>
        </w:trPr>
        <w:tc>
          <w:tcPr>
            <w:tcW w:w="8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accumulated other comprehensive (income) loss: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amount recognized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r>
      <w:tr>
        <w:trPr>
          <w:trHeight w:val="243"/>
        </w:trPr>
        <w:tc>
          <w:tcPr>
            <w:tcW w:w="8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29,372</w:t>
            </w:r>
          </w:p>
        </w:tc>
      </w:tr>
    </w:tbl>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 December 31, 2024, December 31, 2023, and December 31, 2022, the assumptions used to determine the pension benefit obligation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0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5.49 %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4.80 %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5.00 %</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 (continued)</w:t>
      </w: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cost and other amounts recognized in other comprehensive income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3"/>
        </w:trPr>
        <w:tc>
          <w:tcPr>
            <w:tcW w:w="63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Components of net periodic pension cost:</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43"/>
        </w:trPr>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 recognized in other comprehensive (income) loss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3"/>
        </w:trPr>
        <w:tc>
          <w:tcPr>
            <w:tcW w:w="6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accumulated other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43"/>
        </w:trPr>
        <w:tc>
          <w:tcPr>
            <w:tcW w:w="63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pension costs and other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r>
    </w:tbl>
    <w:p>
      <w:pPr>
        <w:spacing w:after="0" w:line="23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For the years ended December 31, 2024, December 31, 2023, and December 31, 2022, the assumptions used to determine net periodic pension cost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0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5.49 %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4.80 %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7"/>
              </w:rPr>
              <w:t>5.00 %</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salary increase</w:t>
            </w: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218"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The expected long-term return on plan assets assumption was developed as a weighted average rate based on the target asset allocation of the plan and the long-term capital market assumptions. The overall return for each asset class was developed by combining a long-term inflation component and the associated expected real rates. The development of the capital market assumptions utilized a variety of methodologies, including, but not limited to, historical analysis, stock valuation models, such as dividend discount models, and earnings yield models, expected economic growth outlook, and market yields analysis.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pension plan asset allocations at December 31, 2024, and December 31, 2023,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0" w:type="dxa"/>
            <w:vAlign w:val="bottom"/>
          </w:tcPr>
          <w:p>
            <w:pPr>
              <w:spacing w:after="0"/>
              <w:rPr>
                <w:sz w:val="16"/>
                <w:szCs w:val="16"/>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8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securities &amp; cash equivalents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90.4 %</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Defined Benefit Pension Plan (continued)</w:t>
      </w: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and December 31, 2023, the fair value of plan assets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
        </w:trPr>
        <w:tc>
          <w:tcPr>
            <w:tcW w:w="4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47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jc w:val="center"/>
              <w:ind w:right="618"/>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1"/>
        </w:trPr>
        <w:tc>
          <w:tcPr>
            <w:tcW w:w="4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Assets at Fair Value</w:t>
            </w:r>
          </w:p>
        </w:tc>
      </w:tr>
      <w:tr>
        <w:trPr>
          <w:trHeight w:val="22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27,574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27,574</w:t>
            </w:r>
          </w:p>
        </w:tc>
      </w:tr>
      <w:tr>
        <w:trPr>
          <w:trHeight w:val="216"/>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pension assets</w:t>
            </w:r>
          </w:p>
        </w:tc>
        <w:tc>
          <w:tcPr>
            <w:tcW w:w="1120" w:type="dxa"/>
            <w:vAlign w:val="bottom"/>
            <w:tcBorders>
              <w:top w:val="single" w:sz="8" w:color="auto"/>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30,614</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5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30,614</w:t>
            </w:r>
          </w:p>
        </w:tc>
      </w:tr>
      <w:tr>
        <w:trPr>
          <w:trHeight w:val="442"/>
        </w:trPr>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
        </w:trPr>
        <w:tc>
          <w:tcPr>
            <w:tcW w:w="4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47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jc w:val="center"/>
              <w:ind w:right="618"/>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1"/>
        </w:trPr>
        <w:tc>
          <w:tcPr>
            <w:tcW w:w="47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Assets at Fair Value</w:t>
            </w:r>
          </w:p>
        </w:tc>
      </w:tr>
      <w:tr>
        <w:trPr>
          <w:trHeight w:val="22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29,859</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w:t>
            </w:r>
          </w:p>
        </w:tc>
      </w:tr>
      <w:tr>
        <w:trPr>
          <w:trHeight w:val="216"/>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pension assets</w:t>
            </w:r>
          </w:p>
        </w:tc>
        <w:tc>
          <w:tcPr>
            <w:tcW w:w="1120" w:type="dxa"/>
            <w:vAlign w:val="bottom"/>
            <w:tcBorders>
              <w:top w:val="single" w:sz="8" w:color="auto"/>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33,068</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5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33,190</w:t>
            </w: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are valued using a combination of methods including quoted prices for similar assets in active or non-active markets.</w:t>
      </w:r>
    </w:p>
    <w:p>
      <w:pPr>
        <w:spacing w:after="0" w:line="161"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fund is sufficiently diversified to maintain a reasonable level of risk without imprudently sacrificing return. Investments are selected by officers experienced in financial matters and risk management, and implementation of approved investment strategies is monitored on a regular basis. Both actively and passively managed investment strategies are considered, and funds are allocated across asset classes to develop an efficient investment structure.</w:t>
      </w:r>
    </w:p>
    <w:p>
      <w:pPr>
        <w:spacing w:after="0" w:line="12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It is the responsibility of the trustee to consider costs in administering the portfolio, while maintaining high quality investments. Costs include, but are not limited to, management and custodial fees, consulting fees, transaction costs, and other administrative costs which may be charged to the trust.</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does not expect to contribute to its pension plan in 2025.</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Estimated future benefit payments, which reflect expected future service, as appropriate, are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8"/>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Following 5 years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9,478</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Post-Retirement Plans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and Savings Plan</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maintained the 401(k) plans of both legacy Summit and Burke &amp; Herbert. Under both of these plans, eligible employees may contribute a percentage of their compensation, and the Company matched a portion of the employee’s contribution based on the specific 401(k) plan. The contribution amounts matched by the Company depend on the 401(k) plan. The Company’s total contributions in 2024, 2023,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Other Post-Retirement Plans (continued)</w:t>
      </w: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2022 totaled $1.7 million, $1.0 million, and $1.0 million, respectively, which were included within pensions and other employee benefits on the Consolidated Statements of Income.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Retirement Plans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has certain non-qualified Supplemental Executive Retirement Plans (“SERP”) with certain senior officers and directors, which provide participating officers with an income benefit payable at retirement age or death. Upon the Merger, the Company assumed additional SERP plans along with an acceleration of benefits as part of the Merger. Plan expenses for the years ending December 31, 2024, December 31, 2023, and December 31, 2022, amounted to $3.7 million, $522 thousand, and $290 thousand, respectively.</w:t>
      </w:r>
    </w:p>
    <w:p>
      <w:pPr>
        <w:spacing w:after="0" w:line="132"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The Company has a deferred compensation plan (2021 Deferred Compensation Plan) for current directors and senior officers. The plan is funded with director fees and salary reductions which are placed in a trust account invested by the Company. The trust investments consist of equity investments, fixed income investments, and cash. The trust account balance totaled $1.3 million and $818 thousand at December 31, 2024, and December 31, 2023, respectively. This balance is included within other assets and is directly offset within accrued interest and other liabilities on the Company’s Consolidated Balance Sheets. Amounts contributed to the trust and recorded as expense for the Company totaled $541 thousand and $341 thousand, respectively, in 2024 and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165" w:lineRule="exact"/>
        <w:rPr>
          <w:sz w:val="20"/>
          <w:szCs w:val="20"/>
          <w:color w:val="auto"/>
        </w:rPr>
      </w:pPr>
    </w:p>
    <w:p>
      <w:pPr>
        <w:jc w:val="both"/>
        <w:ind w:firstLine="315"/>
        <w:spacing w:after="0" w:line="331" w:lineRule="auto"/>
        <w:rPr>
          <w:sz w:val="20"/>
          <w:szCs w:val="20"/>
          <w:color w:val="auto"/>
        </w:rPr>
      </w:pPr>
      <w:r>
        <w:rPr>
          <w:rFonts w:ascii="Times New Roman" w:cs="Times New Roman" w:eastAsia="Times New Roman" w:hAnsi="Times New Roman"/>
          <w:sz w:val="16"/>
          <w:szCs w:val="16"/>
          <w:color w:val="auto"/>
        </w:rPr>
        <w:t>The Company enters into operating leases with customers to lease vacant space in certain owned premises that is not being used by the Company. These operating leases are typically payable in monthly installments with terms ranging from around one year to around ten years and may contain renewal options.</w:t>
      </w:r>
    </w:p>
    <w:p>
      <w:pPr>
        <w:spacing w:after="0" w:line="7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components of lease income, which is included in non-interest expense on the Consolidated Statements of Income, were as follows for the year ending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16"/>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452"/>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remaining maturities of operating lease receivables as of December 31, 2024, are as follows (in thousands):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8"/>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w:t>
            </w:r>
          </w:p>
        </w:tc>
      </w:tr>
    </w:tbl>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Lessee Arrangements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Company’s leases range from less than one year to around fourteen years. The lease agreements do not provide for residual value guarantees and have no restrictions or covenants that would impact dividends or require incurring additional financial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12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In the fourth quarter of 2022 the Company sold two buildings in separate transactions and entered into sale-leaseback agreements to lease back the properties for up to one year. The lease terms were at market with third-parties and resulted in $655 thousand of operating lease expense in 2023.</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Classification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Other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8"/>
              </w:rPr>
              <w:t>Other assets</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452"/>
        </w:trPr>
        <w:tc>
          <w:tcPr>
            <w:tcW w:w="6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7"/>
              </w:rPr>
              <w:t>The components of total lease cost were as follows for the period ending (in thousands):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6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December 31, 2024,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3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4"/>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Leased Property (continued)</w:t>
      </w: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December 31, 2024, and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4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63"/>
        </w:trPr>
        <w:tc>
          <w:tcPr>
            <w:tcW w:w="7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7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3,330</w:t>
            </w:r>
          </w:p>
        </w:tc>
      </w:tr>
      <w:tr>
        <w:trPr>
          <w:trHeight w:val="223"/>
        </w:trPr>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80" w:type="dxa"/>
            <w:vAlign w:val="bottom"/>
          </w:tcPr>
          <w:p>
            <w:pPr>
              <w:spacing w:after="0"/>
              <w:rPr>
                <w:sz w:val="19"/>
                <w:szCs w:val="19"/>
                <w:color w:val="auto"/>
              </w:rPr>
            </w:pP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1,214</w:t>
            </w: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12,329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Regulatory Capital Matters</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Banks and bank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III Framework, an entity must hold a capital conservation buffer above the adequately capitalized risk-based capital ratios. The net unrealized gain or loss on AFS securities is not included in computing regulatory capital. Management believes as of December 31, 2024, the Company and the Bank meet all capital adequacy requirements to which they are subject.</w:t>
      </w:r>
    </w:p>
    <w:p>
      <w:pPr>
        <w:spacing w:after="0" w:line="13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December 31, 2024, and December 31, 2023,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Regulatory Capital Matters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table below presents the actual and required capital amounts and ratios for the Company and the Bank at December 31, 2024, and December 31, 2023 (in thousands except for ratios).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Minimum Required Capital - Basel III</w:t>
            </w: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Minimum Required to be Well Capitalized</w:t>
            </w:r>
          </w:p>
        </w:tc>
      </w:tr>
      <w:tr>
        <w:trPr>
          <w:trHeight w:val="24"/>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CCEEFF"/>
              <w:bottom w:val="single" w:sz="8" w:color="auto"/>
            </w:tcBorders>
            <w:shd w:val="clear" w:color="auto" w:fill="CCEEFF"/>
          </w:tcPr>
          <w:p>
            <w:pPr>
              <w:spacing w:after="0" w:line="131" w:lineRule="exact"/>
              <w:rPr>
                <w:sz w:val="20"/>
                <w:szCs w:val="20"/>
                <w:color w:val="auto"/>
              </w:rPr>
            </w:pPr>
            <w:r>
              <w:rPr>
                <w:rFonts w:ascii="Times New Roman" w:cs="Times New Roman" w:eastAsia="Times New Roman" w:hAnsi="Times New Roman"/>
                <w:sz w:val="14"/>
                <w:szCs w:val="14"/>
                <w:b w:val="1"/>
                <w:bCs w:val="1"/>
                <w:color w:val="auto"/>
                <w:w w:val="99"/>
              </w:rPr>
              <w:t>As of December 31, 2024</w:t>
            </w:r>
          </w:p>
        </w:tc>
        <w:tc>
          <w:tcPr>
            <w:tcW w:w="14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0"/>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4"/>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670,590</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10.5%</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638,658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0"/>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670,028</w:t>
            </w:r>
          </w:p>
        </w:tc>
        <w:tc>
          <w:tcPr>
            <w:tcW w:w="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10.5</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638,122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r>
      <w:tr>
        <w:trPr>
          <w:trHeight w:val="204"/>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risk-weighted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763,842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542,859</w:t>
            </w:r>
          </w:p>
        </w:tc>
        <w:tc>
          <w:tcPr>
            <w:tcW w:w="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8.5</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510,926</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4"/>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542,404</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8.5</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510,498</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r>
      <w:tr>
        <w:trPr>
          <w:trHeight w:val="190"/>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4"/>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447,060</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7.0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415,127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0"/>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446,686</w:t>
            </w:r>
          </w:p>
        </w:tc>
        <w:tc>
          <w:tcPr>
            <w:tcW w:w="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7.0</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414,779</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r>
      <w:tr>
        <w:trPr>
          <w:trHeight w:val="142"/>
        </w:trPr>
        <w:tc>
          <w:tcPr>
            <w:tcW w:w="29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Tier 1 (Core) Capital to average assets (leverage</w:t>
            </w:r>
          </w:p>
        </w:tc>
        <w:tc>
          <w:tcPr>
            <w:tcW w:w="2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93"/>
        </w:trPr>
        <w:tc>
          <w:tcPr>
            <w:tcW w:w="20" w:type="dxa"/>
            <w:vAlign w:val="bottom"/>
            <w:shd w:val="clear" w:color="auto" w:fill="CCEEFF"/>
          </w:tcPr>
          <w:p>
            <w:pPr>
              <w:spacing w:after="0"/>
              <w:rPr>
                <w:sz w:val="16"/>
                <w:szCs w:val="16"/>
                <w:color w:val="auto"/>
              </w:rPr>
            </w:pPr>
          </w:p>
        </w:tc>
        <w:tc>
          <w:tcPr>
            <w:tcW w:w="2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ratio)</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736,416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311,904</w:t>
            </w:r>
          </w:p>
        </w:tc>
        <w:tc>
          <w:tcPr>
            <w:tcW w:w="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4.0</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389,880</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4"/>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311,616</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4.0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389,520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r>
      <w:tr>
        <w:trPr>
          <w:trHeight w:val="263"/>
        </w:trPr>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144"/>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7"/>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260,694</w:t>
            </w:r>
          </w:p>
        </w:tc>
        <w:tc>
          <w:tcPr>
            <w:tcW w:w="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10.5%</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248,280</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4"/>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260,626</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10.5</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248,215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10.0</w:t>
            </w:r>
          </w:p>
        </w:tc>
      </w:tr>
      <w:tr>
        <w:trPr>
          <w:trHeight w:val="190"/>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Tier 1 (Core) Capital to risk-weighted assets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4"/>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211,038</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8.5</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198,624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0"/>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210,983</w:t>
            </w:r>
          </w:p>
        </w:tc>
        <w:tc>
          <w:tcPr>
            <w:tcW w:w="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8.5</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198,572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8.0</w:t>
            </w:r>
          </w:p>
        </w:tc>
      </w:tr>
      <w:tr>
        <w:trPr>
          <w:trHeight w:val="204"/>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173,796</w:t>
            </w:r>
          </w:p>
        </w:tc>
        <w:tc>
          <w:tcPr>
            <w:tcW w:w="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7.0</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161,382</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4"/>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173,751</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7.0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161,340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w:t>
            </w:r>
          </w:p>
        </w:tc>
      </w:tr>
      <w:tr>
        <w:trPr>
          <w:trHeight w:val="135"/>
        </w:trPr>
        <w:tc>
          <w:tcPr>
            <w:tcW w:w="29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Tier 1 (Core) Capital to average assets (leverage</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ratio)</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2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147,965</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4.0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184,957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3"/>
        </w:trPr>
        <w:tc>
          <w:tcPr>
            <w:tcW w:w="20" w:type="dxa"/>
            <w:vAlign w:val="bottom"/>
          </w:tcPr>
          <w:p>
            <w:pPr>
              <w:spacing w:after="0"/>
              <w:rPr>
                <w:sz w:val="15"/>
                <w:szCs w:val="15"/>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147,986</w:t>
            </w:r>
          </w:p>
        </w:tc>
        <w:tc>
          <w:tcPr>
            <w:tcW w:w="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184,982</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bl>
    <w:p>
      <w:pPr>
        <w:spacing w:after="0" w:line="24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December 31, 2024, approximately $249.7 million of retained earnings was available for dividend declaration consistent with the Company’s capital plan.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is to add stability to net interest income and to manage its exposure to interest rate movements. To accomplish this objective, the Company primarily uses interest rate swaps, caps, and floors as part of its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2024, such derivatives were used to hedge the variable cash flows associated with variable-rate liabilities and assets.</w:t>
      </w:r>
    </w:p>
    <w:p>
      <w:pPr>
        <w:spacing w:after="0" w:line="13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an additional $1.0 million will be reclassified as a reduction to interest expense.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34"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December 31, 2024, and December 31, 2023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626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260" w:type="dxa"/>
            <w:vAlign w:val="bottom"/>
          </w:tcPr>
          <w:p>
            <w:pPr>
              <w:spacing w:after="0"/>
              <w:rPr>
                <w:sz w:val="15"/>
                <w:szCs w:val="15"/>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14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5"/>
                <w:szCs w:val="15"/>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63"/>
        </w:trPr>
        <w:tc>
          <w:tcPr>
            <w:tcW w:w="6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449"/>
        </w:trPr>
        <w:tc>
          <w:tcPr>
            <w:tcW w:w="6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
        </w:trPr>
        <w:tc>
          <w:tcPr>
            <w:tcW w:w="626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6260" w:type="dxa"/>
            <w:vAlign w:val="bottom"/>
          </w:tcPr>
          <w:p>
            <w:pPr>
              <w:spacing w:after="0"/>
              <w:rPr>
                <w:sz w:val="15"/>
                <w:szCs w:val="15"/>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14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5"/>
                <w:szCs w:val="15"/>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63"/>
        </w:trPr>
        <w:tc>
          <w:tcPr>
            <w:tcW w:w="6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years ended December 31, 2024, December 31, 2023,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(in thousands):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17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100" w:type="dxa"/>
            <w:vAlign w:val="bottom"/>
          </w:tcPr>
          <w:p>
            <w:pPr>
              <w:spacing w:after="0"/>
              <w:rPr>
                <w:sz w:val="10"/>
                <w:szCs w:val="10"/>
                <w:color w:val="auto"/>
              </w:rPr>
            </w:pPr>
          </w:p>
        </w:tc>
        <w:tc>
          <w:tcPr>
            <w:tcW w:w="116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60" w:type="dxa"/>
            <w:vAlign w:val="bottom"/>
          </w:tcPr>
          <w:p>
            <w:pPr>
              <w:spacing w:after="0"/>
              <w:rPr>
                <w:sz w:val="11"/>
                <w:szCs w:val="11"/>
                <w:color w:val="auto"/>
              </w:rPr>
            </w:pPr>
          </w:p>
        </w:tc>
        <w:tc>
          <w:tcPr>
            <w:tcW w:w="92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60" w:type="dxa"/>
            <w:vAlign w:val="bottom"/>
          </w:tcPr>
          <w:p>
            <w:pPr>
              <w:jc w:val="center"/>
              <w:ind w:right="69"/>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 or (Loss)</w:t>
            </w:r>
          </w:p>
        </w:tc>
        <w:tc>
          <w:tcPr>
            <w:tcW w:w="160" w:type="dxa"/>
            <w:vAlign w:val="bottom"/>
          </w:tcPr>
          <w:p>
            <w:pPr>
              <w:spacing w:after="0"/>
              <w:rPr>
                <w:sz w:val="11"/>
                <w:szCs w:val="11"/>
                <w:color w:val="auto"/>
              </w:rPr>
            </w:pPr>
          </w:p>
        </w:tc>
        <w:tc>
          <w:tcPr>
            <w:tcW w:w="90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1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Reclassified from</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31"/>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0" w:type="dxa"/>
            <w:vAlign w:val="bottom"/>
          </w:tcPr>
          <w:p>
            <w:pPr>
              <w:spacing w:after="0"/>
              <w:rPr>
                <w:sz w:val="11"/>
                <w:szCs w:val="11"/>
                <w:color w:val="auto"/>
              </w:rPr>
            </w:pPr>
          </w:p>
        </w:tc>
        <w:tc>
          <w:tcPr>
            <w:tcW w:w="960" w:type="dxa"/>
            <w:vAlign w:val="bottom"/>
          </w:tcPr>
          <w:p>
            <w:pPr>
              <w:jc w:val="center"/>
              <w:ind w:right="67"/>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20" w:type="dxa"/>
            <w:vAlign w:val="bottom"/>
          </w:tcPr>
          <w:p>
            <w:pPr>
              <w:spacing w:after="0"/>
              <w:rPr>
                <w:sz w:val="11"/>
                <w:szCs w:val="11"/>
                <w:color w:val="auto"/>
              </w:rPr>
            </w:pPr>
          </w:p>
        </w:tc>
        <w:tc>
          <w:tcPr>
            <w:tcW w:w="960" w:type="dxa"/>
            <w:vAlign w:val="bottom"/>
          </w:tcPr>
          <w:p>
            <w:pPr>
              <w:jc w:val="center"/>
              <w:ind w:right="69"/>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720" w:type="dxa"/>
            <w:vAlign w:val="bottom"/>
            <w:vMerge w:val="continue"/>
          </w:tcPr>
          <w:p>
            <w:pPr>
              <w:spacing w:after="0"/>
              <w:rPr>
                <w:sz w:val="11"/>
                <w:szCs w:val="11"/>
                <w:color w:val="auto"/>
              </w:rPr>
            </w:pPr>
          </w:p>
        </w:tc>
        <w:tc>
          <w:tcPr>
            <w:tcW w:w="10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60" w:type="dxa"/>
            <w:vAlign w:val="bottom"/>
          </w:tcPr>
          <w:p>
            <w:pPr>
              <w:spacing w:after="0"/>
              <w:rPr>
                <w:sz w:val="11"/>
                <w:szCs w:val="11"/>
                <w:color w:val="auto"/>
              </w:rPr>
            </w:pPr>
          </w:p>
        </w:tc>
        <w:tc>
          <w:tcPr>
            <w:tcW w:w="92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1"/>
        </w:trPr>
        <w:tc>
          <w:tcPr>
            <w:tcW w:w="2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67"/>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20" w:type="dxa"/>
            <w:vAlign w:val="bottom"/>
          </w:tcPr>
          <w:p>
            <w:pPr>
              <w:spacing w:after="0"/>
              <w:rPr>
                <w:sz w:val="11"/>
                <w:szCs w:val="11"/>
                <w:color w:val="auto"/>
              </w:rPr>
            </w:pPr>
          </w:p>
        </w:tc>
        <w:tc>
          <w:tcPr>
            <w:tcW w:w="960" w:type="dxa"/>
            <w:vAlign w:val="bottom"/>
          </w:tcPr>
          <w:p>
            <w:pPr>
              <w:jc w:val="center"/>
              <w:ind w:right="49"/>
              <w:spacing w:after="0" w:line="131"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 AOCI</w:t>
            </w:r>
          </w:p>
        </w:tc>
        <w:tc>
          <w:tcPr>
            <w:tcW w:w="160" w:type="dxa"/>
            <w:vAlign w:val="bottom"/>
          </w:tcPr>
          <w:p>
            <w:pPr>
              <w:spacing w:after="0"/>
              <w:rPr>
                <w:sz w:val="11"/>
                <w:szCs w:val="11"/>
                <w:color w:val="auto"/>
              </w:rPr>
            </w:pPr>
          </w:p>
        </w:tc>
        <w:tc>
          <w:tcPr>
            <w:tcW w:w="90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w w:val="98"/>
              </w:rPr>
              <w:t>AOCI into</w:t>
            </w:r>
          </w:p>
        </w:tc>
        <w:tc>
          <w:tcPr>
            <w:tcW w:w="100" w:type="dxa"/>
            <w:vAlign w:val="bottom"/>
          </w:tcPr>
          <w:p>
            <w:pPr>
              <w:spacing w:after="0"/>
              <w:rPr>
                <w:sz w:val="11"/>
                <w:szCs w:val="11"/>
                <w:color w:val="auto"/>
              </w:rPr>
            </w:pPr>
          </w:p>
        </w:tc>
        <w:tc>
          <w:tcPr>
            <w:tcW w:w="11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78"/>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OCI on Derivative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into Income</w:t>
            </w:r>
          </w:p>
        </w:tc>
        <w:tc>
          <w:tcPr>
            <w:tcW w:w="160" w:type="dxa"/>
            <w:vAlign w:val="bottom"/>
          </w:tcPr>
          <w:p>
            <w:pPr>
              <w:spacing w:after="0"/>
              <w:rPr>
                <w:sz w:val="15"/>
                <w:szCs w:val="15"/>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Component</w:t>
            </w:r>
          </w:p>
        </w:tc>
        <w:tc>
          <w:tcPr>
            <w:tcW w:w="160" w:type="dxa"/>
            <w:vAlign w:val="bottom"/>
          </w:tcPr>
          <w:p>
            <w:pPr>
              <w:spacing w:after="0"/>
              <w:rPr>
                <w:sz w:val="15"/>
                <w:szCs w:val="15"/>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09"/>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Interest Income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4,021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Interest Expense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4,002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4"/>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17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100" w:type="dxa"/>
            <w:vAlign w:val="bottom"/>
          </w:tcPr>
          <w:p>
            <w:pPr>
              <w:spacing w:after="0"/>
              <w:rPr>
                <w:sz w:val="10"/>
                <w:szCs w:val="10"/>
                <w:color w:val="auto"/>
              </w:rPr>
            </w:pPr>
          </w:p>
        </w:tc>
        <w:tc>
          <w:tcPr>
            <w:tcW w:w="116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60" w:type="dxa"/>
            <w:vAlign w:val="bottom"/>
          </w:tcPr>
          <w:p>
            <w:pPr>
              <w:spacing w:after="0"/>
              <w:rPr>
                <w:sz w:val="11"/>
                <w:szCs w:val="11"/>
                <w:color w:val="auto"/>
              </w:rPr>
            </w:pPr>
          </w:p>
        </w:tc>
        <w:tc>
          <w:tcPr>
            <w:tcW w:w="92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60" w:type="dxa"/>
            <w:vAlign w:val="bottom"/>
          </w:tcPr>
          <w:p>
            <w:pPr>
              <w:jc w:val="center"/>
              <w:ind w:right="69"/>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 or (Loss)</w:t>
            </w:r>
          </w:p>
        </w:tc>
        <w:tc>
          <w:tcPr>
            <w:tcW w:w="160" w:type="dxa"/>
            <w:vAlign w:val="bottom"/>
          </w:tcPr>
          <w:p>
            <w:pPr>
              <w:spacing w:after="0"/>
              <w:rPr>
                <w:sz w:val="11"/>
                <w:szCs w:val="11"/>
                <w:color w:val="auto"/>
              </w:rPr>
            </w:pPr>
          </w:p>
        </w:tc>
        <w:tc>
          <w:tcPr>
            <w:tcW w:w="90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1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Reclassified from</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31"/>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0" w:type="dxa"/>
            <w:vAlign w:val="bottom"/>
          </w:tcPr>
          <w:p>
            <w:pPr>
              <w:spacing w:after="0"/>
              <w:rPr>
                <w:sz w:val="11"/>
                <w:szCs w:val="11"/>
                <w:color w:val="auto"/>
              </w:rPr>
            </w:pPr>
          </w:p>
        </w:tc>
        <w:tc>
          <w:tcPr>
            <w:tcW w:w="960" w:type="dxa"/>
            <w:vAlign w:val="bottom"/>
          </w:tcPr>
          <w:p>
            <w:pPr>
              <w:jc w:val="center"/>
              <w:ind w:right="67"/>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20" w:type="dxa"/>
            <w:vAlign w:val="bottom"/>
          </w:tcPr>
          <w:p>
            <w:pPr>
              <w:spacing w:after="0"/>
              <w:rPr>
                <w:sz w:val="11"/>
                <w:szCs w:val="11"/>
                <w:color w:val="auto"/>
              </w:rPr>
            </w:pPr>
          </w:p>
        </w:tc>
        <w:tc>
          <w:tcPr>
            <w:tcW w:w="960" w:type="dxa"/>
            <w:vAlign w:val="bottom"/>
          </w:tcPr>
          <w:p>
            <w:pPr>
              <w:jc w:val="center"/>
              <w:ind w:right="69"/>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720" w:type="dxa"/>
            <w:vAlign w:val="bottom"/>
            <w:vMerge w:val="continue"/>
          </w:tcPr>
          <w:p>
            <w:pPr>
              <w:spacing w:after="0"/>
              <w:rPr>
                <w:sz w:val="11"/>
                <w:szCs w:val="11"/>
                <w:color w:val="auto"/>
              </w:rPr>
            </w:pPr>
          </w:p>
        </w:tc>
        <w:tc>
          <w:tcPr>
            <w:tcW w:w="10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60" w:type="dxa"/>
            <w:vAlign w:val="bottom"/>
          </w:tcPr>
          <w:p>
            <w:pPr>
              <w:spacing w:after="0"/>
              <w:rPr>
                <w:sz w:val="11"/>
                <w:szCs w:val="11"/>
                <w:color w:val="auto"/>
              </w:rPr>
            </w:pPr>
          </w:p>
        </w:tc>
        <w:tc>
          <w:tcPr>
            <w:tcW w:w="92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1"/>
        </w:trPr>
        <w:tc>
          <w:tcPr>
            <w:tcW w:w="2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67"/>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20" w:type="dxa"/>
            <w:vAlign w:val="bottom"/>
          </w:tcPr>
          <w:p>
            <w:pPr>
              <w:spacing w:after="0"/>
              <w:rPr>
                <w:sz w:val="11"/>
                <w:szCs w:val="11"/>
                <w:color w:val="auto"/>
              </w:rPr>
            </w:pPr>
          </w:p>
        </w:tc>
        <w:tc>
          <w:tcPr>
            <w:tcW w:w="960" w:type="dxa"/>
            <w:vAlign w:val="bottom"/>
          </w:tcPr>
          <w:p>
            <w:pPr>
              <w:jc w:val="center"/>
              <w:ind w:right="49"/>
              <w:spacing w:after="0" w:line="131"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 AOCI</w:t>
            </w:r>
          </w:p>
        </w:tc>
        <w:tc>
          <w:tcPr>
            <w:tcW w:w="160" w:type="dxa"/>
            <w:vAlign w:val="bottom"/>
          </w:tcPr>
          <w:p>
            <w:pPr>
              <w:spacing w:after="0"/>
              <w:rPr>
                <w:sz w:val="11"/>
                <w:szCs w:val="11"/>
                <w:color w:val="auto"/>
              </w:rPr>
            </w:pPr>
          </w:p>
        </w:tc>
        <w:tc>
          <w:tcPr>
            <w:tcW w:w="90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w w:val="98"/>
              </w:rPr>
              <w:t>AOCI into</w:t>
            </w:r>
          </w:p>
        </w:tc>
        <w:tc>
          <w:tcPr>
            <w:tcW w:w="100" w:type="dxa"/>
            <w:vAlign w:val="bottom"/>
          </w:tcPr>
          <w:p>
            <w:pPr>
              <w:spacing w:after="0"/>
              <w:rPr>
                <w:sz w:val="11"/>
                <w:szCs w:val="11"/>
                <w:color w:val="auto"/>
              </w:rPr>
            </w:pPr>
          </w:p>
        </w:tc>
        <w:tc>
          <w:tcPr>
            <w:tcW w:w="11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78"/>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OCI on Derivative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into Income</w:t>
            </w:r>
          </w:p>
        </w:tc>
        <w:tc>
          <w:tcPr>
            <w:tcW w:w="160" w:type="dxa"/>
            <w:vAlign w:val="bottom"/>
          </w:tcPr>
          <w:p>
            <w:pPr>
              <w:spacing w:after="0"/>
              <w:rPr>
                <w:sz w:val="15"/>
                <w:szCs w:val="15"/>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Component</w:t>
            </w:r>
          </w:p>
        </w:tc>
        <w:tc>
          <w:tcPr>
            <w:tcW w:w="160" w:type="dxa"/>
            <w:vAlign w:val="bottom"/>
          </w:tcPr>
          <w:p>
            <w:pPr>
              <w:spacing w:after="0"/>
              <w:rPr>
                <w:sz w:val="15"/>
                <w:szCs w:val="15"/>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09"/>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Interest Income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Interest Expense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1"/>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17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100" w:type="dxa"/>
            <w:vAlign w:val="bottom"/>
          </w:tcPr>
          <w:p>
            <w:pPr>
              <w:spacing w:after="0"/>
              <w:rPr>
                <w:sz w:val="10"/>
                <w:szCs w:val="10"/>
                <w:color w:val="auto"/>
              </w:rPr>
            </w:pPr>
          </w:p>
        </w:tc>
        <w:tc>
          <w:tcPr>
            <w:tcW w:w="116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3"/>
                <w:szCs w:val="13"/>
                <w:b w:val="1"/>
                <w:bCs w:val="1"/>
                <w:color w:val="auto"/>
              </w:rPr>
              <w:t>Amount of Gain</w:t>
            </w:r>
          </w:p>
        </w:tc>
        <w:tc>
          <w:tcPr>
            <w:tcW w:w="10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9"/>
              </w:rPr>
              <w:t>Amount of Gain</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60" w:type="dxa"/>
            <w:vAlign w:val="bottom"/>
          </w:tcPr>
          <w:p>
            <w:pPr>
              <w:spacing w:after="0"/>
              <w:rPr>
                <w:sz w:val="11"/>
                <w:szCs w:val="11"/>
                <w:color w:val="auto"/>
              </w:rPr>
            </w:pPr>
          </w:p>
        </w:tc>
        <w:tc>
          <w:tcPr>
            <w:tcW w:w="920" w:type="dxa"/>
            <w:vAlign w:val="bottom"/>
          </w:tcPr>
          <w:p>
            <w:pPr>
              <w:jc w:val="center"/>
              <w:ind w:right="68"/>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60" w:type="dxa"/>
            <w:vAlign w:val="bottom"/>
          </w:tcPr>
          <w:p>
            <w:pPr>
              <w:jc w:val="center"/>
              <w:ind w:right="69"/>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Location of Gain or (Loss)</w:t>
            </w:r>
          </w:p>
        </w:tc>
        <w:tc>
          <w:tcPr>
            <w:tcW w:w="160" w:type="dxa"/>
            <w:vAlign w:val="bottom"/>
          </w:tcPr>
          <w:p>
            <w:pPr>
              <w:spacing w:after="0"/>
              <w:rPr>
                <w:sz w:val="11"/>
                <w:szCs w:val="11"/>
                <w:color w:val="auto"/>
              </w:rPr>
            </w:pPr>
          </w:p>
        </w:tc>
        <w:tc>
          <w:tcPr>
            <w:tcW w:w="90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1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Reclassified from</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0" w:type="dxa"/>
            <w:vAlign w:val="bottom"/>
          </w:tcPr>
          <w:p>
            <w:pPr>
              <w:spacing w:after="0"/>
              <w:rPr>
                <w:sz w:val="1"/>
                <w:szCs w:val="1"/>
                <w:color w:val="auto"/>
              </w:rPr>
            </w:pPr>
          </w:p>
        </w:tc>
      </w:tr>
      <w:tr>
        <w:trPr>
          <w:trHeight w:val="131"/>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 Hedging</w:t>
            </w:r>
          </w:p>
        </w:tc>
        <w:tc>
          <w:tcPr>
            <w:tcW w:w="120" w:type="dxa"/>
            <w:vAlign w:val="bottom"/>
          </w:tcPr>
          <w:p>
            <w:pPr>
              <w:spacing w:after="0"/>
              <w:rPr>
                <w:sz w:val="11"/>
                <w:szCs w:val="11"/>
                <w:color w:val="auto"/>
              </w:rPr>
            </w:pPr>
          </w:p>
        </w:tc>
        <w:tc>
          <w:tcPr>
            <w:tcW w:w="960" w:type="dxa"/>
            <w:vAlign w:val="bottom"/>
          </w:tcPr>
          <w:p>
            <w:pPr>
              <w:jc w:val="center"/>
              <w:ind w:right="67"/>
              <w:spacing w:after="0" w:line="131" w:lineRule="exact"/>
              <w:rPr>
                <w:sz w:val="20"/>
                <w:szCs w:val="20"/>
                <w:color w:val="auto"/>
              </w:rPr>
            </w:pPr>
            <w:r>
              <w:rPr>
                <w:rFonts w:ascii="Times New Roman" w:cs="Times New Roman" w:eastAsia="Times New Roman" w:hAnsi="Times New Roman"/>
                <w:sz w:val="13"/>
                <w:szCs w:val="13"/>
                <w:b w:val="1"/>
                <w:bCs w:val="1"/>
                <w:color w:val="auto"/>
              </w:rPr>
              <w:t>or (Loss)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20" w:type="dxa"/>
            <w:vAlign w:val="bottom"/>
          </w:tcPr>
          <w:p>
            <w:pPr>
              <w:spacing w:after="0"/>
              <w:rPr>
                <w:sz w:val="11"/>
                <w:szCs w:val="11"/>
                <w:color w:val="auto"/>
              </w:rPr>
            </w:pPr>
          </w:p>
        </w:tc>
        <w:tc>
          <w:tcPr>
            <w:tcW w:w="960" w:type="dxa"/>
            <w:vAlign w:val="bottom"/>
          </w:tcPr>
          <w:p>
            <w:pPr>
              <w:jc w:val="center"/>
              <w:ind w:right="69"/>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720" w:type="dxa"/>
            <w:vAlign w:val="bottom"/>
            <w:vMerge w:val="continue"/>
          </w:tcPr>
          <w:p>
            <w:pPr>
              <w:spacing w:after="0"/>
              <w:rPr>
                <w:sz w:val="11"/>
                <w:szCs w:val="11"/>
                <w:color w:val="auto"/>
              </w:rPr>
            </w:pPr>
          </w:p>
        </w:tc>
        <w:tc>
          <w:tcPr>
            <w:tcW w:w="10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160" w:type="dxa"/>
            <w:vAlign w:val="bottom"/>
          </w:tcPr>
          <w:p>
            <w:pPr>
              <w:spacing w:after="0"/>
              <w:rPr>
                <w:sz w:val="11"/>
                <w:szCs w:val="11"/>
                <w:color w:val="auto"/>
              </w:rPr>
            </w:pPr>
          </w:p>
        </w:tc>
        <w:tc>
          <w:tcPr>
            <w:tcW w:w="92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rPr>
              <w:t>AOCI into</w:t>
            </w:r>
          </w:p>
        </w:tc>
        <w:tc>
          <w:tcPr>
            <w:tcW w:w="0" w:type="dxa"/>
            <w:vAlign w:val="bottom"/>
          </w:tcPr>
          <w:p>
            <w:pPr>
              <w:spacing w:after="0"/>
              <w:rPr>
                <w:sz w:val="1"/>
                <w:szCs w:val="1"/>
                <w:color w:val="auto"/>
              </w:rPr>
            </w:pPr>
          </w:p>
        </w:tc>
      </w:tr>
      <w:tr>
        <w:trPr>
          <w:trHeight w:val="131"/>
        </w:trPr>
        <w:tc>
          <w:tcPr>
            <w:tcW w:w="2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67"/>
              <w:spacing w:after="0" w:line="131"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20" w:type="dxa"/>
            <w:vAlign w:val="bottom"/>
          </w:tcPr>
          <w:p>
            <w:pPr>
              <w:spacing w:after="0"/>
              <w:rPr>
                <w:sz w:val="11"/>
                <w:szCs w:val="11"/>
                <w:color w:val="auto"/>
              </w:rPr>
            </w:pPr>
          </w:p>
        </w:tc>
        <w:tc>
          <w:tcPr>
            <w:tcW w:w="960" w:type="dxa"/>
            <w:vAlign w:val="bottom"/>
          </w:tcPr>
          <w:p>
            <w:pPr>
              <w:jc w:val="center"/>
              <w:ind w:right="49"/>
              <w:spacing w:after="0" w:line="131"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Reclassified from AOCI</w:t>
            </w:r>
          </w:p>
        </w:tc>
        <w:tc>
          <w:tcPr>
            <w:tcW w:w="160" w:type="dxa"/>
            <w:vAlign w:val="bottom"/>
          </w:tcPr>
          <w:p>
            <w:pPr>
              <w:spacing w:after="0"/>
              <w:rPr>
                <w:sz w:val="11"/>
                <w:szCs w:val="11"/>
                <w:color w:val="auto"/>
              </w:rPr>
            </w:pPr>
          </w:p>
        </w:tc>
        <w:tc>
          <w:tcPr>
            <w:tcW w:w="90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3"/>
                <w:szCs w:val="13"/>
                <w:b w:val="1"/>
                <w:bCs w:val="1"/>
                <w:color w:val="auto"/>
                <w:w w:val="98"/>
              </w:rPr>
              <w:t>AOCI into</w:t>
            </w:r>
          </w:p>
        </w:tc>
        <w:tc>
          <w:tcPr>
            <w:tcW w:w="100" w:type="dxa"/>
            <w:vAlign w:val="bottom"/>
          </w:tcPr>
          <w:p>
            <w:pPr>
              <w:spacing w:after="0"/>
              <w:rPr>
                <w:sz w:val="11"/>
                <w:szCs w:val="11"/>
                <w:color w:val="auto"/>
              </w:rPr>
            </w:pPr>
          </w:p>
        </w:tc>
        <w:tc>
          <w:tcPr>
            <w:tcW w:w="11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Income Excluded</w:t>
            </w:r>
          </w:p>
        </w:tc>
        <w:tc>
          <w:tcPr>
            <w:tcW w:w="0" w:type="dxa"/>
            <w:vAlign w:val="bottom"/>
          </w:tcPr>
          <w:p>
            <w:pPr>
              <w:spacing w:after="0"/>
              <w:rPr>
                <w:sz w:val="1"/>
                <w:szCs w:val="1"/>
                <w:color w:val="auto"/>
              </w:rPr>
            </w:pPr>
          </w:p>
        </w:tc>
      </w:tr>
      <w:tr>
        <w:trPr>
          <w:trHeight w:val="178"/>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OCI on Derivative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into Income</w:t>
            </w:r>
          </w:p>
        </w:tc>
        <w:tc>
          <w:tcPr>
            <w:tcW w:w="160" w:type="dxa"/>
            <w:vAlign w:val="bottom"/>
          </w:tcPr>
          <w:p>
            <w:pPr>
              <w:spacing w:after="0"/>
              <w:rPr>
                <w:sz w:val="15"/>
                <w:szCs w:val="15"/>
                <w:color w:val="auto"/>
              </w:rPr>
            </w:pPr>
          </w:p>
        </w:tc>
        <w:tc>
          <w:tcPr>
            <w:tcW w:w="90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Component</w:t>
            </w:r>
          </w:p>
        </w:tc>
        <w:tc>
          <w:tcPr>
            <w:tcW w:w="160" w:type="dxa"/>
            <w:vAlign w:val="bottom"/>
          </w:tcPr>
          <w:p>
            <w:pPr>
              <w:spacing w:after="0"/>
              <w:rPr>
                <w:sz w:val="15"/>
                <w:szCs w:val="15"/>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09"/>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Interest Income</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Derivatives (continued)</w:t>
      </w:r>
    </w:p>
    <w:p>
      <w:pPr>
        <w:spacing w:after="0" w:line="200" w:lineRule="exact"/>
        <w:rPr>
          <w:sz w:val="20"/>
          <w:szCs w:val="20"/>
          <w:color w:val="auto"/>
        </w:rPr>
      </w:pPr>
    </w:p>
    <w:p>
      <w:pPr>
        <w:spacing w:after="0" w:line="330"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as of December 31, 2024, December 31, 2023, and December 31, 2022 (in thousands).</w:t>
      </w:r>
    </w:p>
    <w:p>
      <w:pPr>
        <w:spacing w:after="0" w:line="152"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w:t>
      </w:r>
    </w:p>
    <w:p>
      <w:pPr>
        <w:jc w:val="center"/>
        <w:ind w:left="4300"/>
        <w:spacing w:after="0"/>
        <w:rPr>
          <w:sz w:val="20"/>
          <w:szCs w:val="20"/>
          <w:color w:val="auto"/>
        </w:rPr>
      </w:pPr>
      <w:r>
        <w:rPr>
          <w:rFonts w:ascii="Times New Roman" w:cs="Times New Roman" w:eastAsia="Times New Roman" w:hAnsi="Times New Roman"/>
          <w:sz w:val="16"/>
          <w:szCs w:val="16"/>
          <w:b w:val="1"/>
          <w:bCs w:val="1"/>
          <w:color w:val="auto"/>
        </w:rPr>
        <w:t>Relationships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60" w:type="dxa"/>
            <w:vAlign w:val="bottom"/>
            <w:tcBorders>
              <w:top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80"/>
              <w:spacing w:after="0" w:line="15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100"/>
              <w:spacing w:after="0" w:line="15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00"/>
              <w:spacing w:after="0" w:line="15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100"/>
              <w:spacing w:after="0" w:line="15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00"/>
              <w:spacing w:after="0" w:line="15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100"/>
              <w:spacing w:after="0" w:line="151"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8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0" w:type="dxa"/>
            <w:vAlign w:val="bottom"/>
          </w:tcPr>
          <w:p>
            <w:pPr>
              <w:spacing w:after="0"/>
              <w:rPr>
                <w:sz w:val="1"/>
                <w:szCs w:val="1"/>
                <w:color w:val="auto"/>
              </w:rPr>
            </w:pPr>
          </w:p>
        </w:tc>
      </w:tr>
      <w:tr>
        <w:trPr>
          <w:trHeight w:val="138"/>
        </w:trPr>
        <w:tc>
          <w:tcPr>
            <w:tcW w:w="4320" w:type="dxa"/>
            <w:vAlign w:val="bottom"/>
            <w:tcBorders>
              <w:top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6"/>
                <w:szCs w:val="16"/>
                <w:color w:val="auto"/>
              </w:rPr>
              <w:t>Total amounts of income and expense line items presented in the</w:t>
            </w: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color w:val="auto"/>
              </w:rPr>
              <w:t>statement of financial performance in which the effects of fair</w:t>
            </w: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w w:val="97"/>
              </w:rPr>
              <w:t>(451)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 or cash flow hedges are recorded.</w:t>
            </w: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4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Gain or (loss) on fair value hedging relationships in Subtopic 815-20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Interest contracts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320"/>
              <w:spacing w:after="0" w:line="220" w:lineRule="exact"/>
              <w:rPr>
                <w:sz w:val="20"/>
                <w:szCs w:val="20"/>
                <w:color w:val="auto"/>
              </w:rPr>
            </w:pPr>
            <w:r>
              <w:rPr>
                <w:rFonts w:ascii="Times New Roman" w:cs="Times New Roman" w:eastAsia="Times New Roman" w:hAnsi="Times New Roman"/>
                <w:sz w:val="16"/>
                <w:szCs w:val="16"/>
                <w:color w:val="auto"/>
              </w:rPr>
              <w:t>Hedging items</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8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Interest contracts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w w:val="97"/>
              </w:rPr>
              <w:t>(611)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gridSpan w:val="2"/>
          </w:tcPr>
          <w:p>
            <w:pPr>
              <w:ind w:left="320"/>
              <w:spacing w:after="0" w:line="158" w:lineRule="exact"/>
              <w:rPr>
                <w:sz w:val="20"/>
                <w:szCs w:val="20"/>
                <w:color w:val="auto"/>
              </w:rPr>
            </w:pPr>
            <w:r>
              <w:rPr>
                <w:rFonts w:ascii="Times New Roman" w:cs="Times New Roman" w:eastAsia="Times New Roman" w:hAnsi="Times New Roman"/>
                <w:sz w:val="16"/>
                <w:szCs w:val="16"/>
                <w:color w:val="auto"/>
              </w:rPr>
              <w:t>Amount of gain or (loss) reclassified from AOCI into income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gridSpan w:val="2"/>
          </w:tcPr>
          <w:p>
            <w:pPr>
              <w:ind w:left="480"/>
              <w:spacing w:after="0" w:line="158" w:lineRule="exact"/>
              <w:rPr>
                <w:sz w:val="20"/>
                <w:szCs w:val="20"/>
                <w:color w:val="auto"/>
              </w:rPr>
            </w:pPr>
            <w:r>
              <w:rPr>
                <w:rFonts w:ascii="Times New Roman" w:cs="Times New Roman" w:eastAsia="Times New Roman" w:hAnsi="Times New Roman"/>
                <w:sz w:val="16"/>
                <w:szCs w:val="16"/>
                <w:color w:val="auto"/>
                <w:w w:val="98"/>
              </w:rPr>
              <w:t>as a result that a forecasted transaction is no longer probable</w:t>
            </w:r>
          </w:p>
        </w:tc>
        <w:tc>
          <w:tcPr>
            <w:tcW w:w="20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1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0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of occurring</w:t>
            </w: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6"/>
                <w:szCs w:val="16"/>
                <w:color w:val="auto"/>
              </w:rPr>
              <w:t>Amount of Gain or (Loss) Reclassified from AOCI into Income -</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w w:val="97"/>
              </w:rPr>
              <w:t>(611)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3"/>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Included Component</w:t>
            </w: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color w:val="auto"/>
              </w:rPr>
              <w:t>Amount of Gain or (Loss) Reclassified from AOCI into Income -</w:t>
            </w:r>
          </w:p>
        </w:tc>
        <w:tc>
          <w:tcPr>
            <w:tcW w:w="200" w:type="dxa"/>
            <w:vAlign w:val="bottom"/>
          </w:tcPr>
          <w:p>
            <w:pPr>
              <w:spacing w:after="0"/>
              <w:rPr>
                <w:sz w:val="13"/>
                <w:szCs w:val="13"/>
                <w:color w:val="auto"/>
              </w:rPr>
            </w:pPr>
          </w:p>
        </w:tc>
        <w:tc>
          <w:tcPr>
            <w:tcW w:w="980" w:type="dxa"/>
            <w:vAlign w:val="bottom"/>
            <w:gridSpan w:val="2"/>
            <w:vMerge w:val="restart"/>
          </w:tcPr>
          <w:p>
            <w:pPr>
              <w:jc w:val="center"/>
              <w:ind w:left="301"/>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1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00" w:type="dxa"/>
            <w:vAlign w:val="bottom"/>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Excluded Component</w:t>
            </w: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640" w:hanging="5"/>
        <w:spacing w:after="0" w:line="269" w:lineRule="auto"/>
        <w:tabs>
          <w:tab w:leader="none" w:pos="81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the amortization of other discounts or premiums on the hedged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As of December 31, 2024, the fair value of derivatives in a liability position, which includes accrued interest but excludes any adjustment for non-performance risk related to these agreements, was $165 thousand. As of December 31, 2024, the Company has posted the full amount of collateral related to these agreements.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extension commitments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December 31, 2024, and December 31, 2023,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278,923</w:t>
            </w:r>
          </w:p>
        </w:tc>
      </w:tr>
      <w:tr>
        <w:trPr>
          <w:trHeight w:val="22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r>
    </w:tbl>
    <w:p>
      <w:pPr>
        <w:spacing w:after="0" w:line="226"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off-balance-sheet credit exposures</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recorded a provision for credit losses on unfunded commitments of $3.7 million for the year ended December 31, 2024 and a recapture of $21 thousand for the year ended December 31, 2023. The ACL on off-balance-sheet credit exposures totaled $4.0 million as of December 31, 2024, and $254 thousand as of December 31, 2023 and is included in accrued interest and other liabilities on the accompanying Consolidated Balance Sheets.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Transactions with Related Parties</w:t>
      </w:r>
    </w:p>
    <w:p>
      <w:pPr>
        <w:spacing w:after="0" w:line="163"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Loans to directors and principal officers, including their immediate families and affiliated companies in which they have a direct or indirect material interest, are considered to be related parties.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Aggregate loan balances with related parties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124,414</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loans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changes in composition of related parties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32,075</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Repayments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157,293</w:t>
            </w:r>
          </w:p>
        </w:tc>
      </w:tr>
    </w:tbl>
    <w:p>
      <w:pPr>
        <w:spacing w:after="0" w:line="21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None of the loans are past due, on non-accrual status, or have been restructured to provide a reduction or deferral of interest or principal because of deterioration in the financial position of the borrower. There were no loans to a related party that were considered classified loans at December 31, 2024, or December 31, 2023.</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Deposits from related parties at years ended December 31, 2024, and December 31, 2023, were $156.8 million and $103.6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i w:val="1"/>
          <w:iCs w:val="1"/>
          <w:color w:val="auto"/>
        </w:rPr>
        <w:t xml:space="preserve">Level 1 </w:t>
      </w:r>
      <w:r>
        <w:rPr>
          <w:rFonts w:ascii="Times New Roman" w:cs="Times New Roman" w:eastAsia="Times New Roman" w:hAnsi="Times New Roman"/>
          <w:sz w:val="16"/>
          <w:szCs w:val="16"/>
          <w:color w:val="auto"/>
        </w:rPr>
        <w:t>– Quoted prices (unadjusted) for identical assets or liabilities in active markets that the entity has the ability to access as of the measurement date.</w:t>
      </w:r>
    </w:p>
    <w:p>
      <w:pPr>
        <w:spacing w:after="0" w:line="184" w:lineRule="exact"/>
        <w:rPr>
          <w:sz w:val="20"/>
          <w:szCs w:val="20"/>
          <w:color w:val="auto"/>
        </w:rPr>
      </w:pPr>
    </w:p>
    <w:p>
      <w:pPr>
        <w:ind w:left="32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active; or other inputs that are observable or can be corroborated by observable market data.</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Equity investments are recorded at fair value on a recurring basis, with changes in fair value reported in net income. Through the Merger, at December 31, 2024, we acquired an investment in an S&amp;P 500 index mutual fund that is traded on an exchange, and we classify it as Level 2.</w:t>
      </w:r>
    </w:p>
    <w:p>
      <w:pPr>
        <w:spacing w:after="0" w:line="117"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Through the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spacing w:after="0" w:line="13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carried at cost, minus impairment, if any, plus or minus changes resulting from observable price changes in orderly transactions for an identical or similar investment. Such equity securities are included in Equity Investments on the accompanying consolidated balance sheets.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Loans held-for-sale, at fair value</w:t>
      </w:r>
    </w:p>
    <w:p>
      <w:pPr>
        <w:spacing w:after="0" w:line="165"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15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 Prices in Active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Markets for 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3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Obligations of state and municipalities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698,724</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53,186</w:t>
            </w: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247,876</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33,071</w:t>
            </w: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Asset backed</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64,056</w:t>
            </w: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w:t>
            </w:r>
          </w:p>
        </w:tc>
        <w:tc>
          <w:tcPr>
            <w:tcW w:w="0" w:type="dxa"/>
            <w:vAlign w:val="bottom"/>
          </w:tcPr>
          <w:p>
            <w:pPr>
              <w:spacing w:after="0"/>
              <w:rPr>
                <w:sz w:val="1"/>
                <w:szCs w:val="1"/>
                <w:color w:val="auto"/>
              </w:rPr>
            </w:pPr>
          </w:p>
        </w:tc>
      </w:tr>
      <w:tr>
        <w:trPr>
          <w:trHeight w:val="190"/>
        </w:trPr>
        <w:tc>
          <w:tcPr>
            <w:tcW w:w="47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149,127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1,283,244</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1,432,371</w:t>
            </w: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12,407</w:t>
            </w: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8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15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 Prices in Active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Markets for 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3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Obligations of state and municipalities</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463,203</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42,238</w:t>
            </w: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266,031</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34,885</w:t>
            </w: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177,061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177,061</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Asset backed</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77,936</w:t>
            </w:r>
          </w:p>
        </w:tc>
        <w:tc>
          <w:tcPr>
            <w:tcW w:w="0" w:type="dxa"/>
            <w:vAlign w:val="bottom"/>
          </w:tcPr>
          <w:p>
            <w:pPr>
              <w:spacing w:after="0"/>
              <w:rPr>
                <w:sz w:val="1"/>
                <w:szCs w:val="1"/>
                <w:color w:val="auto"/>
              </w:rPr>
            </w:pPr>
          </w:p>
        </w:tc>
      </w:tr>
      <w:tr>
        <w:trPr>
          <w:trHeight w:val="190"/>
        </w:trPr>
        <w:tc>
          <w:tcPr>
            <w:tcW w:w="4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0" w:type="dxa"/>
            <w:vAlign w:val="bottom"/>
          </w:tcPr>
          <w:p>
            <w:pPr>
              <w:spacing w:after="0"/>
              <w:rPr>
                <w:sz w:val="1"/>
                <w:szCs w:val="1"/>
                <w:color w:val="auto"/>
              </w:rPr>
            </w:pPr>
          </w:p>
        </w:tc>
      </w:tr>
      <w:tr>
        <w:trPr>
          <w:trHeight w:val="190"/>
        </w:trPr>
        <w:tc>
          <w:tcPr>
            <w:tcW w:w="47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1,069,368</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1,248,439</w:t>
            </w: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8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right="420" w:firstLine="315"/>
        <w:spacing w:after="0" w:line="267"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dependent loans</w:t>
      </w:r>
    </w:p>
    <w:p>
      <w:pPr>
        <w:spacing w:after="0" w:line="163"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dependent upon the operation or sale of collateral, are considered collateral-dependent. For collateral-dependent loans, the fair value is measured based on the value of the collateral securing the loans, less estimated costs of disposal. Collateral may be in the form of real estate or business assets, including equipment, inventory, and accounts receivable. The vast majority of the collateral underlying collateral-dependent loans is real estate, the fair value of which is measured through an appraisal. The appraisals of the collateral supporting collateral-dependent loans may utilize a single valuation approach or a combination of approaches, including comparable sales and the income approach. Any fair value adjustments are recorded in the period incurred as provision for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real estate owned</w:t>
      </w:r>
    </w:p>
    <w:p>
      <w:pPr>
        <w:spacing w:after="0" w:line="1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 Upon foreclosure, any fair value adjustment is charged against the allowance for credit losses on loans.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adjustments are recorded in the period incurred and included in other noninterest expense in the consolidated statements of income.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 Using: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15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 Prices in Active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Significant Unobservable</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Markets for 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30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0"/>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5"/>
                <w:szCs w:val="15"/>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0" w:type="dxa"/>
            <w:vAlign w:val="bottom"/>
          </w:tcPr>
          <w:p>
            <w:pPr>
              <w:spacing w:after="0"/>
              <w:rPr>
                <w:sz w:val="1"/>
                <w:szCs w:val="1"/>
                <w:color w:val="auto"/>
              </w:rPr>
            </w:pPr>
          </w:p>
        </w:tc>
      </w:tr>
      <w:tr>
        <w:trPr>
          <w:trHeight w:val="46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720" w:type="dxa"/>
            <w:vAlign w:val="bottom"/>
          </w:tcPr>
          <w:p>
            <w:pPr>
              <w:spacing w:after="0"/>
              <w:rPr>
                <w:sz w:val="10"/>
                <w:szCs w:val="10"/>
                <w:color w:val="auto"/>
              </w:rPr>
            </w:pPr>
          </w:p>
        </w:tc>
        <w:tc>
          <w:tcPr>
            <w:tcW w:w="15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Quoted Prices in Active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Significant Unobservable</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Markets for 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30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20" w:type="dxa"/>
            <w:vAlign w:val="bottom"/>
          </w:tcPr>
          <w:p>
            <w:pPr>
              <w:spacing w:after="0"/>
              <w:rPr>
                <w:sz w:val="16"/>
                <w:szCs w:val="16"/>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120" w:type="dxa"/>
            <w:vAlign w:val="bottom"/>
          </w:tcPr>
          <w:p>
            <w:pPr>
              <w:spacing w:after="0"/>
              <w:rPr>
                <w:sz w:val="16"/>
                <w:szCs w:val="16"/>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20" w:type="dxa"/>
            <w:vAlign w:val="bottom"/>
          </w:tcPr>
          <w:p>
            <w:pPr>
              <w:spacing w:after="0"/>
              <w:rPr>
                <w:sz w:val="15"/>
                <w:szCs w:val="15"/>
                <w:color w:val="auto"/>
              </w:rPr>
            </w:pPr>
          </w:p>
        </w:tc>
        <w:tc>
          <w:tcPr>
            <w:tcW w:w="144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presents quantitative information about Level 3 Fair Value Measurements for assets measured at fair value on a non-recurring basis at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2023 (in thousands except for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66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24"/>
        </w:trPr>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80" w:type="dxa"/>
            <w:vAlign w:val="bottom"/>
          </w:tcPr>
          <w:p>
            <w:pPr>
              <w:spacing w:after="0"/>
              <w:rPr>
                <w:sz w:val="11"/>
                <w:szCs w:val="11"/>
                <w:color w:val="auto"/>
              </w:rPr>
            </w:pP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5.0% to 20.0% for liquidity, 6.0% to 8.0% for</w:t>
            </w:r>
          </w:p>
        </w:tc>
        <w:tc>
          <w:tcPr>
            <w:tcW w:w="0" w:type="dxa"/>
            <w:vAlign w:val="bottom"/>
          </w:tcPr>
          <w:p>
            <w:pPr>
              <w:spacing w:after="0"/>
              <w:rPr>
                <w:sz w:val="1"/>
                <w:szCs w:val="1"/>
                <w:color w:val="auto"/>
              </w:rPr>
            </w:pPr>
          </w:p>
        </w:tc>
      </w:tr>
      <w:tr>
        <w:trPr>
          <w:trHeight w:val="188"/>
        </w:trPr>
        <w:tc>
          <w:tcPr>
            <w:tcW w:w="26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selling costs</w:t>
            </w:r>
          </w:p>
        </w:tc>
        <w:tc>
          <w:tcPr>
            <w:tcW w:w="0" w:type="dxa"/>
            <w:vAlign w:val="bottom"/>
          </w:tcPr>
          <w:p>
            <w:pPr>
              <w:spacing w:after="0"/>
              <w:rPr>
                <w:sz w:val="1"/>
                <w:szCs w:val="1"/>
                <w:color w:val="auto"/>
              </w:rPr>
            </w:pPr>
          </w:p>
        </w:tc>
      </w:tr>
      <w:tr>
        <w:trPr>
          <w:trHeight w:val="140"/>
        </w:trPr>
        <w:tc>
          <w:tcPr>
            <w:tcW w:w="26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80" w:type="dxa"/>
            <w:vAlign w:val="bottom"/>
            <w:shd w:val="clear" w:color="auto" w:fill="CCEEFF"/>
          </w:tcPr>
          <w:p>
            <w:pPr>
              <w:spacing w:after="0"/>
              <w:rPr>
                <w:sz w:val="12"/>
                <w:szCs w:val="12"/>
                <w:color w:val="auto"/>
              </w:rPr>
            </w:pPr>
          </w:p>
        </w:tc>
        <w:tc>
          <w:tcPr>
            <w:tcW w:w="2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6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0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5.0% to 20.0% for liquidity, 6.0% to 8.0% for</w:t>
            </w:r>
          </w:p>
        </w:tc>
        <w:tc>
          <w:tcPr>
            <w:tcW w:w="0" w:type="dxa"/>
            <w:vAlign w:val="bottom"/>
          </w:tcPr>
          <w:p>
            <w:pPr>
              <w:spacing w:after="0"/>
              <w:rPr>
                <w:sz w:val="1"/>
                <w:szCs w:val="1"/>
                <w:color w:val="auto"/>
              </w:rPr>
            </w:pPr>
          </w:p>
        </w:tc>
      </w:tr>
      <w:tr>
        <w:trPr>
          <w:trHeight w:val="193"/>
        </w:trPr>
        <w:tc>
          <w:tcPr>
            <w:tcW w:w="2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80" w:type="dxa"/>
            <w:vAlign w:val="bottom"/>
            <w:gridSpan w:val="2"/>
            <w:vMerge w:val="continue"/>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selling costs</w:t>
            </w:r>
          </w:p>
        </w:tc>
        <w:tc>
          <w:tcPr>
            <w:tcW w:w="0" w:type="dxa"/>
            <w:vAlign w:val="bottom"/>
          </w:tcPr>
          <w:p>
            <w:pPr>
              <w:spacing w:after="0"/>
              <w:rPr>
                <w:sz w:val="1"/>
                <w:szCs w:val="1"/>
                <w:color w:val="auto"/>
              </w:rPr>
            </w:pPr>
          </w:p>
        </w:tc>
      </w:tr>
      <w:tr>
        <w:trPr>
          <w:trHeight w:val="263"/>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5.0% to 20.0% for liquidity, 6.0% to 8.0% for</w:t>
            </w:r>
          </w:p>
        </w:tc>
        <w:tc>
          <w:tcPr>
            <w:tcW w:w="0" w:type="dxa"/>
            <w:vAlign w:val="bottom"/>
          </w:tcPr>
          <w:p>
            <w:pPr>
              <w:spacing w:after="0"/>
              <w:rPr>
                <w:sz w:val="1"/>
                <w:szCs w:val="1"/>
                <w:color w:val="auto"/>
              </w:rPr>
            </w:pPr>
          </w:p>
        </w:tc>
      </w:tr>
      <w:tr>
        <w:trPr>
          <w:trHeight w:val="183"/>
        </w:trPr>
        <w:tc>
          <w:tcPr>
            <w:tcW w:w="26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selling costs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 (continued)</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December 31, 2024, and December 31, 2023,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20" w:type="dxa"/>
            <w:vAlign w:val="bottom"/>
            <w:gridSpan w:val="1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 December 31, 2024 Using:</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Unobservable Inputs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35,554</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0" w:type="dxa"/>
            <w:vAlign w:val="bottom"/>
          </w:tcPr>
          <w:p>
            <w:pPr>
              <w:spacing w:after="0"/>
              <w:rPr>
                <w:sz w:val="1"/>
                <w:szCs w:val="1"/>
                <w:color w:val="auto"/>
              </w:rPr>
            </w:pPr>
          </w:p>
        </w:tc>
      </w:tr>
      <w:tr>
        <w:trPr>
          <w:trHeight w:val="190"/>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5,604,196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5,465,772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5,465,772</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34,454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34,454</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1,379,940</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1,379,940</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5,135,299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5,126,423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5,126,423</w:t>
            </w:r>
          </w:p>
        </w:tc>
        <w:tc>
          <w:tcPr>
            <w:tcW w:w="0" w:type="dxa"/>
            <w:vAlign w:val="bottom"/>
          </w:tcPr>
          <w:p>
            <w:pPr>
              <w:spacing w:after="0"/>
              <w:rPr>
                <w:sz w:val="1"/>
                <w:szCs w:val="1"/>
                <w:color w:val="auto"/>
              </w:rPr>
            </w:pPr>
          </w:p>
        </w:tc>
      </w:tr>
      <w:tr>
        <w:trPr>
          <w:trHeight w:val="190"/>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364,985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364,985</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91,760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91,760</w:t>
            </w:r>
          </w:p>
        </w:tc>
        <w:tc>
          <w:tcPr>
            <w:tcW w:w="0" w:type="dxa"/>
            <w:vAlign w:val="bottom"/>
          </w:tcPr>
          <w:p>
            <w:pPr>
              <w:spacing w:after="0"/>
              <w:rPr>
                <w:sz w:val="1"/>
                <w:szCs w:val="1"/>
                <w:color w:val="auto"/>
              </w:rPr>
            </w:pPr>
          </w:p>
        </w:tc>
      </w:tr>
      <w:tr>
        <w:trPr>
          <w:trHeight w:val="135"/>
        </w:trPr>
        <w:tc>
          <w:tcPr>
            <w:tcW w:w="356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14,587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14,587</w:t>
            </w:r>
          </w:p>
        </w:tc>
        <w:tc>
          <w:tcPr>
            <w:tcW w:w="0" w:type="dxa"/>
            <w:vAlign w:val="bottom"/>
          </w:tcPr>
          <w:p>
            <w:pPr>
              <w:spacing w:after="0"/>
              <w:rPr>
                <w:sz w:val="1"/>
                <w:szCs w:val="1"/>
                <w:color w:val="auto"/>
              </w:rPr>
            </w:pPr>
          </w:p>
        </w:tc>
      </w:tr>
      <w:tr>
        <w:trPr>
          <w:trHeight w:val="188"/>
        </w:trPr>
        <w:tc>
          <w:tcPr>
            <w:tcW w:w="35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6,157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0" w:type="dxa"/>
            <w:vAlign w:val="bottom"/>
          </w:tcPr>
          <w:p>
            <w:pPr>
              <w:spacing w:after="0"/>
              <w:rPr>
                <w:sz w:val="1"/>
                <w:szCs w:val="1"/>
                <w:color w:val="auto"/>
              </w:rPr>
            </w:pPr>
          </w:p>
        </w:tc>
      </w:tr>
      <w:tr>
        <w:trPr>
          <w:trHeight w:val="449"/>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00" w:type="dxa"/>
            <w:vAlign w:val="bottom"/>
          </w:tcPr>
          <w:p>
            <w:pPr>
              <w:spacing w:after="0"/>
              <w:rPr>
                <w:sz w:val="16"/>
                <w:szCs w:val="16"/>
                <w:color w:val="auto"/>
              </w:rPr>
            </w:pP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8,896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35,602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0" w:type="dxa"/>
            <w:vAlign w:val="bottom"/>
          </w:tcPr>
          <w:p>
            <w:pPr>
              <w:spacing w:after="0"/>
              <w:rPr>
                <w:sz w:val="1"/>
                <w:szCs w:val="1"/>
                <w:color w:val="auto"/>
              </w:rPr>
            </w:pPr>
          </w:p>
        </w:tc>
      </w:tr>
      <w:tr>
        <w:trPr>
          <w:trHeight w:val="190"/>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2,062,455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1,897,459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1,897,459</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15,895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15,895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0" w:type="dxa"/>
            <w:vAlign w:val="bottom"/>
          </w:tcPr>
          <w:p>
            <w:pPr>
              <w:spacing w:after="0"/>
              <w:rPr>
                <w:sz w:val="1"/>
                <w:szCs w:val="1"/>
                <w:color w:val="auto"/>
              </w:rPr>
            </w:pPr>
          </w:p>
        </w:tc>
      </w:tr>
      <w:tr>
        <w:trPr>
          <w:trHeight w:val="249"/>
        </w:trPr>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830,320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830,320</w:t>
            </w:r>
          </w:p>
        </w:tc>
        <w:tc>
          <w:tcPr>
            <w:tcW w:w="60" w:type="dxa"/>
            <w:vAlign w:val="bottom"/>
          </w:tcPr>
          <w:p>
            <w:pPr>
              <w:spacing w:after="0"/>
              <w:rPr>
                <w:sz w:val="16"/>
                <w:szCs w:val="16"/>
                <w:color w:val="auto"/>
              </w:rPr>
            </w:pPr>
          </w:p>
        </w:tc>
        <w:tc>
          <w:tcPr>
            <w:tcW w:w="3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830,320</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2,171,561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2,167,218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2,167,218</w:t>
            </w:r>
          </w:p>
        </w:tc>
        <w:tc>
          <w:tcPr>
            <w:tcW w:w="0" w:type="dxa"/>
            <w:vAlign w:val="bottom"/>
          </w:tcPr>
          <w:p>
            <w:pPr>
              <w:spacing w:after="0"/>
              <w:rPr>
                <w:sz w:val="1"/>
                <w:szCs w:val="1"/>
                <w:color w:val="auto"/>
              </w:rPr>
            </w:pPr>
          </w:p>
        </w:tc>
      </w:tr>
      <w:tr>
        <w:trPr>
          <w:trHeight w:val="190"/>
        </w:trPr>
        <w:tc>
          <w:tcPr>
            <w:tcW w:w="35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borrowed funds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272,000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271,716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271,716</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8,954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8,954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Common Stock Transactions</w:t>
      </w:r>
    </w:p>
    <w:p>
      <w:pPr>
        <w:spacing w:after="0" w:line="163"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In 2024, the Company reissued zero shares of treasury stock to satisfy the vesting of RSUs and SARs. No other purchase or sale of the Company’s Common Stock occurred in 2024.</w:t>
      </w:r>
    </w:p>
    <w:p>
      <w:pPr>
        <w:spacing w:after="0" w:line="11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In 2023, the Company reissued 2,950 shares of treasury stock to satisfy the vesting of RSUs. No other purchase or sale of the Company’s Common Stock occurred in 2023.</w:t>
      </w:r>
    </w:p>
    <w:p>
      <w:pPr>
        <w:spacing w:after="0" w:line="117"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On November 15, 2022, the Company effected a forty-for-one stock split of its Common Stock by issuing thirty-nine additional shares of Common Stock for each outstanding share of Common Stock of record as of November 9, 2022. All share and earnings per share information have been retroactively adjusted to reflect the stock split within the financial statements and notes to the financial statements. During 2022, the Company also reissued 2,000 shares of treasury stock to satisfy the vesting of RSUs.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182245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Common Stock Transactions (continued)</w:t>
      </w:r>
    </w:p>
    <w:p>
      <w:pPr>
        <w:spacing w:after="0" w:line="200" w:lineRule="exact"/>
        <w:rPr>
          <w:sz w:val="20"/>
          <w:szCs w:val="20"/>
          <w:color w:val="auto"/>
        </w:rPr>
      </w:pPr>
    </w:p>
    <w:p>
      <w:pPr>
        <w:spacing w:after="0" w:line="330" w:lineRule="exact"/>
        <w:rPr>
          <w:sz w:val="20"/>
          <w:szCs w:val="20"/>
          <w:color w:val="auto"/>
        </w:rPr>
      </w:pPr>
    </w:p>
    <w:p>
      <w:pPr>
        <w:ind w:right="1940" w:firstLine="315"/>
        <w:spacing w:after="0" w:line="426" w:lineRule="auto"/>
        <w:rPr>
          <w:sz w:val="20"/>
          <w:szCs w:val="20"/>
          <w:color w:val="auto"/>
        </w:rPr>
      </w:pPr>
      <w:r>
        <w:rPr>
          <w:rFonts w:ascii="Times New Roman" w:cs="Times New Roman" w:eastAsia="Times New Roman" w:hAnsi="Times New Roman"/>
          <w:sz w:val="18"/>
          <w:szCs w:val="18"/>
          <w:color w:val="auto"/>
        </w:rPr>
        <w:t xml:space="preserve">During 2024, 2023, and 2022, the Company declared and paid cash dividends of $2.14, $2.12, and $2.12 per share, respectively. </w:t>
      </w:r>
      <w:r>
        <w:rPr>
          <w:rFonts w:ascii="Times New Roman" w:cs="Times New Roman" w:eastAsia="Times New Roman" w:hAnsi="Times New Roman"/>
          <w:sz w:val="18"/>
          <w:szCs w:val="18"/>
          <w:b w:val="1"/>
          <w:bCs w:val="1"/>
          <w:color w:val="auto"/>
        </w:rPr>
        <w:t>Note 18— Accumulated Other Comprehensive Income (Loss)</w:t>
      </w: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years ending December 31, 2024, December 31, 2023, and December 31, 2022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Gains and Losses on</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Defined Benefit Pension</w:t>
            </w:r>
          </w:p>
        </w:tc>
        <w:tc>
          <w:tcPr>
            <w:tcW w:w="140" w:type="dxa"/>
            <w:vAlign w:val="bottom"/>
          </w:tcPr>
          <w:p>
            <w:pPr>
              <w:spacing w:after="0"/>
              <w:rPr>
                <w:sz w:val="10"/>
                <w:szCs w:val="10"/>
                <w:color w:val="auto"/>
              </w:rPr>
            </w:pPr>
          </w:p>
        </w:tc>
        <w:tc>
          <w:tcPr>
            <w:tcW w:w="14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4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Sale Securities</w:t>
            </w:r>
          </w:p>
        </w:tc>
        <w:tc>
          <w:tcPr>
            <w:tcW w:w="580" w:type="dxa"/>
            <w:vAlign w:val="bottom"/>
          </w:tcPr>
          <w:p>
            <w:pPr>
              <w:spacing w:after="0"/>
              <w:rPr>
                <w:sz w:val="16"/>
                <w:szCs w:val="16"/>
                <w:color w:val="auto"/>
              </w:rPr>
            </w:pPr>
          </w:p>
        </w:tc>
        <w:tc>
          <w:tcPr>
            <w:tcW w:w="10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Comprehensive Income</w:t>
            </w:r>
          </w:p>
        </w:tc>
        <w:tc>
          <w:tcPr>
            <w:tcW w:w="0" w:type="dxa"/>
            <w:vAlign w:val="bottom"/>
          </w:tcPr>
          <w:p>
            <w:pPr>
              <w:spacing w:after="0"/>
              <w:rPr>
                <w:sz w:val="1"/>
                <w:szCs w:val="1"/>
                <w:color w:val="auto"/>
              </w:rPr>
            </w:pPr>
          </w:p>
        </w:tc>
      </w:tr>
      <w:tr>
        <w:trPr>
          <w:trHeight w:val="222"/>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(92,055)</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(95,720)</w:t>
            </w:r>
          </w:p>
        </w:tc>
        <w:tc>
          <w:tcPr>
            <w:tcW w:w="0" w:type="dxa"/>
            <w:vAlign w:val="bottom"/>
          </w:tcPr>
          <w:p>
            <w:pPr>
              <w:spacing w:after="0"/>
              <w:rPr>
                <w:sz w:val="1"/>
                <w:szCs w:val="1"/>
                <w:color w:val="auto"/>
              </w:rPr>
            </w:pPr>
          </w:p>
        </w:tc>
      </w:tr>
      <w:tr>
        <w:trPr>
          <w:trHeight w:val="416"/>
        </w:trPr>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Gains and Losses on</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Defined Benefit Pension</w:t>
            </w:r>
          </w:p>
        </w:tc>
        <w:tc>
          <w:tcPr>
            <w:tcW w:w="140" w:type="dxa"/>
            <w:vAlign w:val="bottom"/>
          </w:tcPr>
          <w:p>
            <w:pPr>
              <w:spacing w:after="0"/>
              <w:rPr>
                <w:sz w:val="10"/>
                <w:szCs w:val="10"/>
                <w:color w:val="auto"/>
              </w:rPr>
            </w:pPr>
          </w:p>
        </w:tc>
        <w:tc>
          <w:tcPr>
            <w:tcW w:w="14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4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Sale Securities</w:t>
            </w:r>
          </w:p>
        </w:tc>
        <w:tc>
          <w:tcPr>
            <w:tcW w:w="580" w:type="dxa"/>
            <w:vAlign w:val="bottom"/>
          </w:tcPr>
          <w:p>
            <w:pPr>
              <w:spacing w:after="0"/>
              <w:rPr>
                <w:sz w:val="16"/>
                <w:szCs w:val="16"/>
                <w:color w:val="auto"/>
              </w:rPr>
            </w:pPr>
          </w:p>
        </w:tc>
        <w:tc>
          <w:tcPr>
            <w:tcW w:w="10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Comprehensive Income</w:t>
            </w:r>
          </w:p>
        </w:tc>
        <w:tc>
          <w:tcPr>
            <w:tcW w:w="0" w:type="dxa"/>
            <w:vAlign w:val="bottom"/>
          </w:tcPr>
          <w:p>
            <w:pPr>
              <w:spacing w:after="0"/>
              <w:rPr>
                <w:sz w:val="1"/>
                <w:szCs w:val="1"/>
                <w:color w:val="auto"/>
              </w:rPr>
            </w:pPr>
          </w:p>
        </w:tc>
      </w:tr>
      <w:tr>
        <w:trPr>
          <w:trHeight w:val="222"/>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(130,875)</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(139,495)</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32,435</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416"/>
        </w:trPr>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Gains and Losses on</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Unrealized Gains and</w:t>
            </w: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Defined Benefit Pension</w:t>
            </w:r>
          </w:p>
        </w:tc>
        <w:tc>
          <w:tcPr>
            <w:tcW w:w="140" w:type="dxa"/>
            <w:vAlign w:val="bottom"/>
          </w:tcPr>
          <w:p>
            <w:pPr>
              <w:spacing w:after="0"/>
              <w:rPr>
                <w:sz w:val="10"/>
                <w:szCs w:val="10"/>
                <w:color w:val="auto"/>
              </w:rPr>
            </w:pPr>
          </w:p>
        </w:tc>
        <w:tc>
          <w:tcPr>
            <w:tcW w:w="142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4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Losses on Available-for-</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Sale Securities</w:t>
            </w:r>
          </w:p>
        </w:tc>
        <w:tc>
          <w:tcPr>
            <w:tcW w:w="580" w:type="dxa"/>
            <w:vAlign w:val="bottom"/>
          </w:tcPr>
          <w:p>
            <w:pPr>
              <w:spacing w:after="0"/>
              <w:rPr>
                <w:sz w:val="16"/>
                <w:szCs w:val="16"/>
                <w:color w:val="auto"/>
              </w:rPr>
            </w:pPr>
          </w:p>
        </w:tc>
        <w:tc>
          <w:tcPr>
            <w:tcW w:w="10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Comprehensive Income</w:t>
            </w:r>
          </w:p>
        </w:tc>
        <w:tc>
          <w:tcPr>
            <w:tcW w:w="0" w:type="dxa"/>
            <w:vAlign w:val="bottom"/>
          </w:tcPr>
          <w:p>
            <w:pPr>
              <w:spacing w:after="0"/>
              <w:rPr>
                <w:sz w:val="1"/>
                <w:szCs w:val="1"/>
                <w:color w:val="auto"/>
              </w:rPr>
            </w:pPr>
          </w:p>
        </w:tc>
      </w:tr>
      <w:tr>
        <w:trPr>
          <w:trHeight w:val="222"/>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(145,930)</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realized (gains) losses reclassified to earnings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pension plan benefits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(130,875)</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Accumulated Other Comprehensive Income (Loss) (continued)</w:t>
      </w:r>
    </w:p>
    <w:p>
      <w:pPr>
        <w:spacing w:after="0" w:line="200" w:lineRule="exact"/>
        <w:rPr>
          <w:sz w:val="20"/>
          <w:szCs w:val="20"/>
          <w:color w:val="auto"/>
        </w:rPr>
      </w:pPr>
    </w:p>
    <w:p>
      <w:pPr>
        <w:spacing w:after="0" w:line="330"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years ending December 31, 2024, December 31, 2023, and December 31, 2022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00" w:type="dxa"/>
            <w:vAlign w:val="bottom"/>
            <w:gridSpan w:val="7"/>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Amount Reclassified From Accumulated Other Comprehensive Income</w:t>
            </w: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Affected Line Item in the Statements of</w:t>
            </w:r>
          </w:p>
        </w:tc>
        <w:tc>
          <w:tcPr>
            <w:tcW w:w="0" w:type="dxa"/>
            <w:vAlign w:val="bottom"/>
          </w:tcPr>
          <w:p>
            <w:pPr>
              <w:spacing w:after="0"/>
              <w:rPr>
                <w:sz w:val="1"/>
                <w:szCs w:val="1"/>
                <w:color w:val="auto"/>
              </w:rPr>
            </w:pPr>
          </w:p>
        </w:tc>
      </w:tr>
      <w:tr>
        <w:trPr>
          <w:trHeight w:val="139"/>
        </w:trPr>
        <w:tc>
          <w:tcPr>
            <w:tcW w:w="3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2"/>
                <w:szCs w:val="12"/>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4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Components</w:t>
            </w: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2"/>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Realized gains (losses) on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gains/(losses) on securities</w:t>
            </w:r>
          </w:p>
        </w:tc>
        <w:tc>
          <w:tcPr>
            <w:tcW w:w="0" w:type="dxa"/>
            <w:vAlign w:val="bottom"/>
          </w:tcPr>
          <w:p>
            <w:pPr>
              <w:spacing w:after="0"/>
              <w:rPr>
                <w:sz w:val="1"/>
                <w:szCs w:val="1"/>
                <w:color w:val="auto"/>
              </w:rPr>
            </w:pPr>
          </w:p>
        </w:tc>
      </w:tr>
      <w:tr>
        <w:trPr>
          <w:trHeight w:val="171"/>
        </w:trPr>
        <w:tc>
          <w:tcPr>
            <w:tcW w:w="3520" w:type="dxa"/>
            <w:vAlign w:val="bottom"/>
            <w:gridSpan w:val="2"/>
            <w:shd w:val="clear" w:color="auto" w:fill="CCEEFF"/>
          </w:tcPr>
          <w:p>
            <w:pPr>
              <w:ind w:left="240"/>
              <w:spacing w:after="0" w:line="170" w:lineRule="exact"/>
              <w:rPr>
                <w:sz w:val="20"/>
                <w:szCs w:val="20"/>
                <w:color w:val="auto"/>
              </w:rPr>
            </w:pPr>
            <w:r>
              <w:rPr>
                <w:rFonts w:ascii="Times New Roman" w:cs="Times New Roman" w:eastAsia="Times New Roman" w:hAnsi="Times New Roman"/>
                <w:sz w:val="18"/>
                <w:szCs w:val="18"/>
                <w:color w:val="auto"/>
              </w:rPr>
              <w:t>Realized gains (losses) on basis adjustment</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 fair value hedges</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actuarial gain /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employee benefits</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 xml:space="preserve">Note: The Defined benefit pension plan items are included in the computation of net periodic pension cost. See </w:t>
      </w:r>
      <w:r>
        <w:rPr>
          <w:rFonts w:ascii="Times New Roman" w:cs="Times New Roman" w:eastAsia="Times New Roman" w:hAnsi="Times New Roman"/>
          <w:sz w:val="18"/>
          <w:szCs w:val="18"/>
          <w:u w:val="single" w:color="auto"/>
          <w:color w:val="0000FF"/>
        </w:rPr>
        <w:t>Note 9 — Defined Benefit Pension Plan</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Parent Company Financial Information</w:t>
      </w:r>
    </w:p>
    <w:p>
      <w:pPr>
        <w:spacing w:after="0" w:line="163"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tables summarize condensed financial statements for Burke &amp; Herbert Financial Services Corp., which commenced operations as a holding company on October 1, 2022, as of and for the years ended December 31, 2024, and December 31, 2023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Parent Company Only Condensed Balance Sheet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217"/>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banking subsidiary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313,364</w:t>
            </w:r>
          </w:p>
        </w:tc>
      </w:tr>
      <w:tr>
        <w:trPr>
          <w:trHeight w:val="223"/>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315,301</w:t>
            </w:r>
          </w:p>
        </w:tc>
      </w:tr>
      <w:tr>
        <w:trPr>
          <w:trHeight w:val="243"/>
        </w:trPr>
        <w:tc>
          <w:tcPr>
            <w:tcW w:w="7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Subordinated debentures, net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debentures owed to unconsolidated subsidiary trusts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63"/>
        </w:trPr>
        <w:tc>
          <w:tcPr>
            <w:tcW w:w="7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314,750</w:t>
            </w:r>
          </w:p>
        </w:tc>
      </w:tr>
      <w:tr>
        <w:trPr>
          <w:trHeight w:val="216"/>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315,301</w:t>
            </w:r>
          </w:p>
        </w:tc>
      </w:tr>
      <w:tr>
        <w:trPr>
          <w:trHeight w:val="492"/>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Parent Company Only Condensed Statement of Income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r>
      <w:tr>
        <w:trPr>
          <w:trHeight w:val="217"/>
        </w:trPr>
        <w:tc>
          <w:tcPr>
            <w:tcW w:w="7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Dividends from bank subsidiary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18,997</w:t>
            </w:r>
          </w:p>
        </w:tc>
      </w:tr>
      <w:tr>
        <w:trPr>
          <w:trHeight w:val="216"/>
        </w:trPr>
        <w:tc>
          <w:tcPr>
            <w:tcW w:w="80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r>
      <w:tr>
        <w:trPr>
          <w:trHeight w:val="243"/>
        </w:trPr>
        <w:tc>
          <w:tcPr>
            <w:tcW w:w="7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r>
      <w:tr>
        <w:trPr>
          <w:trHeight w:val="21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43"/>
        </w:trPr>
        <w:tc>
          <w:tcPr>
            <w:tcW w:w="7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benefit and equity in undistributed income of subsidiaries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w:t>
            </w:r>
          </w:p>
        </w:tc>
      </w:tr>
      <w:tr>
        <w:trPr>
          <w:trHeight w:val="223"/>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equity in undistributed income of subsidiaries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w:t>
            </w:r>
          </w:p>
        </w:tc>
      </w:tr>
      <w:tr>
        <w:trPr>
          <w:trHeight w:val="223"/>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Equity in undistributed earnings of subsidiary</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1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r>
      <w:tr>
        <w:trPr>
          <w:trHeight w:val="223"/>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applicable to common shares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02"/>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19— Parent Company Financial Information (continued)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7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Parent Company Only Condensed Statement of Cash Flows</w:t>
            </w:r>
          </w:p>
        </w:tc>
        <w:tc>
          <w:tcPr>
            <w:tcW w:w="14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24"/>
                <w:szCs w:val="24"/>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17"/>
        </w:trPr>
        <w:tc>
          <w:tcPr>
            <w:tcW w:w="7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3"/>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w:t>
            </w: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Equity in undistributed income of subsidiaries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23"/>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23"/>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3"/>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change in 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3"/>
        </w:trPr>
        <w:tc>
          <w:tcPr>
            <w:tcW w:w="802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Net change in other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1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r>
      <w:tr>
        <w:trPr>
          <w:trHeight w:val="243"/>
        </w:trPr>
        <w:tc>
          <w:tcPr>
            <w:tcW w:w="12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40" w:type="dxa"/>
            <w:vAlign w:val="bottom"/>
            <w:tcBorders>
              <w:bottom w:val="single" w:sz="8" w:color="CCEEFF"/>
            </w:tcBorders>
            <w:gridSpan w:val="2"/>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r>
        <w:trPr>
          <w:trHeight w:val="21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2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3"/>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Proceeds from employee stock purchase program</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r>
      <w:tr>
        <w:trPr>
          <w:trHeight w:val="223"/>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Treasury stock transactions</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63"/>
        </w:trPr>
        <w:tc>
          <w:tcPr>
            <w:tcW w:w="794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r>
      <w:tr>
        <w:trPr>
          <w:trHeight w:val="216"/>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w:t>
            </w:r>
          </w:p>
        </w:tc>
      </w:tr>
      <w:tr>
        <w:trPr>
          <w:trHeight w:val="243"/>
        </w:trPr>
        <w:tc>
          <w:tcPr>
            <w:tcW w:w="1240" w:type="dxa"/>
            <w:vAlign w:val="bottom"/>
            <w:shd w:val="clear" w:color="auto" w:fill="CCEEFF"/>
          </w:tcPr>
          <w:p>
            <w:pPr>
              <w:spacing w:after="0"/>
              <w:rPr>
                <w:sz w:val="21"/>
                <w:szCs w:val="21"/>
                <w:color w:val="auto"/>
              </w:rPr>
            </w:pPr>
          </w:p>
        </w:tc>
        <w:tc>
          <w:tcPr>
            <w:tcW w:w="6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r>
      <w:tr>
        <w:trPr>
          <w:trHeight w:val="216"/>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43"/>
        </w:trPr>
        <w:tc>
          <w:tcPr>
            <w:tcW w:w="1240" w:type="dxa"/>
            <w:vAlign w:val="bottom"/>
            <w:shd w:val="clear" w:color="auto" w:fill="CCEEFF"/>
          </w:tcPr>
          <w:p>
            <w:pPr>
              <w:spacing w:after="0"/>
              <w:rPr>
                <w:sz w:val="21"/>
                <w:szCs w:val="21"/>
                <w:color w:val="auto"/>
              </w:rPr>
            </w:pPr>
          </w:p>
        </w:tc>
        <w:tc>
          <w:tcPr>
            <w:tcW w:w="6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3"/>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8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of the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8"/>
        </w:trPr>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End of the year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Other Operating Expense</w:t>
      </w:r>
    </w:p>
    <w:p>
      <w:pPr>
        <w:spacing w:after="0" w:line="163"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years ended December 31, 2024, December 31, 2023, and December 31, 2022,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assessment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card, &amp; network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Donation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amortization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 loss on sale or disposal of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17,419</w:t>
            </w:r>
          </w:p>
        </w:tc>
      </w:tr>
    </w:tbl>
    <w:p>
      <w:pPr>
        <w:spacing w:after="0" w:line="231" w:lineRule="exact"/>
        <w:rPr>
          <w:sz w:val="20"/>
          <w:szCs w:val="20"/>
          <w:color w:val="auto"/>
        </w:rPr>
      </w:pPr>
    </w:p>
    <w:p>
      <w:pPr>
        <w:jc w:val="both"/>
        <w:ind w:firstLine="315"/>
        <w:spacing w:after="0" w:line="331" w:lineRule="auto"/>
        <w:rPr>
          <w:sz w:val="20"/>
          <w:szCs w:val="20"/>
          <w:color w:val="auto"/>
        </w:rPr>
      </w:pPr>
      <w:r>
        <w:rPr>
          <w:rFonts w:ascii="Times New Roman" w:cs="Times New Roman" w:eastAsia="Times New Roman" w:hAnsi="Times New Roman"/>
          <w:sz w:val="16"/>
          <w:szCs w:val="16"/>
          <w:color w:val="auto"/>
        </w:rPr>
        <w:t>The Company incurred merger-related expenses of $17.0 million and $3.0 million for the year ended December 31, 2024, and December 31, 2023, respectively. These expenses are included in the consultant fees, audit fees, legal expense, donation, and other line items detailed in other operating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Qualified Affordable Housing Project and Historic Tax Investments</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invests in qualified affordable housing projects. At December 31, 2024, and December 31, 2023, the balance of the investment for qualified affordable housing projects was $23.2 million and $18.0 million, respectively. These balances are reflected in the other assets line on the Consolidated Balance Sheets. Total unfunded commitments related to the investments in qualified affordable housing projects totaled $7.6 million and $0.7 million at December 31, 2024, and December 31, 2023, respectively. The Company expects to fulfill the majority of these commitments by 2025.</w:t>
      </w:r>
    </w:p>
    <w:p>
      <w:pPr>
        <w:spacing w:after="0" w:line="13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December 31, 2023, and December 31, 2022, the Company recognized amortization expense of $5.4 million, $5.6 million, and $6.1 million, respectively, which $2.9 million, $3.1 million, and $3.6 million, respectively, qualified for the proportional amortization method and was included in income tax expense on the Consolidated Statements of Income.</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December 31, 2023, and December 31, 2022, $2.5 million, $2.5 million, and $2.5 million, respectively, was included in other non-interest expense on the Consolidated Statements of Income related to historic tax credit investments that do not qualify for the proportional amortization method.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All of the Company’s revenue from contracts with customers in the scope of ASC 606 is recognized within non-interest income. ASC 606 is applicable to non-interest revenue streams, such as trust and wealth management income, deposit related fees, interchange fees, merchant income, and annuity and insurance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 (continued)</w:t>
      </w:r>
    </w:p>
    <w:p>
      <w:pPr>
        <w:spacing w:after="0" w:line="200" w:lineRule="exact"/>
        <w:rPr>
          <w:sz w:val="20"/>
          <w:szCs w:val="20"/>
          <w:color w:val="auto"/>
        </w:rPr>
      </w:pPr>
    </w:p>
    <w:p>
      <w:pPr>
        <w:spacing w:after="0" w:line="330"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years ended December 31, 2024, December 31, 2023, and December 31, 2022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3"/>
        </w:trPr>
        <w:tc>
          <w:tcPr>
            <w:tcW w:w="63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Service charges and fees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Debit card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 related fees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fees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63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Fiduciary and wealth management</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 fees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Advisory fees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fees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63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gains (losses) on securities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3"/>
        </w:trPr>
        <w:tc>
          <w:tcPr>
            <w:tcW w:w="63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Income from life insurance</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r>
      <w:tr>
        <w:trPr>
          <w:trHeight w:val="223"/>
        </w:trPr>
        <w:tc>
          <w:tcPr>
            <w:tcW w:w="63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Other non-interest income</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638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FHLB dividend</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Merchant &amp; credit card fees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Safety deposit fees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Servicing release premium</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Wire fees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loan swap fees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Investor servicing income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Letter of credit fees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38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Unfunded commitment purchase accounting adjustment</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8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Other non-interest</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17,087</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Income within the scope of ASC 606 - </w:t>
      </w:r>
      <w:r>
        <w:rPr>
          <w:rFonts w:ascii="Times New Roman" w:cs="Times New Roman" w:eastAsia="Times New Roman" w:hAnsi="Times New Roman"/>
          <w:sz w:val="14"/>
          <w:szCs w:val="14"/>
          <w:i w:val="1"/>
          <w:iCs w:val="1"/>
          <w:color w:val="auto"/>
        </w:rPr>
        <w:t>Revenue Recognition</w:t>
      </w:r>
    </w:p>
    <w:p>
      <w:pPr>
        <w:spacing w:after="0" w:line="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Income excluded from the scope of ASC 606 - </w:t>
      </w:r>
      <w:r>
        <w:rPr>
          <w:rFonts w:ascii="Times New Roman" w:cs="Times New Roman" w:eastAsia="Times New Roman" w:hAnsi="Times New Roman"/>
          <w:sz w:val="14"/>
          <w:szCs w:val="14"/>
          <w:i w:val="1"/>
          <w:iCs w:val="1"/>
          <w:color w:val="auto"/>
        </w:rPr>
        <w:t>Revenue Recognition</w:t>
      </w:r>
    </w:p>
    <w:p>
      <w:pPr>
        <w:spacing w:after="0" w:line="9"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that arises from the Company electing the FVO as stated that is not within the scope of ASC 606.</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description of the Company’s revenue streams accounted for under ASC 606 follows: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 charges and fees</w:t>
      </w:r>
    </w:p>
    <w:p>
      <w:pPr>
        <w:spacing w:after="0" w:line="16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Service charges and fees on deposit accounts consist of monthly service fees, check orders, and other deposit account related fees. Check orders and other deposit account related fees are largely transactional based, and therefore, the Company’s performance obligation is satisfied at a point in time, and the related revenue recognized. Payment for service charges on deposit accounts is primarily received immediately or in the following month through a direct charge to customers’ accounts.</w:t>
      </w:r>
    </w:p>
    <w:p>
      <w:pPr>
        <w:spacing w:after="0" w:line="132"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Debit card fees and merchant &amp; other credit fees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Merchant services income mainly consists of fees charged to merchants to process their debit and credit card transactions, in addition to account management fees. Other service charges include revenue from processing wire transfers, bill pay service, cashier’s checks, and other services. The Company’s performance obligation is largely satisfied, and the related revenue is recognized, when the services are rendered or upon completion. Payment is typically received immediately or in the following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Revenue from Contracts with Customers (continued)</w:t>
      </w:r>
    </w:p>
    <w:p>
      <w:pPr>
        <w:spacing w:after="0" w:line="200" w:lineRule="exact"/>
        <w:rPr>
          <w:sz w:val="20"/>
          <w:szCs w:val="20"/>
          <w:color w:val="auto"/>
        </w:rPr>
      </w:pPr>
    </w:p>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from fiduciary &amp; wealth management activities</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Fiduciary and wealth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The Company does not earn performance-based incentives. Optional services are transactional-based with the Company’s performance obligation being satisfied at a point in time (i.e., as incurred), and that allows the Company to recognize the related revenue associated with that transaction. Payment is received shortly after services are rendered.</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non-interest income</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 The Company earns a servicing release premium for residential loans sold with servicing released to third-party investors. In some cases, the Company will retain servicing and that will result in investor servicing income being recognized monthly as interest payments are collected from the borrower. Other items captured within here are recognized at a point in time such as merchant &amp; debit card fees.</w:t>
      </w:r>
    </w:p>
    <w:p>
      <w:pPr>
        <w:spacing w:after="0" w:line="13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Part of the merger resulted in the Company recognizing a liability for the unfunded commitments that were assumed as part of the transaction. As these commitments mature, the Company reduces this liability that is recorded, within “Accrued Interest and Other Liabilities” on the Consolidated Balance Sheets, and records non-interest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Share-Based Compensation</w:t>
      </w:r>
    </w:p>
    <w:p>
      <w:pPr>
        <w:spacing w:after="0" w:line="163"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The Company has a share-based incentive plan described below that allows it to offer a variety of equity compensation awards, subject to approval. Total compensation expense that has been charged against income for the share-based awards granted was $2.9 million, $2.4 million, and $2.0 million for 2024, 2023, and 2022, respectively. The total income tax benefit was $605 thousand, $506 thousand, and $421 thousand for 2024, 2023, and 2022, respectively.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65"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In 2019, the Company’s Stock Incentive Plan (“2019 SIP”) was approved by the Bank’s Board. The 2019 SIP provides for the issuance of share-based awards to directors and employees of the Company. The 2019 SIP authorized 240,000 units to be issued and the Company’s practice is using authorized unissued shares to satisfy these awards. Each unit represents a contingent right to receive one common share or an equivalent amount of cash, or a combination of the two, at the discretion of the Company. Currently, we have a sufficient number of authorized unissued shares to satisfy outstanding equity awards.</w:t>
      </w:r>
    </w:p>
    <w:p>
      <w:pPr>
        <w:spacing w:after="0" w:line="99"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2023 Stock Incentive Plan</w:t>
      </w:r>
    </w:p>
    <w:p>
      <w:pPr>
        <w:spacing w:after="0" w:line="1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Board and shareholders. Upon the plan’s shareholder approval date of March 30, 2023, no further share-based awards have been issued under the 2019 SIP. The 2023 SIP provides for the issuance of share-based awards to directors and employees of the Company. The 2023 SIP authorized the issuance of 250,000 shares, subject to an annual increase in available shares and shares recycled from the 2019 SIP that were cancelled. Based on our shares outstanding as of December 31, 2023, and awards that were recycled from the 2019 SIP, the total shares authorized for issuance under the plan as of December 31, 2024 was 324,887.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Share-Based Compensation (continued)</w:t>
      </w: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total of 100,665, 25,705, and 13,160 shares were issued in 2024, 2023, and 2022, respectively.</w:t>
      </w:r>
    </w:p>
    <w:p>
      <w:pPr>
        <w:spacing w:after="0" w:line="16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17"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performance/market targets are determined by the Board.</w:t>
      </w:r>
    </w:p>
    <w:p>
      <w:pPr>
        <w:spacing w:after="0" w:line="13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 (3) 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46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7"/>
              </w:rPr>
              <w:t>Grant-Date Fair Value</w:t>
            </w:r>
          </w:p>
        </w:tc>
        <w:tc>
          <w:tcPr>
            <w:tcW w:w="0" w:type="dxa"/>
            <w:vAlign w:val="bottom"/>
          </w:tcPr>
          <w:p>
            <w:pPr>
              <w:spacing w:after="0"/>
              <w:rPr>
                <w:sz w:val="1"/>
                <w:szCs w:val="1"/>
                <w:color w:val="auto"/>
              </w:rPr>
            </w:pPr>
          </w:p>
        </w:tc>
      </w:tr>
      <w:tr>
        <w:trPr>
          <w:trHeight w:val="222"/>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As of December 31, 2024, there was $5.1 million of total unrecognized compensation costs related to non-vested shares granted under the 2019 SIP and 2023 SIP. The cost is expected to be recognized over a weighted average period of 1.47 years.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16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In 2023, a new employee stock purchase plan (“2023 ESPP”) was approved by the Board and shareholders. Upon the 2023 ESPP’s shareholder approval date of March 30, 2023, the 2023 ESPP reserved 250,000 shares of common stock for issuance to employees, subject to an annual increase in reserved shares. At December 31, 2024, 312,230 shares were available to be issued. Whole shares are sold to participants in the plan at 85% of the lower of the stock price at the beginning or end of each semi-annual offering period. The first semi-annual offering period began on September 1, 2023 and the current semi-annual offering period began on September 1, 2024. Eligible employees may purchase shares in an amount that does not exceed the lesser of the IRS limit of $25,000 or 15% of their annual salary.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9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6"/>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8"/>
                <w:szCs w:val="18"/>
                <w:color w:val="auto"/>
                <w:w w:val="96"/>
              </w:rPr>
              <w:t>12,057</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center"/>
              <w:ind w:left="977"/>
              <w:spacing w:after="0"/>
              <w:rPr>
                <w:sz w:val="20"/>
                <w:szCs w:val="20"/>
                <w:color w:val="auto"/>
              </w:rPr>
            </w:pPr>
            <w:r>
              <w:rPr>
                <w:rFonts w:ascii="Times New Roman" w:cs="Times New Roman" w:eastAsia="Times New Roman" w:hAnsi="Times New Roman"/>
                <w:sz w:val="18"/>
                <w:szCs w:val="18"/>
                <w:color w:val="auto"/>
                <w:w w:val="98"/>
              </w:rPr>
              <w:t>44.93</w:t>
            </w:r>
          </w:p>
        </w:tc>
      </w:tr>
      <w:tr>
        <w:trPr>
          <w:trHeight w:val="22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8"/>
                <w:szCs w:val="18"/>
                <w:color w:val="auto"/>
                <w:w w:val="98"/>
              </w:rPr>
              <w:t>179.3</w:t>
            </w:r>
          </w:p>
        </w:tc>
      </w:tr>
    </w:tbl>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(“SAR”)</w:t>
      </w:r>
    </w:p>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Upon completion of the Merger and as a part of the Merger Agreement, the Company assumed SAR awards that had been issued to existing employees that would continue with the same terms and conditions adjusted for the exchange ratio of 0.5043. As part of the Merger, a significant portion of SAR awards accelerated their vesting and thus did not require any future service component. Management used the Black-Scholes option-pricing model to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Share-Based Compensation (continued)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value these accelerated SAR awards and included this value as part of the purchase price consideration discussed in </w:t>
      </w:r>
      <w:r>
        <w:rPr>
          <w:rFonts w:ascii="Times New Roman" w:cs="Times New Roman" w:eastAsia="Times New Roman" w:hAnsi="Times New Roman"/>
          <w:sz w:val="18"/>
          <w:szCs w:val="18"/>
          <w:u w:val="single" w:color="auto"/>
          <w:color w:val="0000FF"/>
        </w:rPr>
        <w:t>Note 25 - Business Combination</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Company also used the Black-Scholes option-pricing model to fair value the non-accelerated SAR awards that were not fully vested. The SAR awards that have been assumed by the Company were issued in 2019, 2021, and 2023, and these SAR awards become exercisable ratably over 7 years (14.3% per year) and contractually expire 10 years after the grant date.</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Upon completion of the Merger, the Company determined the fair value per SAR using the following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4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2019 SAR</w:t>
            </w:r>
          </w:p>
        </w:tc>
        <w:tc>
          <w:tcPr>
            <w:tcW w:w="580" w:type="dxa"/>
            <w:vAlign w:val="bottom"/>
          </w:tcPr>
          <w:p>
            <w:pPr>
              <w:spacing w:after="0"/>
              <w:rPr>
                <w:sz w:val="20"/>
                <w:szCs w:val="20"/>
                <w:color w:val="auto"/>
              </w:rPr>
            </w:pPr>
          </w:p>
        </w:tc>
        <w:tc>
          <w:tcPr>
            <w:tcW w:w="134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w w:val="94"/>
              </w:rPr>
              <w:t>2021 SAR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 SAR</w:t>
            </w:r>
          </w:p>
        </w:tc>
        <w:tc>
          <w:tcPr>
            <w:tcW w:w="0" w:type="dxa"/>
            <w:vAlign w:val="bottom"/>
          </w:tcPr>
          <w:p>
            <w:pPr>
              <w:spacing w:after="0"/>
              <w:rPr>
                <w:sz w:val="1"/>
                <w:szCs w:val="1"/>
                <w:color w:val="auto"/>
              </w:rPr>
            </w:pPr>
          </w:p>
        </w:tc>
      </w:tr>
      <w:tr>
        <w:trPr>
          <w:trHeight w:val="217"/>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years to full vesting</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97"/>
              </w:rPr>
              <w:t>7 years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60" w:type="dxa"/>
            <w:vAlign w:val="bottom"/>
            <w:gridSpan w:val="3"/>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16.92</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common stock volatility</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0" w:type="dxa"/>
            <w:vAlign w:val="bottom"/>
          </w:tcPr>
          <w:p>
            <w:pPr>
              <w:spacing w:after="0"/>
              <w:rPr>
                <w:sz w:val="1"/>
                <w:szCs w:val="1"/>
                <w:color w:val="auto"/>
              </w:rPr>
            </w:pP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contractual life (in years)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454"/>
        </w:trPr>
        <w:tc>
          <w:tcPr>
            <w:tcW w:w="73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A summary of SAR and option activity during the year ended December 31, 2024, is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Borders>
              <w:bottom w:val="single" w:sz="8" w:color="auto"/>
            </w:tcBorders>
            <w:gridSpan w:val="6"/>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64"/>
        </w:trPr>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restart"/>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Aggregate Fair</w:t>
            </w:r>
          </w:p>
        </w:tc>
        <w:tc>
          <w:tcPr>
            <w:tcW w:w="100" w:type="dxa"/>
            <w:vAlign w:val="bottom"/>
          </w:tcPr>
          <w:p>
            <w:pPr>
              <w:spacing w:after="0"/>
              <w:rPr>
                <w:sz w:val="14"/>
                <w:szCs w:val="14"/>
                <w:color w:val="auto"/>
              </w:rPr>
            </w:pPr>
          </w:p>
        </w:tc>
        <w:tc>
          <w:tcPr>
            <w:tcW w:w="1240" w:type="dxa"/>
            <w:vAlign w:val="bottom"/>
          </w:tcPr>
          <w:p>
            <w:pPr>
              <w:jc w:val="center"/>
              <w:ind w:left="252"/>
              <w:spacing w:after="0" w:line="164"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information</w:t>
            </w:r>
          </w:p>
        </w:tc>
        <w:tc>
          <w:tcPr>
            <w:tcW w:w="80" w:type="dxa"/>
            <w:vAlign w:val="bottom"/>
          </w:tcPr>
          <w:p>
            <w:pPr>
              <w:spacing w:after="0"/>
              <w:rPr>
                <w:sz w:val="14"/>
                <w:szCs w:val="14"/>
                <w:color w:val="auto"/>
              </w:rPr>
            </w:pPr>
          </w:p>
        </w:tc>
        <w:tc>
          <w:tcPr>
            <w:tcW w:w="1880" w:type="dxa"/>
            <w:vAlign w:val="bottom"/>
            <w:gridSpan w:val="4"/>
            <w:vMerge w:val="restart"/>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SARs</w:t>
            </w:r>
          </w:p>
        </w:tc>
        <w:tc>
          <w:tcPr>
            <w:tcW w:w="13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100"/>
              <w:spacing w:after="0" w:line="170" w:lineRule="exact"/>
              <w:rPr>
                <w:sz w:val="20"/>
                <w:szCs w:val="20"/>
                <w:color w:val="auto"/>
              </w:rPr>
            </w:pPr>
            <w:r>
              <w:rPr>
                <w:rFonts w:ascii="Times New Roman" w:cs="Times New Roman" w:eastAsia="Times New Roman" w:hAnsi="Times New Roman"/>
                <w:sz w:val="18"/>
                <w:szCs w:val="18"/>
                <w:b w:val="1"/>
                <w:bCs w:val="1"/>
                <w:color w:val="auto"/>
                <w:w w:val="95"/>
              </w:rPr>
              <w:t>Contractual Term</w:t>
            </w:r>
          </w:p>
        </w:tc>
        <w:tc>
          <w:tcPr>
            <w:tcW w:w="180" w:type="dxa"/>
            <w:vAlign w:val="bottom"/>
          </w:tcPr>
          <w:p>
            <w:pPr>
              <w:spacing w:after="0"/>
              <w:rPr>
                <w:sz w:val="14"/>
                <w:szCs w:val="14"/>
                <w:color w:val="auto"/>
              </w:rPr>
            </w:pPr>
          </w:p>
        </w:tc>
        <w:tc>
          <w:tcPr>
            <w:tcW w:w="140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36"/>
        </w:trPr>
        <w:tc>
          <w:tcPr>
            <w:tcW w:w="4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vMerge w:val="continue"/>
          </w:tcPr>
          <w:p>
            <w:pPr>
              <w:spacing w:after="0"/>
              <w:rPr>
                <w:sz w:val="20"/>
                <w:szCs w:val="20"/>
                <w:color w:val="auto"/>
              </w:rPr>
            </w:pPr>
          </w:p>
        </w:tc>
        <w:tc>
          <w:tcPr>
            <w:tcW w:w="80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4"/>
              </w:rPr>
              <w:t>(Yrs.)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(or acquired)</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299,556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2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8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223,873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5.44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SARs:</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 December 31, 2024</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total fair value of SARs exercised was $1.4 million during the year ended December 31, 2024. The total fair value of SARs vested was $67.0 thousand during the year ended December 31, 2024. As of December 31, 2024, there was $538.2 thousand of total unrecognized compensation costs related to non-vested SARs acquired through the Merger. The cost is expected to be recognized over a weighted average period of 2.27 years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Earnings Per Share</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Earnings Per Share (continued)</w:t>
      </w:r>
    </w:p>
    <w:p>
      <w:pPr>
        <w:spacing w:after="0" w:line="200" w:lineRule="exact"/>
        <w:rPr>
          <w:sz w:val="20"/>
          <w:szCs w:val="20"/>
          <w:color w:val="auto"/>
        </w:rPr>
      </w:pPr>
    </w:p>
    <w:p>
      <w:pPr>
        <w:spacing w:after="0" w:line="33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the weighted average number of shares of dilutive potential Common Stock. Dilutive potential Common Stock has no effect on income available to common shareholders.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6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shares (in thousands)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44,013</w:t>
            </w:r>
          </w:p>
        </w:tc>
      </w:tr>
      <w:tr>
        <w:trPr>
          <w:trHeight w:val="249"/>
        </w:trPr>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12,393,677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7,425,088</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42,629</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12,441,831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7,506,855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7,467,717</w:t>
            </w:r>
          </w:p>
        </w:tc>
      </w:tr>
      <w:tr>
        <w:trPr>
          <w:trHeight w:val="229"/>
        </w:trPr>
        <w:tc>
          <w:tcPr>
            <w:tcW w:w="6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bl>
    <w:p>
      <w:pPr>
        <w:spacing w:after="0" w:line="226"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Stock awards equivalent to 67,882 shares, 503 shares, and zero shares of Common Stock were not considered in computing diluted earnings per common share for 2024, 2023, and 2022, respectively, because they were antidilutive.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Business Combination</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Effective on May 3, 2024, Burke &amp; Herbert completed the Merger with Summit, pursuant to the Merger Agreement.</w:t>
      </w:r>
    </w:p>
    <w:p>
      <w:pPr>
        <w:spacing w:after="0" w:line="161"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issued and outstanding was converted into the right to receive a share of Burke &amp; Herbert Series 2021 Preferred Stock.</w:t>
      </w:r>
    </w:p>
    <w:p>
      <w:pPr>
        <w:spacing w:after="0" w:line="99"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 xml:space="preserve">Summit’s results of operations from May 3, 2024, were included in the Company’s results beginning with reporting as of June 30, 2024. Net interest income and pre-tax net income for Summit were estimated to be $99.9 million and $111.3 million, respectively, since the date of the acquisition through December 31, 2024, and are included in the Company’s Consolidated Statement of Income. Pre-tax net income for Summit only includes income and expense that are still being recorded on Summit’s core operating system. As the Company is merging data and processes, certain legacy Summit expenses, including occupancy and salaries, are now merged within the Company’s core system. Merger-related costs of $36.5 million are included in non-interest expense in the Company’s income statement for the year ended, December 31, 2024. A portion of these merger-related costs is captured in Other Operating Non-Interest Expense as further description in </w:t>
      </w:r>
      <w:r>
        <w:rPr>
          <w:rFonts w:ascii="Times New Roman" w:cs="Times New Roman" w:eastAsia="Times New Roman" w:hAnsi="Times New Roman"/>
          <w:sz w:val="18"/>
          <w:szCs w:val="18"/>
          <w:u w:val="single" w:color="auto"/>
          <w:color w:val="0000FF"/>
        </w:rPr>
        <w:t>Note 20 - Other Operating Expense</w:t>
      </w:r>
      <w:r>
        <w:rPr>
          <w:rFonts w:ascii="Times New Roman" w:cs="Times New Roman" w:eastAsia="Times New Roman" w:hAnsi="Times New Roman"/>
          <w:sz w:val="18"/>
          <w:szCs w:val="18"/>
          <w:color w:val="auto"/>
        </w:rPr>
        <w:t xml:space="preserve"> and an additional $19.5 million of such merger-related costs is captured in Salaries and Wages, Pensions and Other Employee Benefits, Occupancy, and Equipment rentals, depreciation and maintenance. These costs captured in those line items represent change-in-control payments, acceleration of benefit due to the change-in-control, software breakage, and other lease breakage fees. The fair value of the common shares issued as part of the consideration paid for Summit was determined in the basis of the closing price of the Company’s common shares on the date of completion of the Merger.</w:t>
      </w:r>
    </w:p>
    <w:p>
      <w:pPr>
        <w:spacing w:after="0" w:line="144"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We accounted for the Merger using the acquisition method of accounting in accordance with ASC 805, Business Combinations, and accordingly, the assets and liabilities of Summit were recorded at their respective fair values on the date of completion of the Merger. The fair values of assets and liabilities are subject to refinement for up to one year after the acquisition date if any additional information relative to the acquisition date fair values becomes available. We recognized goodwill of $32.8 million in connection with the acquisition, which is not amortized for financial reporting purposes, but is subject to annual impairment testing. The goodwill arising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Business Combination (continued)</w:t>
      </w:r>
    </w:p>
    <w:p>
      <w:pPr>
        <w:spacing w:after="0" w:line="200" w:lineRule="exact"/>
        <w:rPr>
          <w:sz w:val="20"/>
          <w:szCs w:val="20"/>
          <w:color w:val="auto"/>
        </w:rPr>
      </w:pPr>
    </w:p>
    <w:p>
      <w:pPr>
        <w:spacing w:after="0" w:line="3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transaction is not deductible for tax purposes and consisted largely of synergies and the cost savings resulting from the combining of the operations of the companies.</w:t>
      </w:r>
    </w:p>
    <w:p>
      <w:pPr>
        <w:spacing w:after="0" w:line="117"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core deposit intangible represents the value of long-term deposit relationships acquired in this transaction and will be amortized over an estimated weighted average life of 7 years using an accelerated method which approximates the estimated run-off of the acquired deposits. The fair value of intangible assets related to core deposits was $68.8 million on the date of acquisition.</w:t>
      </w:r>
    </w:p>
    <w:p>
      <w:pPr>
        <w:spacing w:after="0" w:line="12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fair value of purchased financial assets with credit deterioration was $380.8 million on the date of the acquisition. The gross contractual amounts receivable relating to the purchased financial assets with credit deterioration was $442.3 million. The Company estimates, on the date of the acquisition, that $23.9 million of the contractual cash flows specific to the purchased financial assets with credit deterioration will not be collected.</w:t>
      </w:r>
    </w:p>
    <w:p>
      <w:pPr>
        <w:spacing w:after="0" w:line="12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details the total consideration paid for Summit on May 3, 2024, the fair values of the assets acquired and liabilities assumed and the resulting goodwill at the acquisition date.</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share information)</w:t>
            </w: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17"/>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Summit Financial Group, Inc.</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14,686,738</w:t>
            </w:r>
          </w:p>
        </w:tc>
      </w:tr>
      <w:tr>
        <w:trPr>
          <w:trHeight w:val="223"/>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0.5043</w:t>
            </w:r>
          </w:p>
        </w:tc>
      </w:tr>
      <w:tr>
        <w:trPr>
          <w:trHeight w:val="216"/>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Burke &amp; Herbert common stock to be issued</w:t>
            </w: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7,406,522</w:t>
            </w:r>
          </w:p>
        </w:tc>
      </w:tr>
      <w:tr>
        <w:trPr>
          <w:trHeight w:val="223"/>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16"/>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3"/>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Price per share of Burke &amp; Herbert common stock issued</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16"/>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consideration for common stock issued</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382,656</w:t>
            </w:r>
          </w:p>
        </w:tc>
      </w:tr>
      <w:tr>
        <w:trPr>
          <w:trHeight w:val="249"/>
        </w:trPr>
        <w:tc>
          <w:tcPr>
            <w:tcW w:w="8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3"/>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10 day closing price used to pay fractional common stock</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16"/>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value of stock appreciation rights ("SARs") and restricted stock units</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23"/>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 issued by Burke &amp; Herbert</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r>
        <w:trPr>
          <w:trHeight w:val="216"/>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Fully diluted transaction value</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29"/>
        </w:trPr>
        <w:tc>
          <w:tcPr>
            <w:tcW w:w="8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r>
      <w:tr>
        <w:trPr>
          <w:trHeight w:val="216"/>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3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70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25— Business Combination (continued)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68"/>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As Recorded</w:t>
            </w:r>
          </w:p>
        </w:tc>
        <w:tc>
          <w:tcPr>
            <w:tcW w:w="280" w:type="dxa"/>
            <w:vAlign w:val="bottom"/>
          </w:tcPr>
          <w:p>
            <w:pPr>
              <w:spacing w:after="0"/>
              <w:rPr>
                <w:sz w:val="24"/>
                <w:szCs w:val="24"/>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280" w:type="dxa"/>
            <w:vAlign w:val="bottom"/>
          </w:tcPr>
          <w:p>
            <w:pPr>
              <w:spacing w:after="0"/>
              <w:rPr>
                <w:sz w:val="24"/>
                <w:szCs w:val="24"/>
                <w:color w:val="auto"/>
              </w:rPr>
            </w:pPr>
          </w:p>
        </w:tc>
        <w:tc>
          <w:tcPr>
            <w:tcW w:w="15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Estimated</w:t>
            </w:r>
          </w:p>
        </w:tc>
      </w:tr>
      <w:tr>
        <w:trPr>
          <w:trHeight w:val="223"/>
        </w:trPr>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by Summit</w:t>
            </w:r>
          </w:p>
        </w:tc>
        <w:tc>
          <w:tcPr>
            <w:tcW w:w="28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280" w:type="dxa"/>
            <w:vAlign w:val="bottom"/>
          </w:tcPr>
          <w:p>
            <w:pPr>
              <w:spacing w:after="0"/>
              <w:rPr>
                <w:sz w:val="19"/>
                <w:szCs w:val="19"/>
                <w:color w:val="auto"/>
              </w:rPr>
            </w:pPr>
          </w:p>
        </w:tc>
        <w:tc>
          <w:tcPr>
            <w:tcW w:w="15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0"/>
        </w:trPr>
        <w:tc>
          <w:tcPr>
            <w:tcW w:w="3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May 3, 2024</w:t>
            </w:r>
          </w:p>
        </w:tc>
        <w:tc>
          <w:tcPr>
            <w:tcW w:w="28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280" w:type="dxa"/>
            <w:vAlign w:val="bottom"/>
          </w:tcPr>
          <w:p>
            <w:pPr>
              <w:spacing w:after="0"/>
              <w:rPr>
                <w:sz w:val="20"/>
                <w:szCs w:val="20"/>
                <w:color w:val="auto"/>
              </w:rPr>
            </w:pPr>
          </w:p>
        </w:tc>
        <w:tc>
          <w:tcPr>
            <w:tcW w:w="152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8"/>
              </w:rPr>
              <w:t>May 3, 2024</w:t>
            </w:r>
          </w:p>
        </w:tc>
      </w:tr>
      <w:tr>
        <w:trPr>
          <w:trHeight w:val="217"/>
        </w:trPr>
        <w:tc>
          <w:tcPr>
            <w:tcW w:w="340" w:type="dxa"/>
            <w:vAlign w:val="bottom"/>
            <w:tcBorders>
              <w:right w:val="single" w:sz="8" w:color="CCEEFF"/>
            </w:tcBorders>
          </w:tcPr>
          <w:p>
            <w:pPr>
              <w:spacing w:after="0"/>
              <w:rPr>
                <w:sz w:val="18"/>
                <w:szCs w:val="18"/>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consideration</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397,445</w:t>
            </w:r>
          </w:p>
        </w:tc>
      </w:tr>
      <w:tr>
        <w:trPr>
          <w:trHeight w:val="193"/>
        </w:trPr>
        <w:tc>
          <w:tcPr>
            <w:tcW w:w="340" w:type="dxa"/>
            <w:vAlign w:val="bottom"/>
          </w:tcPr>
          <w:p>
            <w:pPr>
              <w:spacing w:after="0"/>
              <w:rPr>
                <w:sz w:val="16"/>
                <w:szCs w:val="16"/>
                <w:color w:val="auto"/>
              </w:rPr>
            </w:pPr>
          </w:p>
        </w:tc>
        <w:tc>
          <w:tcPr>
            <w:tcW w:w="5240" w:type="dxa"/>
            <w:vAlign w:val="bottom"/>
            <w:tcBorders>
              <w:bottom w:val="single" w:sz="8" w:color="auto"/>
            </w:tcBorders>
            <w:gridSpan w:val="3"/>
          </w:tcPr>
          <w:p>
            <w:pPr>
              <w:spacing w:after="0" w:line="184" w:lineRule="exact"/>
              <w:rPr>
                <w:sz w:val="20"/>
                <w:szCs w:val="20"/>
                <w:color w:val="auto"/>
              </w:rPr>
            </w:pPr>
            <w:r>
              <w:rPr>
                <w:rFonts w:ascii="Times New Roman" w:cs="Times New Roman" w:eastAsia="Times New Roman" w:hAnsi="Times New Roman"/>
                <w:sz w:val="18"/>
                <w:szCs w:val="18"/>
                <w:i w:val="1"/>
                <w:iCs w:val="1"/>
                <w:color w:val="auto"/>
                <w:w w:val="96"/>
              </w:rPr>
              <w:t>Recognized amounts of identifiable assets acquired and liabilities assumed</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3"/>
        </w:trPr>
        <w:tc>
          <w:tcPr>
            <w:tcW w:w="340" w:type="dxa"/>
            <w:vAlign w:val="bottom"/>
            <w:tcBorders>
              <w:right w:val="single" w:sz="8" w:color="CCEEFF"/>
            </w:tcBorders>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r>
      <w:tr>
        <w:trPr>
          <w:trHeight w:val="223"/>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at amortized cost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86,143</w:t>
            </w:r>
          </w:p>
        </w:tc>
      </w:tr>
      <w:tr>
        <w:trPr>
          <w:trHeight w:val="223"/>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gross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3,554,634</w:t>
            </w:r>
          </w:p>
        </w:tc>
      </w:tr>
      <w:tr>
        <w:trPr>
          <w:trHeight w:val="223"/>
        </w:trPr>
        <w:tc>
          <w:tcPr>
            <w:tcW w:w="340" w:type="dxa"/>
            <w:vAlign w:val="bottom"/>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(23,480)</w:t>
            </w:r>
          </w:p>
        </w:tc>
      </w:tr>
      <w:tr>
        <w:trPr>
          <w:trHeight w:val="216"/>
        </w:trPr>
        <w:tc>
          <w:tcPr>
            <w:tcW w:w="340" w:type="dxa"/>
            <w:vAlign w:val="bottom"/>
            <w:tcBorders>
              <w:right w:val="single" w:sz="8" w:color="CCEEFF"/>
            </w:tcBorders>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allowance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3,531,154</w:t>
            </w:r>
          </w:p>
        </w:tc>
      </w:tr>
      <w:tr>
        <w:trPr>
          <w:trHeight w:val="223"/>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75,531</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23"/>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23"/>
        </w:trPr>
        <w:tc>
          <w:tcPr>
            <w:tcW w:w="340" w:type="dxa"/>
            <w:vAlign w:val="bottom"/>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54,491</w:t>
            </w:r>
          </w:p>
        </w:tc>
      </w:tr>
      <w:tr>
        <w:trPr>
          <w:trHeight w:val="216"/>
        </w:trPr>
        <w:tc>
          <w:tcPr>
            <w:tcW w:w="340" w:type="dxa"/>
            <w:vAlign w:val="bottom"/>
            <w:tcBorders>
              <w:right w:val="single" w:sz="8" w:color="CCEEFF"/>
            </w:tcBorders>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4,617,633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4,503,102</w:t>
            </w:r>
          </w:p>
        </w:tc>
      </w:tr>
      <w:tr>
        <w:trPr>
          <w:trHeight w:val="138"/>
        </w:trPr>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3,704,072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3,696,936</w:t>
            </w:r>
          </w:p>
        </w:tc>
      </w:tr>
      <w:tr>
        <w:trPr>
          <w:trHeight w:val="223"/>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283,398</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debentures and trust preferred securities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107,067</w:t>
            </w:r>
          </w:p>
        </w:tc>
      </w:tr>
      <w:tr>
        <w:trPr>
          <w:trHeight w:val="223"/>
        </w:trPr>
        <w:tc>
          <w:tcPr>
            <w:tcW w:w="3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Unfunded reserve liability</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23"/>
        </w:trPr>
        <w:tc>
          <w:tcPr>
            <w:tcW w:w="340" w:type="dxa"/>
            <w:vAlign w:val="bottom"/>
            <w:tcBorders>
              <w:right w:val="single" w:sz="8" w:color="CCEEFF"/>
            </w:tcBorders>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w:t>
            </w:r>
          </w:p>
        </w:tc>
      </w:tr>
      <w:tr>
        <w:trPr>
          <w:trHeight w:val="216"/>
        </w:trPr>
        <w:tc>
          <w:tcPr>
            <w:tcW w:w="340" w:type="dxa"/>
            <w:vAlign w:val="bottom"/>
          </w:tcPr>
          <w:p>
            <w:pPr>
              <w:spacing w:after="0"/>
              <w:rPr>
                <w:sz w:val="18"/>
                <w:szCs w:val="18"/>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4,165,232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4,138,440</w:t>
            </w:r>
          </w:p>
        </w:tc>
      </w:tr>
      <w:tr>
        <w:trPr>
          <w:trHeight w:val="216"/>
        </w:trPr>
        <w:tc>
          <w:tcPr>
            <w:tcW w:w="340" w:type="dxa"/>
            <w:vAlign w:val="bottom"/>
            <w:tcBorders>
              <w:right w:val="single" w:sz="8" w:color="CCEEFF"/>
            </w:tcBorders>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452,401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364,662</w:t>
            </w:r>
          </w:p>
        </w:tc>
      </w:tr>
      <w:tr>
        <w:trPr>
          <w:trHeight w:val="177"/>
        </w:trPr>
        <w:tc>
          <w:tcPr>
            <w:tcW w:w="340" w:type="dxa"/>
            <w:vAlign w:val="bottom"/>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4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32,783</w:t>
            </w: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Post Merger, all of the securities, held-to-maturity were reclassified as available-for-sale.</w:t>
      </w:r>
    </w:p>
    <w:p>
      <w:pPr>
        <w:spacing w:after="0" w:line="161"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following table presents supplemental pro forma information as if the Merger had occurred on January 1, 2024 and on January 1, 2023. The unaudited pro forma information includes adjustments for interest income on loans and securities acquired, amortization of intangibles arising from the transaction, depreciation expense on property acquired, interest expense on deposits acquired, and the related income tax effects. The pro forma financial information is not necessarily indicative of the results of operations that would have occurred had the transaction been effected on the assumed dates.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0"/>
                <w:szCs w:val="20"/>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20"/>
                <w:szCs w:val="20"/>
                <w:color w:val="auto"/>
              </w:rPr>
            </w:pPr>
          </w:p>
        </w:tc>
        <w:tc>
          <w:tcPr>
            <w:tcW w:w="15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7"/>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293,300</w:t>
            </w:r>
          </w:p>
        </w:tc>
      </w:tr>
      <w:tr>
        <w:trPr>
          <w:trHeight w:val="263"/>
        </w:trPr>
        <w:tc>
          <w:tcPr>
            <w:tcW w:w="7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Goodwill and Other Intangible Assets</w:t>
      </w:r>
    </w:p>
    <w:p>
      <w:pPr>
        <w:spacing w:after="0" w:line="163"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change in goodwill for the the years ended December 31, 2024, December 31, 2023, and December 31, 2022, (in thousands):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bl>
    <w:p>
      <w:pPr>
        <w:spacing w:after="0" w:line="231"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recorded $32.8 million of goodwill associated with the acquisition of Summit. See </w:t>
      </w:r>
      <w:r>
        <w:rPr>
          <w:rFonts w:ascii="Times New Roman" w:cs="Times New Roman" w:eastAsia="Times New Roman" w:hAnsi="Times New Roman"/>
          <w:sz w:val="18"/>
          <w:szCs w:val="18"/>
          <w:u w:val="single" w:color="auto"/>
          <w:color w:val="0000FF"/>
        </w:rPr>
        <w:t>Note 25 -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Business Combination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 financial statements for additional detail regarding this transaction.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performs the annual goodwill impairment test on September 30 every year.</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intangible assets consist of the core deposit intangible which is being amortized on an accelerated basis over its estimated useful life of 7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recorded $68.8 million of core deposit intangibles associated with the acquisition of Summit.</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for the years ended December 31, 2024, December 31, 2023,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 as follows (in thousands):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4"/>
        </w:trPr>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core deposit intangible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deposit intangible</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r>
    </w:tbl>
    <w:p>
      <w:pPr>
        <w:spacing w:after="0" w:line="218"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Company reviews other intangible assets for possible impairment whenever events or changes in circumstances indicate that the carrying amounts may not be recoverable. Total amortization expense associated with intangible assets was $11.5 million for the year ended December 31, 2024.</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Estimated amortization expense for future years is as follows (in thousands):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24"/>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r>
      <w:tr>
        <w:trPr>
          <w:trHeight w:val="22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27— Segment Information</w:t>
      </w:r>
    </w:p>
    <w:p>
      <w:pPr>
        <w:spacing w:after="0" w:line="163"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Accounting policies for segments are the same as those described in Note 1. Segment performance is evaluated using consolidated net income. The Company operates in one segment – Community Banking and the financial performance of this one segment is used to make resource allocations and performance decisions. The Company’s Chief Executive Officer is in charge of allocating the Company’s resources and assessing performance, and has been identified as the chief operating decision maker.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3"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As of December 31, 2024, the Company, under the supervision and with the participation of the Company’s management, including the Company’s Chief Executive Officer and Chief Financial Officer, completed an evaluation of the effectiveness of the design and operation of the Company’s disclosure controls and procedures, as defined in Rule 13a-15(e) under the Exchange Act. In designing and evaluating its disclosure controls and procedures, management recognized that disclosure controls and procedures, no matter how well conceived and operated, can provide only reasonable, not absolute, assurance that objectives of the disclosure controls and procedures are met. The design of any disclosure controls and procedures is also based in part upon certain assumptions about the likelihood of future events, and there can be no assurance that any design will succeed in achieving its stated goals under all potential conditions. Based upon their evaluation, the Chief Executive Officer and Chief Financial Officer concluded that the Company’s disclosure controls and procedures as of December 31, 2024, were effective in providing reasonable assurance that information required to be disclosed in the Company’s reports that it files or submits under the Exchange Act is recorded, processed, summarized, and reported, within the time periods specified by the SEC’s rules and forms, and that such information is accumulated and communicated to management of the Company, including the Chief Executive Officer and Chief Financial Officer, as appropriate to allow timely decisions regarding required disclosure.</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6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Exchange Act. The Company’s internal control over financial reporting is a process designed under the supervision of the Company’s CEO and CFO to provide reasonable assurance regarding the reliability of financial reporting and the preparation of the Company’s financial statements for external purposes in accordance with U.S.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Management assessed the effectiveness of the Company’s internal control over financial reporting as of December 31, 2024 using the criteria set forth in Internal Control–Integrated Framework issued by the Committee of Sponsoring Organizations of the Treadway Commission (“COSO”) (2013 framework). Based on the assessment using those criteria, management concluded that the internal control over financial reporting was effective on December 31, 2024.</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Attestation Report of Independent Auditor</w:t>
      </w:r>
    </w:p>
    <w:p>
      <w:pPr>
        <w:spacing w:after="0" w:line="163"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In accordance with the JOBS Act enacted on April 5, 2012, the Company qualifies as an “emerging growth company,” which entitles the Company to take advantage of certain exemptions from various reporting requirements that are applicable to other public companies that are not EGCs. Specifically, the JOBS Act defers the requirement to have the Company’s independent auditor assess the Company’s internal control over financial reporting under Section 404(b) of the Sarbanes-Oxley Act. As such, the Company is exempted from the requirement to include an auditor attestation report in this Annual Report for so long as the Company remains an EGC, which may be for as long as five years following its initial registration in the United States.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3"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(as defined by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3"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Company personnel, including directors, officers, employees, and other covered persons. The Company believes that its insider trading policy is reasonably designed to promote compliance with insider trading laws, rules and regulations, and listing standards applicable to the Company. A copy of the Company’s insider trading policy is filed as Exhibit 19.1 to this Form 10-K.</w:t>
      </w:r>
    </w:p>
    <w:p>
      <w:pPr>
        <w:spacing w:after="0" w:line="13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captions “Proposal 1 Election of Directors,” “The Board of Directors,” “Executive Officers,” “Delinquent Section 16(a) Reports” and “The Board of Directors - Code of Ethics” in the Company’s Proxy Statement for the 2025 Annual Meeting of Shareholders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 “Executive Compensation,” “Executive Compensation - Director Compensation,” and “Executive Compensation - Compensation Committee Interlocks and Insider Participation” in the Company’s Proxy Statement for the 2025 Annual Meeting of Shareholders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000"/>
        <w:spacing w:after="0" w:line="427"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 Security Ownership of Certain Beneficial Owners and Management</w:t>
      </w:r>
    </w:p>
    <w:p>
      <w:pPr>
        <w:spacing w:after="0" w:line="1"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 “Security Ownership of Certain Beneficial Owners and Management” in the Company’s Proxy Statement for the 2025 Annual Meeting of Shareholders is incorporated by reference.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63"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table sets forth securities authorized for issuance under the 2019 SIP, the 2023 SIP, and the 2023 ESPP as of December 31, 2024. Figures below are presented on an as-converted basis.</w:t>
      </w:r>
    </w:p>
    <w:p>
      <w:pPr>
        <w:spacing w:after="0" w:line="13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 securities to</w:t>
            </w:r>
          </w:p>
        </w:tc>
        <w:tc>
          <w:tcPr>
            <w:tcW w:w="120" w:type="dxa"/>
            <w:vAlign w:val="bottom"/>
          </w:tcPr>
          <w:p>
            <w:pPr>
              <w:spacing w:after="0"/>
              <w:rPr>
                <w:sz w:val="16"/>
                <w:szCs w:val="16"/>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securities</w:t>
            </w:r>
          </w:p>
        </w:tc>
        <w:tc>
          <w:tcPr>
            <w:tcW w:w="0" w:type="dxa"/>
            <w:vAlign w:val="bottom"/>
          </w:tcPr>
          <w:p>
            <w:pPr>
              <w:spacing w:after="0"/>
              <w:rPr>
                <w:sz w:val="1"/>
                <w:szCs w:val="1"/>
                <w:color w:val="auto"/>
              </w:rPr>
            </w:pPr>
          </w:p>
        </w:tc>
      </w:tr>
      <w:tr>
        <w:trPr>
          <w:trHeight w:val="158"/>
        </w:trPr>
        <w:tc>
          <w:tcPr>
            <w:tcW w:w="5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remaining available for</w:t>
            </w:r>
          </w:p>
        </w:tc>
        <w:tc>
          <w:tcPr>
            <w:tcW w:w="0" w:type="dxa"/>
            <w:vAlign w:val="bottom"/>
          </w:tcPr>
          <w:p>
            <w:pPr>
              <w:spacing w:after="0"/>
              <w:rPr>
                <w:sz w:val="1"/>
                <w:szCs w:val="1"/>
                <w:color w:val="auto"/>
              </w:rPr>
            </w:pPr>
          </w:p>
        </w:tc>
      </w:tr>
      <w:tr>
        <w:trPr>
          <w:trHeight w:val="158"/>
        </w:trPr>
        <w:tc>
          <w:tcPr>
            <w:tcW w:w="5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be issued upon exercise</w:t>
            </w:r>
          </w:p>
        </w:tc>
        <w:tc>
          <w:tcPr>
            <w:tcW w:w="120" w:type="dxa"/>
            <w:vAlign w:val="bottom"/>
          </w:tcPr>
          <w:p>
            <w:pPr>
              <w:spacing w:after="0"/>
              <w:rPr>
                <w:sz w:val="13"/>
                <w:szCs w:val="13"/>
                <w:color w:val="auto"/>
              </w:rPr>
            </w:pPr>
          </w:p>
        </w:tc>
        <w:tc>
          <w:tcPr>
            <w:tcW w:w="16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17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future issuance under</w:t>
            </w:r>
          </w:p>
        </w:tc>
        <w:tc>
          <w:tcPr>
            <w:tcW w:w="0" w:type="dxa"/>
            <w:vAlign w:val="bottom"/>
          </w:tcPr>
          <w:p>
            <w:pPr>
              <w:spacing w:after="0"/>
              <w:rPr>
                <w:sz w:val="1"/>
                <w:szCs w:val="1"/>
                <w:color w:val="auto"/>
              </w:rPr>
            </w:pPr>
          </w:p>
        </w:tc>
      </w:tr>
      <w:tr>
        <w:trPr>
          <w:trHeight w:val="158"/>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of outstanding options,</w:t>
            </w:r>
          </w:p>
        </w:tc>
        <w:tc>
          <w:tcPr>
            <w:tcW w:w="120" w:type="dxa"/>
            <w:vAlign w:val="bottom"/>
          </w:tcPr>
          <w:p>
            <w:pPr>
              <w:spacing w:after="0"/>
              <w:rPr>
                <w:sz w:val="13"/>
                <w:szCs w:val="13"/>
                <w:color w:val="auto"/>
              </w:rPr>
            </w:pPr>
          </w:p>
        </w:tc>
        <w:tc>
          <w:tcPr>
            <w:tcW w:w="16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outstanding options,</w:t>
            </w:r>
          </w:p>
        </w:tc>
        <w:tc>
          <w:tcPr>
            <w:tcW w:w="17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equity compensation</w:t>
            </w:r>
          </w:p>
        </w:tc>
        <w:tc>
          <w:tcPr>
            <w:tcW w:w="0" w:type="dxa"/>
            <w:vAlign w:val="bottom"/>
          </w:tcPr>
          <w:p>
            <w:pPr>
              <w:spacing w:after="0"/>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warrant and rights</w:t>
            </w: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warrants and rights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w:t>
            </w:r>
          </w:p>
        </w:tc>
        <w:tc>
          <w:tcPr>
            <w:tcW w:w="0" w:type="dxa"/>
            <w:vAlign w:val="bottom"/>
          </w:tcPr>
          <w:p>
            <w:pPr>
              <w:spacing w:after="0"/>
              <w:rPr>
                <w:sz w:val="1"/>
                <w:szCs w:val="1"/>
                <w:color w:val="auto"/>
              </w:rPr>
            </w:pPr>
          </w:p>
        </w:tc>
      </w:tr>
      <w:tr>
        <w:trPr>
          <w:trHeight w:val="217"/>
        </w:trPr>
        <w:tc>
          <w:tcPr>
            <w:tcW w:w="5440" w:type="dxa"/>
            <w:vAlign w:val="bottom"/>
            <w:tcBorders>
              <w:top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Equity compensation plans approved by shareholders </w:t>
            </w:r>
            <w:r>
              <w:rPr>
                <w:rFonts w:ascii="Times New Roman" w:cs="Times New Roman" w:eastAsia="Times New Roman" w:hAnsi="Times New Roman"/>
                <w:sz w:val="22"/>
                <w:szCs w:val="22"/>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100,510</w:t>
            </w:r>
          </w:p>
        </w:tc>
        <w:tc>
          <w:tcPr>
            <w:tcW w:w="4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(2)</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536,607 (3)</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4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(2)</w:t>
            </w:r>
          </w:p>
        </w:tc>
        <w:tc>
          <w:tcPr>
            <w:tcW w:w="170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 (5)</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134,202</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536,607</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100,510 shares of common stock issuable pursuant to outstanding RSUs awarded under the 2023 SIP.</w:t>
      </w:r>
    </w:p>
    <w:p>
      <w:pPr>
        <w:spacing w:after="0" w:line="23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RSU awards do not have an exercise price, they are not included in the weighted average exercise price.</w:t>
      </w:r>
    </w:p>
    <w:p>
      <w:pPr>
        <w:spacing w:after="0" w:line="245" w:lineRule="exact"/>
        <w:rPr>
          <w:rFonts w:ascii="Times New Roman" w:cs="Times New Roman" w:eastAsia="Times New Roman" w:hAnsi="Times New Roman"/>
          <w:sz w:val="14"/>
          <w:szCs w:val="14"/>
          <w:color w:val="auto"/>
        </w:rPr>
      </w:pPr>
    </w:p>
    <w:p>
      <w:pPr>
        <w:jc w:val="both"/>
        <w:ind w:left="320" w:hanging="315"/>
        <w:spacing w:after="0" w:line="256"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224,377 shares of common stock remaining available for future equity awards under the 2023 SIP at December 31, 2024, as well as 312,230 shares of common stock remaining available for issuance and delivery under the 2023 ESPP. The 2023 SIP and the 2023 ESPP both authorize up to 250,000 shares of Common Stock for issuance, increasing on an annual basis by an amount equal to the lesser of 1% of the Company’s common shares issued and outstanding on the last day of the immediately preceding fiscal years (not to exceed 250,000 for the 2023 ESPP) and such smaller number of Common Stock as may be determined by the Board. The 2023 SIP also includes share recycling to the extent that an award granted under the 2023 SIP or 2019 SIP terminates, expires, is canceled, or is forfeited for any reason, the shares associated with that award will become available for grant under the 2023 Plan. The maximum number of shares of common stock available for issuance under both the 2023 SIP and the 2023 ESPP was increased by 74,287 shares on January 1, 2024. As of December 31, 2024, 600 shares have been recycled from the 2019 SIP. As of December 31, 2024, there was an open purchase period under the 2023 ESPP, which concluded on February 28, 2025. Participants purchased 7,020 aggregate shares during this purchase period.</w:t>
      </w:r>
    </w:p>
    <w:p>
      <w:pPr>
        <w:spacing w:after="0" w:line="214" w:lineRule="exact"/>
        <w:rPr>
          <w:rFonts w:ascii="Times New Roman" w:cs="Times New Roman" w:eastAsia="Times New Roman" w:hAnsi="Times New Roman"/>
          <w:sz w:val="14"/>
          <w:szCs w:val="14"/>
          <w:color w:val="auto"/>
        </w:rPr>
      </w:pPr>
    </w:p>
    <w:p>
      <w:pPr>
        <w:jc w:val="both"/>
        <w:ind w:left="320" w:hanging="315"/>
        <w:spacing w:after="0" w:line="257"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RSUs awarded under the 2019 SIP prior to the adoption of the 2023 SIP. The 2019 SIP was originally adopted by the Board of Directors of the Bank and was then subsequently adopted by the Board of the Company, as amended, on October 27, 2022, upon its commencement of operations as a bank holding company. The 2019 SIP is an omnibus equity incentive plan which allows for the grant of Common Stock, stock options, SARs, restricted stock, RSUs, dividend equivalent rights, and cash-based awards to employees, directors, and consultants of the Company and its affiliates. The only outstanding equity awards granted under the 2019 SIP are RSUs, which vest upon the completion of a service period, specific performance goal, and/or a combination thereof. The table does not include information for the Summit Financial Group, Inc. Long-Term Incentive Plan (the “Summit LTIP”) assumed by the Company upon completion of the Merger.</w:t>
      </w:r>
    </w:p>
    <w:p>
      <w:pPr>
        <w:spacing w:after="0" w:line="17" w:lineRule="exact"/>
        <w:rPr>
          <w:rFonts w:ascii="Times New Roman" w:cs="Times New Roman" w:eastAsia="Times New Roman" w:hAnsi="Times New Roman"/>
          <w:sz w:val="14"/>
          <w:szCs w:val="14"/>
          <w:color w:val="auto"/>
        </w:rPr>
      </w:pPr>
    </w:p>
    <w:p>
      <w:pPr>
        <w:jc w:val="both"/>
        <w:ind w:left="32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118 shares of common stock are issuable pursuant to outstanding RSUs issued under the Summit LTIP, and 136,943 shares of common stock are issuable, based upon our December 31, 2024, closing price of $62.36, with respect to 183,971 SAR awards exercisable at December 31, 2024, under the Summit LTIP. No further grants may be made under the Summit LTIP.</w:t>
      </w:r>
    </w:p>
    <w:p>
      <w:pPr>
        <w:spacing w:after="0" w:line="21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further awards may be granted under either the 2019 SIP or the Summit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captions “The Board of Directors - Director Independence” and “Company Transactions With Related Parties” in the Company’s Proxy Statement for the 2025 Annual Meeting of Shareholders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3"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Pursuant to General Instructions G(3) of Form 10-K, the information contained under the caption “Proposal 2 Ratification of Appointment of Independent Registered Public Accounting Firm” in the Company’s Proxy Statement for the 2025 Annual Meeting of Shareholders is incorporated into this item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63" w:lineRule="exact"/>
        <w:rPr>
          <w:sz w:val="20"/>
          <w:szCs w:val="20"/>
          <w:color w:val="auto"/>
        </w:rPr>
      </w:pPr>
    </w:p>
    <w:p>
      <w:pPr>
        <w:ind w:left="640" w:hanging="635"/>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FINANCIAL STATEMENTS: The following financial statements are included in </w:t>
      </w:r>
      <w:r>
        <w:rPr>
          <w:rFonts w:ascii="Times New Roman" w:cs="Times New Roman" w:eastAsia="Times New Roman" w:hAnsi="Times New Roman"/>
          <w:sz w:val="16"/>
          <w:szCs w:val="16"/>
          <w:u w:val="single" w:color="auto"/>
          <w:color w:val="0000FF"/>
        </w:rPr>
        <w:t>Item 8</w:t>
      </w:r>
      <w:r>
        <w:rPr>
          <w:rFonts w:ascii="Times New Roman" w:cs="Times New Roman" w:eastAsia="Times New Roman" w:hAnsi="Times New Roman"/>
          <w:sz w:val="16"/>
          <w:szCs w:val="16"/>
          <w:color w:val="auto"/>
        </w:rPr>
        <w:t xml:space="preserve"> in Notes to Consolidated Financial Statements of this Form</w:t>
      </w:r>
    </w:p>
    <w:p>
      <w:pPr>
        <w:spacing w:after="0" w:line="43"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December 31, 2024, and 2023</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for the Years Ended December 31, 2024, 2023, and 2022</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(Loss) for the Years Ended December 31, 2024, 2023, and 2022</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Changes in Shareholders’ Equity for the Years Ended December 31, 2024, 2023, and 2022</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December 31, 2024, 2023, and 2022</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Notes to the Consolidated Financial Statements</w:t>
      </w:r>
    </w:p>
    <w:p>
      <w:pPr>
        <w:spacing w:after="0" w:line="248" w:lineRule="exact"/>
        <w:rPr>
          <w:sz w:val="20"/>
          <w:szCs w:val="20"/>
          <w:color w:val="auto"/>
        </w:rPr>
      </w:pPr>
    </w:p>
    <w:p>
      <w:pPr>
        <w:ind w:left="620" w:hanging="615"/>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included as part of this Form 10-K: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0" w:type="dxa"/>
            <w:vAlign w:val="bottom"/>
            <w:gridSpan w:val="13"/>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77"/>
        </w:trPr>
        <w:tc>
          <w:tcPr>
            <w:tcW w:w="10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8"/>
          </w:tcPr>
          <w:p>
            <w:pPr>
              <w:spacing w:after="0" w:line="177"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Agreement and Plan of Reorganization between Burke &amp; Herbert Financial Services Corp. and Summit Financial Group, Inc. dated as of</w:t>
              </w:r>
            </w:hyperlink>
          </w:p>
        </w:tc>
      </w:tr>
      <w:tr>
        <w:trPr>
          <w:trHeight w:val="151"/>
        </w:trPr>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4"/>
          </w:tcPr>
          <w:p>
            <w:pPr>
              <w:spacing w:after="0" w:line="151"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 xml:space="preserve">August 24, 2023 </w:t>
              </w:r>
              <w:r>
                <w:rPr>
                  <w:rFonts w:ascii="Times New Roman" w:cs="Times New Roman" w:eastAsia="Times New Roman" w:hAnsi="Times New Roman"/>
                  <w:sz w:val="16"/>
                  <w:szCs w:val="16"/>
                  <w:color w:val="000000"/>
                </w:rPr>
                <w:t>(incorporated by reference to Exhibit 2.1 to the Form 8-K filed on August 25, 2023)</w:t>
              </w:r>
            </w:hyperlink>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3"/>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2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 xml:space="preserve">Articles of Incorporation of Burke &amp; Herbert Financial Services Corp., as amended </w:t>
              </w:r>
            </w:hyperlink>
            <w:r>
              <w:rPr>
                <w:rFonts w:ascii="Times New Roman" w:cs="Times New Roman" w:eastAsia="Times New Roman" w:hAnsi="Times New Roman"/>
                <w:sz w:val="18"/>
                <w:szCs w:val="18"/>
                <w:color w:val="000000"/>
                <w:w w:val="98"/>
              </w:rPr>
              <w:t>(incorporated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by reference to Exhibit 3.1 to the Form 10-</w:t>
            </w:r>
          </w:p>
        </w:tc>
      </w:tr>
      <w:tr>
        <w:trPr>
          <w:trHeight w:val="203"/>
        </w:trPr>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FF"/>
            </w:tcBorders>
            <w:gridSpan w:val="7"/>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Q, filed August 13, 2024)</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8"/>
          </w:tcPr>
          <w:p>
            <w:pPr>
              <w:spacing w:after="0" w:line="184"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 xml:space="preserve">Bylaws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3.4 to the Form 10-Q, filed May 10, 2024)</w:t>
            </w:r>
          </w:p>
        </w:tc>
      </w:tr>
      <w:tr>
        <w:trPr>
          <w:trHeight w:val="30"/>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3"/>
        </w:trPr>
        <w:tc>
          <w:tcPr>
            <w:tcW w:w="10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18"/>
            <w:shd w:val="clear" w:color="auto" w:fill="CCEEFF"/>
          </w:tcPr>
          <w:p>
            <w:pPr>
              <w:spacing w:after="0" w:line="194"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 xml:space="preserve">Specimen certificate for the Common Stock of Burke &amp; Herbert Financial Services Corp.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4.1 to the</w:t>
            </w:r>
          </w:p>
        </w:tc>
      </w:tr>
      <w:tr>
        <w:trPr>
          <w:trHeight w:val="203"/>
        </w:trPr>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60" w:type="dxa"/>
            <w:vAlign w:val="bottom"/>
            <w:tcBorders>
              <w:top w:val="single" w:sz="8" w:color="0000FF"/>
            </w:tcBorders>
            <w:gridSpan w:val="8"/>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Form 10/A Registration Statement, filed April 3, 2023)</w:t>
            </w:r>
          </w:p>
        </w:tc>
        <w:tc>
          <w:tcPr>
            <w:tcW w:w="6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8"/>
          </w:tcPr>
          <w:p>
            <w:pPr>
              <w:spacing w:after="0" w:line="184"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 xml:space="preserve">Description of Burke &amp; Herbert Financial </w:t>
              </w:r>
            </w:hyperlink>
            <w:r>
              <w:rPr>
                <w:rFonts w:ascii="Times New Roman" w:cs="Times New Roman" w:eastAsia="Times New Roman" w:hAnsi="Times New Roman"/>
                <w:sz w:val="18"/>
                <w:szCs w:val="18"/>
                <w:color w:val="0000FF"/>
              </w:rPr>
              <w:t xml:space="preserve">Services </w:t>
            </w:r>
            <w:hyperlink r:id="rId186">
              <w:r>
                <w:rPr>
                  <w:rFonts w:ascii="Times New Roman" w:cs="Times New Roman" w:eastAsia="Times New Roman" w:hAnsi="Times New Roman"/>
                  <w:sz w:val="18"/>
                  <w:szCs w:val="18"/>
                  <w:color w:val="0000FF"/>
                </w:rPr>
                <w:t xml:space="preserve">Corp. Securities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4.1 to the Form S-3 Registration</w:t>
            </w:r>
          </w:p>
        </w:tc>
      </w:tr>
      <w:tr>
        <w:trPr>
          <w:trHeight w:val="203"/>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FF"/>
            </w:tcBorders>
            <w:gridSpan w:val="6"/>
          </w:tcPr>
          <w:p>
            <w:pPr>
              <w:spacing w:after="0" w:line="203" w:lineRule="exact"/>
              <w:rPr>
                <w:sz w:val="20"/>
                <w:szCs w:val="20"/>
                <w:color w:val="auto"/>
              </w:rPr>
            </w:pPr>
            <w:r>
              <w:rPr>
                <w:rFonts w:ascii="Times New Roman" w:cs="Times New Roman" w:eastAsia="Times New Roman" w:hAnsi="Times New Roman"/>
                <w:sz w:val="18"/>
                <w:szCs w:val="18"/>
                <w:color w:val="auto"/>
              </w:rPr>
              <w:t>Statement, Filed November 15, 2024)</w:t>
            </w:r>
          </w:p>
        </w:tc>
        <w:tc>
          <w:tcPr>
            <w:tcW w:w="2140" w:type="dxa"/>
            <w:vAlign w:val="bottom"/>
            <w:gridSpan w:val="3"/>
          </w:tcPr>
          <w:p>
            <w:pPr>
              <w:spacing w:after="0"/>
              <w:rPr>
                <w:sz w:val="17"/>
                <w:szCs w:val="17"/>
                <w:color w:val="auto"/>
              </w:rPr>
            </w:pPr>
          </w:p>
        </w:tc>
        <w:tc>
          <w:tcPr>
            <w:tcW w:w="1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2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Summit Financial Group, Inc., Form of 5.00% Fixed-to-Floating Rate Subordinated Notes due 2030 (included as Exhibit A to the Form of</w:t>
              </w:r>
            </w:hyperlink>
          </w:p>
        </w:tc>
      </w:tr>
      <w:tr>
        <w:trPr>
          <w:trHeight w:val="151"/>
        </w:trPr>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500" w:type="dxa"/>
            <w:vAlign w:val="bottom"/>
            <w:tcBorders>
              <w:top w:val="single" w:sz="8" w:color="0000FF"/>
              <w:bottom w:val="single" w:sz="8" w:color="0000FF"/>
            </w:tcBorders>
            <w:gridSpan w:val="12"/>
            <w:shd w:val="clear" w:color="auto" w:fill="CCEEFF"/>
          </w:tcPr>
          <w:p>
            <w:pPr>
              <w:spacing w:after="0" w:line="151"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Subordinated Note Purchase Agreement dated as of September 22, 2020, by and between Summit Financial Group, Inc. and each of the</w:t>
              </w:r>
            </w:hyperlink>
          </w:p>
        </w:tc>
        <w:tc>
          <w:tcPr>
            <w:tcW w:w="18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1"/>
        </w:trPr>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20" w:type="dxa"/>
            <w:vAlign w:val="bottom"/>
            <w:gridSpan w:val="18"/>
            <w:shd w:val="clear" w:color="auto" w:fill="CCEEFF"/>
          </w:tcPr>
          <w:p>
            <w:pPr>
              <w:spacing w:after="0" w:line="151"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 xml:space="preserve">Purchasers) </w:t>
              </w:r>
              <w:r>
                <w:rPr>
                  <w:rFonts w:ascii="Times New Roman" w:cs="Times New Roman" w:eastAsia="Times New Roman" w:hAnsi="Times New Roman"/>
                  <w:sz w:val="16"/>
                  <w:szCs w:val="16"/>
                  <w:color w:val="000000"/>
                </w:rPr>
                <w:t>(incorporated by reference to Exhibit 10.1 to Summit Financial Group, Inc.’s Form 8-K filed on September 23, 2020 (File No.</w:t>
              </w:r>
            </w:hyperlink>
          </w:p>
        </w:tc>
      </w:tr>
      <w:tr>
        <w:trPr>
          <w:trHeight w:val="203"/>
        </w:trPr>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0000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000-16587))</w:t>
            </w:r>
          </w:p>
        </w:tc>
        <w:tc>
          <w:tcPr>
            <w:tcW w:w="3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84"/>
        </w:trPr>
        <w:tc>
          <w:tcPr>
            <w:tcW w:w="1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8"/>
          </w:tcPr>
          <w:p>
            <w:pPr>
              <w:spacing w:after="0" w:line="184" w:lineRule="exact"/>
              <w:rPr>
                <w:rFonts w:ascii="Times New Roman" w:cs="Times New Roman" w:eastAsia="Times New Roman" w:hAnsi="Times New Roman"/>
                <w:sz w:val="18"/>
                <w:szCs w:val="18"/>
                <w:color w:val="0000FF"/>
                <w:w w:val="97"/>
              </w:rPr>
            </w:pPr>
            <w:hyperlink r:id="rId188">
              <w:r>
                <w:rPr>
                  <w:rFonts w:ascii="Times New Roman" w:cs="Times New Roman" w:eastAsia="Times New Roman" w:hAnsi="Times New Roman"/>
                  <w:sz w:val="18"/>
                  <w:szCs w:val="18"/>
                  <w:color w:val="0000FF"/>
                  <w:w w:val="97"/>
                </w:rPr>
                <w:t>Summit Financial Group, Inc., Forms of 3.25% Fixed-to-Floating Rate Subordinated Note due 2031 (included as Exhibit A-1 and Exhibit A-2</w:t>
              </w:r>
            </w:hyperlink>
          </w:p>
        </w:tc>
      </w:tr>
      <w:tr>
        <w:trPr>
          <w:trHeight w:val="151"/>
        </w:trPr>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1"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to the Indenture, dated as of November 16, 2021, by and between Summit Financial Group, Inc. and UMB Bank, N.A., as Trustee)</w:t>
              </w:r>
            </w:hyperlink>
          </w:p>
        </w:tc>
        <w:tc>
          <w:tcPr>
            <w:tcW w:w="80" w:type="dxa"/>
            <w:vAlign w:val="bottom"/>
          </w:tcPr>
          <w:p>
            <w:pPr>
              <w:spacing w:after="0"/>
              <w:rPr>
                <w:sz w:val="13"/>
                <w:szCs w:val="13"/>
                <w:color w:val="auto"/>
              </w:rPr>
            </w:pPr>
          </w:p>
        </w:tc>
      </w:tr>
      <w:tr>
        <w:trPr>
          <w:trHeight w:val="203"/>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top w:val="single" w:sz="8" w:color="0000FF"/>
            </w:tcBorders>
            <w:gridSpan w:val="11"/>
          </w:tcPr>
          <w:p>
            <w:pPr>
              <w:spacing w:after="0" w:line="203" w:lineRule="exact"/>
              <w:rPr>
                <w:sz w:val="20"/>
                <w:szCs w:val="20"/>
                <w:color w:val="auto"/>
              </w:rPr>
            </w:pPr>
            <w:r>
              <w:rPr>
                <w:rFonts w:ascii="Times New Roman" w:cs="Times New Roman" w:eastAsia="Times New Roman" w:hAnsi="Times New Roman"/>
                <w:sz w:val="18"/>
                <w:szCs w:val="18"/>
                <w:color w:val="auto"/>
                <w:w w:val="97"/>
              </w:rPr>
              <w:t>(incorporated by reference to Exhibit 4.1 to Summit Financial Group, Inc.’s Form 8-K filed on November 17, 2021 (File No. 000-</w:t>
            </w:r>
          </w:p>
        </w:tc>
        <w:tc>
          <w:tcPr>
            <w:tcW w:w="620" w:type="dxa"/>
            <w:vAlign w:val="bottom"/>
            <w:gridSpan w:val="5"/>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w w:val="84"/>
              </w:rPr>
              <w:t>16587))</w:t>
            </w:r>
          </w:p>
        </w:tc>
        <w:tc>
          <w:tcPr>
            <w:tcW w:w="260" w:type="dxa"/>
            <w:vAlign w:val="bottom"/>
            <w:gridSpan w:val="2"/>
          </w:tcPr>
          <w:p>
            <w:pPr>
              <w:spacing w:after="0"/>
              <w:rPr>
                <w:sz w:val="17"/>
                <w:szCs w:val="17"/>
                <w:color w:val="auto"/>
              </w:rPr>
            </w:pPr>
          </w:p>
        </w:tc>
      </w:tr>
      <w:tr>
        <w:trPr>
          <w:trHeight w:val="184"/>
        </w:trPr>
        <w:tc>
          <w:tcPr>
            <w:tcW w:w="10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2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color w:val="0000FF"/>
                  <w:w w:val="98"/>
                </w:rPr>
                <w:t xml:space="preserve">Indenture, dated as of November 16, 2021, by and between Summit Financial Group, Inc. and UMB Bank, N.A., as Trustee </w:t>
              </w:r>
            </w:hyperlink>
            <w:r>
              <w:rPr>
                <w:rFonts w:ascii="Times New Roman" w:cs="Times New Roman" w:eastAsia="Times New Roman" w:hAnsi="Times New Roman"/>
                <w:sz w:val="18"/>
                <w:szCs w:val="18"/>
                <w:color w:val="000000"/>
                <w:w w:val="98"/>
              </w:rPr>
              <w:t>(incorporated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by</w:t>
            </w:r>
          </w:p>
        </w:tc>
      </w:tr>
      <w:tr>
        <w:trPr>
          <w:trHeight w:val="203"/>
        </w:trPr>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60" w:type="dxa"/>
            <w:vAlign w:val="bottom"/>
            <w:tcBorders>
              <w:top w:val="single" w:sz="8" w:color="0000FF"/>
            </w:tcBorders>
            <w:gridSpan w:val="10"/>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reference to Exhibit 4.1 to Summit Financial Group, Inc.’s Form 8-K filed on November 17, 2021 (File No. 000-16587))</w:t>
            </w:r>
          </w:p>
        </w:tc>
        <w:tc>
          <w:tcPr>
            <w:tcW w:w="900" w:type="dxa"/>
            <w:vAlign w:val="bottom"/>
            <w:tcBorders>
              <w:top w:val="single" w:sz="8" w:color="CCEEFF"/>
            </w:tcBorders>
            <w:gridSpan w:val="3"/>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r>
      <w:tr>
        <w:trPr>
          <w:trHeight w:val="184"/>
        </w:trPr>
        <w:tc>
          <w:tcPr>
            <w:tcW w:w="1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5"/>
                <w:szCs w:val="15"/>
                <w:color w:val="auto"/>
              </w:rPr>
            </w:pPr>
          </w:p>
        </w:tc>
        <w:tc>
          <w:tcPr>
            <w:tcW w:w="10020" w:type="dxa"/>
            <w:vAlign w:val="bottom"/>
            <w:gridSpan w:val="18"/>
          </w:tcPr>
          <w:p>
            <w:pPr>
              <w:spacing w:after="0" w:line="184"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 xml:space="preserve">2019 Stock Incentive Plan as Amended October 27, 2022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 reference to Exhibit 10.2 to the Form 10 Registration Statement,</w:t>
            </w:r>
          </w:p>
        </w:tc>
      </w:tr>
      <w:tr>
        <w:trPr>
          <w:trHeight w:val="203"/>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tcBorders>
            <w:gridSpan w:val="5"/>
          </w:tcPr>
          <w:p>
            <w:pPr>
              <w:spacing w:after="0" w:line="203" w:lineRule="exact"/>
              <w:rPr>
                <w:sz w:val="20"/>
                <w:szCs w:val="20"/>
                <w:color w:val="auto"/>
              </w:rPr>
            </w:pPr>
            <w:r>
              <w:rPr>
                <w:rFonts w:ascii="Times New Roman" w:cs="Times New Roman" w:eastAsia="Times New Roman" w:hAnsi="Times New Roman"/>
                <w:sz w:val="18"/>
                <w:szCs w:val="18"/>
                <w:color w:val="auto"/>
              </w:rPr>
              <w:t>filed February 28, 2023)</w:t>
            </w:r>
          </w:p>
        </w:tc>
        <w:tc>
          <w:tcPr>
            <w:tcW w:w="2860" w:type="dxa"/>
            <w:vAlign w:val="bottom"/>
            <w:gridSpan w:val="4"/>
          </w:tcPr>
          <w:p>
            <w:pPr>
              <w:spacing w:after="0"/>
              <w:rPr>
                <w:sz w:val="17"/>
                <w:szCs w:val="17"/>
                <w:color w:val="auto"/>
              </w:rPr>
            </w:pPr>
          </w:p>
        </w:tc>
        <w:tc>
          <w:tcPr>
            <w:tcW w:w="2680" w:type="dxa"/>
            <w:vAlign w:val="bottom"/>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184"/>
        </w:trPr>
        <w:tc>
          <w:tcPr>
            <w:tcW w:w="12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5"/>
                <w:szCs w:val="15"/>
                <w:color w:val="auto"/>
              </w:rPr>
            </w:pPr>
          </w:p>
        </w:tc>
        <w:tc>
          <w:tcPr>
            <w:tcW w:w="1002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 xml:space="preserve">2021 Amended &amp; Restated Nonqualified Deferred Compensation Plan for Employees &amp; Directors </w:t>
              </w:r>
            </w:hyperlink>
            <w:r>
              <w:rPr>
                <w:rFonts w:ascii="Times New Roman" w:cs="Times New Roman" w:eastAsia="Times New Roman" w:hAnsi="Times New Roman"/>
                <w:sz w:val="18"/>
                <w:szCs w:val="18"/>
                <w:color w:val="000000"/>
                <w:w w:val="98"/>
              </w:rPr>
              <w:t>(incorporated</w:t>
            </w:r>
            <w:r>
              <w:rPr>
                <w:rFonts w:ascii="Times New Roman" w:cs="Times New Roman" w:eastAsia="Times New Roman" w:hAnsi="Times New Roman"/>
                <w:sz w:val="18"/>
                <w:szCs w:val="18"/>
                <w:color w:val="0000FF"/>
                <w:w w:val="98"/>
              </w:rPr>
              <w:t xml:space="preserve"> </w:t>
            </w:r>
            <w:r>
              <w:rPr>
                <w:rFonts w:ascii="Times New Roman" w:cs="Times New Roman" w:eastAsia="Times New Roman" w:hAnsi="Times New Roman"/>
                <w:sz w:val="18"/>
                <w:szCs w:val="18"/>
                <w:color w:val="000000"/>
                <w:w w:val="98"/>
              </w:rPr>
              <w:t>by reference to Exhibit 10.3</w:t>
            </w:r>
          </w:p>
        </w:tc>
      </w:tr>
      <w:tr>
        <w:trPr>
          <w:trHeight w:val="203"/>
        </w:trPr>
        <w:tc>
          <w:tcPr>
            <w:tcW w:w="1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80" w:type="dxa"/>
            <w:vAlign w:val="bottom"/>
            <w:tcBorders>
              <w:top w:val="single" w:sz="8" w:color="0000FF"/>
            </w:tcBorders>
            <w:gridSpan w:val="9"/>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 the Form 10 Registration Statement, filed February 28, 2023)</w:t>
            </w:r>
          </w:p>
        </w:tc>
        <w:tc>
          <w:tcPr>
            <w:tcW w:w="2680" w:type="dxa"/>
            <w:vAlign w:val="bottom"/>
            <w:tcBorders>
              <w:top w:val="single" w:sz="8" w:color="CCEEFF"/>
            </w:tcBorders>
            <w:gridSpan w:val="4"/>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spacing w:after="0"/>
              <w:rPr>
                <w:sz w:val="17"/>
                <w:szCs w:val="17"/>
                <w:color w:val="auto"/>
              </w:rPr>
            </w:pPr>
          </w:p>
        </w:tc>
      </w:tr>
      <w:tr>
        <w:trPr>
          <w:trHeight w:val="184"/>
        </w:trPr>
        <w:tc>
          <w:tcPr>
            <w:tcW w:w="12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5"/>
                <w:szCs w:val="15"/>
                <w:color w:val="auto"/>
              </w:rPr>
            </w:pPr>
          </w:p>
        </w:tc>
        <w:tc>
          <w:tcPr>
            <w:tcW w:w="10020" w:type="dxa"/>
            <w:vAlign w:val="bottom"/>
            <w:gridSpan w:val="18"/>
          </w:tcPr>
          <w:p>
            <w:pPr>
              <w:spacing w:after="0" w:line="184"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Amended &amp; Restated Employment Agreement, dated as of September 1, 2022, by and among Burke &amp; Herbert Bank &amp; Trust, and David P.</w:t>
              </w:r>
            </w:hyperlink>
          </w:p>
        </w:tc>
      </w:tr>
      <w:tr>
        <w:trPr>
          <w:trHeight w:val="151"/>
        </w:trPr>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 xml:space="preserve">Boyle </w:t>
              </w:r>
              <w:r>
                <w:rPr>
                  <w:rFonts w:ascii="Times New Roman" w:cs="Times New Roman" w:eastAsia="Times New Roman" w:hAnsi="Times New Roman"/>
                  <w:sz w:val="16"/>
                  <w:szCs w:val="16"/>
                  <w:color w:val="000000"/>
                </w:rPr>
                <w:t>(incorporated by reference to Exhibit 10.4 to the Form 10 Registration Statement, filed February 28, 2023)</w:t>
              </w:r>
            </w:hyperlink>
          </w:p>
        </w:tc>
        <w:tc>
          <w:tcPr>
            <w:tcW w:w="260" w:type="dxa"/>
            <w:vAlign w:val="bottom"/>
            <w:gridSpan w:val="2"/>
          </w:tcPr>
          <w:p>
            <w:pPr>
              <w:spacing w:after="0"/>
              <w:rPr>
                <w:sz w:val="13"/>
                <w:szCs w:val="13"/>
                <w:color w:val="auto"/>
              </w:rPr>
            </w:pPr>
          </w:p>
        </w:tc>
      </w:tr>
      <w:tr>
        <w:trPr>
          <w:trHeight w:val="33"/>
        </w:trPr>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2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5"/>
                <w:szCs w:val="15"/>
                <w:color w:val="auto"/>
              </w:rPr>
            </w:pPr>
          </w:p>
        </w:tc>
        <w:tc>
          <w:tcPr>
            <w:tcW w:w="10020" w:type="dxa"/>
            <w:vAlign w:val="bottom"/>
            <w:gridSpan w:val="18"/>
            <w:shd w:val="clear" w:color="auto" w:fill="CCEEFF"/>
          </w:tcPr>
          <w:p>
            <w:pPr>
              <w:spacing w:after="0" w:line="184"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First Amendment to Employment Agreement, dated as of October 27, 2022, by and among Burke &amp; Herbert Bank &amp; Trust, and David P.</w:t>
              </w:r>
            </w:hyperlink>
          </w:p>
        </w:tc>
      </w:tr>
      <w:tr>
        <w:trPr>
          <w:trHeight w:val="151"/>
        </w:trPr>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13"/>
            <w:shd w:val="clear" w:color="auto" w:fill="CCEEFF"/>
          </w:tcPr>
          <w:p>
            <w:pPr>
              <w:spacing w:after="0" w:line="151"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 xml:space="preserve">Boyle </w:t>
              </w:r>
              <w:r>
                <w:rPr>
                  <w:rFonts w:ascii="Times New Roman" w:cs="Times New Roman" w:eastAsia="Times New Roman" w:hAnsi="Times New Roman"/>
                  <w:sz w:val="16"/>
                  <w:szCs w:val="16"/>
                  <w:color w:val="000000"/>
                </w:rPr>
                <w:t>(incorporated by reference to Exhibit 10.5 to the Form 10 Registration Statement, filed February 28, 2023)</w:t>
              </w:r>
            </w:hyperlink>
          </w:p>
        </w:tc>
        <w:tc>
          <w:tcPr>
            <w:tcW w:w="460" w:type="dxa"/>
            <w:vAlign w:val="bottom"/>
            <w:tcBorders>
              <w:top w:val="single" w:sz="8" w:color="CCEEFF"/>
            </w:tcBorders>
            <w:gridSpan w:val="5"/>
            <w:shd w:val="clear" w:color="auto" w:fill="CCEEFF"/>
          </w:tcPr>
          <w:p>
            <w:pPr>
              <w:spacing w:after="0"/>
              <w:rPr>
                <w:sz w:val="13"/>
                <w:szCs w:val="13"/>
                <w:color w:val="auto"/>
              </w:rPr>
            </w:pPr>
          </w:p>
        </w:tc>
      </w:tr>
      <w:tr>
        <w:trPr>
          <w:trHeight w:val="33"/>
        </w:trPr>
        <w:tc>
          <w:tcPr>
            <w:tcW w:w="10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60" w:type="dxa"/>
            <w:vAlign w:val="bottom"/>
            <w:gridSpan w:val="23"/>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&amp; Restated Employment Agreement, dated as of September 1, 2022, by and among Burke &amp; Herbert Bank &amp; Trust, and Roy E.</w:t>
              </w:r>
            </w:hyperlink>
          </w:p>
        </w:tc>
      </w:tr>
      <w:tr>
        <w:trPr>
          <w:trHeight w:val="151"/>
        </w:trPr>
        <w:tc>
          <w:tcPr>
            <w:tcW w:w="1180" w:type="dxa"/>
            <w:vAlign w:val="bottom"/>
          </w:tcPr>
          <w:p>
            <w:pPr>
              <w:spacing w:after="0"/>
              <w:rPr>
                <w:sz w:val="13"/>
                <w:szCs w:val="13"/>
                <w:color w:val="auto"/>
              </w:rPr>
            </w:pPr>
          </w:p>
        </w:tc>
        <w:tc>
          <w:tcPr>
            <w:tcW w:w="9660" w:type="dxa"/>
            <w:vAlign w:val="bottom"/>
            <w:tcBorders>
              <w:top w:val="single" w:sz="8" w:color="0000FF"/>
            </w:tcBorders>
            <w:gridSpan w:val="21"/>
          </w:tcPr>
          <w:p>
            <w:pPr>
              <w:spacing w:after="0" w:line="151"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 xml:space="preserve">Halyama </w:t>
              </w:r>
              <w:r>
                <w:rPr>
                  <w:rFonts w:ascii="Times New Roman" w:cs="Times New Roman" w:eastAsia="Times New Roman" w:hAnsi="Times New Roman"/>
                  <w:sz w:val="16"/>
                  <w:szCs w:val="16"/>
                  <w:color w:val="000000"/>
                </w:rPr>
                <w:t>(incorporated by reference to Exhibit 10.6 to the Form 10 Registration Statement, filed February 28, 2023)</w:t>
              </w:r>
            </w:hyperlink>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33"/>
        </w:trPr>
        <w:tc>
          <w:tcPr>
            <w:tcW w:w="118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4"/>
        </w:trPr>
        <w:tc>
          <w:tcPr>
            <w:tcW w:w="1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10.6*†</w:t>
            </w:r>
          </w:p>
        </w:tc>
        <w:tc>
          <w:tcPr>
            <w:tcW w:w="1006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First Amendment to Employment Agreement, dated as of October 27, 2022, by and among Burke &amp; Herbert Bank &amp; Trust, and Roy E.</w:t>
              </w:r>
            </w:hyperlink>
          </w:p>
        </w:tc>
      </w:tr>
      <w:tr>
        <w:trPr>
          <w:trHeight w:val="151"/>
        </w:trPr>
        <w:tc>
          <w:tcPr>
            <w:tcW w:w="1180" w:type="dxa"/>
            <w:vAlign w:val="bottom"/>
            <w:tcBorders>
              <w:top w:val="single" w:sz="8" w:color="CCEEFF"/>
            </w:tcBorders>
            <w:shd w:val="clear" w:color="auto" w:fill="CCEEFF"/>
          </w:tcPr>
          <w:p>
            <w:pPr>
              <w:spacing w:after="0"/>
              <w:rPr>
                <w:sz w:val="13"/>
                <w:szCs w:val="13"/>
                <w:color w:val="auto"/>
              </w:rPr>
            </w:pPr>
          </w:p>
        </w:tc>
        <w:tc>
          <w:tcPr>
            <w:tcW w:w="9460" w:type="dxa"/>
            <w:vAlign w:val="bottom"/>
            <w:tcBorders>
              <w:top w:val="single" w:sz="8" w:color="0000FF"/>
            </w:tcBorders>
            <w:gridSpan w:val="17"/>
            <w:shd w:val="clear" w:color="auto" w:fill="CCEEFF"/>
          </w:tcPr>
          <w:p>
            <w:pPr>
              <w:spacing w:after="0" w:line="151"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 xml:space="preserve">Halyama </w:t>
              </w:r>
              <w:r>
                <w:rPr>
                  <w:rFonts w:ascii="Times New Roman" w:cs="Times New Roman" w:eastAsia="Times New Roman" w:hAnsi="Times New Roman"/>
                  <w:sz w:val="16"/>
                  <w:szCs w:val="16"/>
                  <w:color w:val="000000"/>
                </w:rPr>
                <w:t>(incorporated by reference to Exhibit 10.7 to the Form 10 Registration Statement, filed February 28, 2023)</w:t>
              </w:r>
            </w:hyperlink>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4"/>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10.7*†</w:t>
            </w:r>
          </w:p>
        </w:tc>
        <w:tc>
          <w:tcPr>
            <w:tcW w:w="10060" w:type="dxa"/>
            <w:vAlign w:val="bottom"/>
            <w:gridSpan w:val="23"/>
          </w:tcPr>
          <w:p>
            <w:pPr>
              <w:spacing w:after="0" w:line="184" w:lineRule="exact"/>
              <w:rPr>
                <w:rFonts w:ascii="Times New Roman" w:cs="Times New Roman" w:eastAsia="Times New Roman" w:hAnsi="Times New Roman"/>
                <w:sz w:val="18"/>
                <w:szCs w:val="18"/>
                <w:color w:val="0000FF"/>
                <w:w w:val="97"/>
              </w:rPr>
            </w:pPr>
            <w:hyperlink r:id="rId196">
              <w:r>
                <w:rPr>
                  <w:rFonts w:ascii="Times New Roman" w:cs="Times New Roman" w:eastAsia="Times New Roman" w:hAnsi="Times New Roman"/>
                  <w:sz w:val="18"/>
                  <w:szCs w:val="18"/>
                  <w:color w:val="0000FF"/>
                  <w:w w:val="97"/>
                </w:rPr>
                <w:t xml:space="preserve">Change in Control Agreement, dated as of June 16, 2014, by and among Burke &amp; Herbert Bank &amp; Trust and Jeffrey A. Welch </w:t>
              </w:r>
            </w:hyperlink>
            <w:r>
              <w:rPr>
                <w:rFonts w:ascii="Times New Roman" w:cs="Times New Roman" w:eastAsia="Times New Roman" w:hAnsi="Times New Roman"/>
                <w:sz w:val="18"/>
                <w:szCs w:val="18"/>
                <w:color w:val="000000"/>
                <w:w w:val="97"/>
              </w:rPr>
              <w:t>(incorporated</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by</w:t>
            </w:r>
          </w:p>
        </w:tc>
      </w:tr>
      <w:tr>
        <w:trPr>
          <w:trHeight w:val="203"/>
        </w:trPr>
        <w:tc>
          <w:tcPr>
            <w:tcW w:w="1180" w:type="dxa"/>
            <w:vAlign w:val="bottom"/>
          </w:tcPr>
          <w:p>
            <w:pPr>
              <w:spacing w:after="0"/>
              <w:rPr>
                <w:sz w:val="17"/>
                <w:szCs w:val="17"/>
                <w:color w:val="auto"/>
              </w:rPr>
            </w:pPr>
          </w:p>
        </w:tc>
        <w:tc>
          <w:tcPr>
            <w:tcW w:w="8800" w:type="dxa"/>
            <w:vAlign w:val="bottom"/>
            <w:tcBorders>
              <w:top w:val="single" w:sz="8" w:color="0000FF"/>
            </w:tcBorders>
            <w:gridSpan w:val="15"/>
          </w:tcPr>
          <w:p>
            <w:pPr>
              <w:spacing w:after="0" w:line="203" w:lineRule="exact"/>
              <w:rPr>
                <w:sz w:val="20"/>
                <w:szCs w:val="20"/>
                <w:color w:val="auto"/>
              </w:rPr>
            </w:pPr>
            <w:r>
              <w:rPr>
                <w:rFonts w:ascii="Times New Roman" w:cs="Times New Roman" w:eastAsia="Times New Roman" w:hAnsi="Times New Roman"/>
                <w:sz w:val="18"/>
                <w:szCs w:val="18"/>
                <w:color w:val="auto"/>
              </w:rPr>
              <w:t>reference to Exhibit 10.8 to the Form 10 Registration Statement, filed February 28, 2023)</w:t>
            </w:r>
          </w:p>
        </w:tc>
        <w:tc>
          <w:tcPr>
            <w:tcW w:w="1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r>
      <w:tr>
        <w:trPr>
          <w:trHeight w:val="184"/>
        </w:trPr>
        <w:tc>
          <w:tcPr>
            <w:tcW w:w="1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10.8*†</w:t>
            </w:r>
          </w:p>
        </w:tc>
        <w:tc>
          <w:tcPr>
            <w:tcW w:w="1006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w w:val="97"/>
              </w:rPr>
            </w:pPr>
            <w:hyperlink r:id="rId197">
              <w:r>
                <w:rPr>
                  <w:rFonts w:ascii="Times New Roman" w:cs="Times New Roman" w:eastAsia="Times New Roman" w:hAnsi="Times New Roman"/>
                  <w:sz w:val="18"/>
                  <w:szCs w:val="18"/>
                  <w:color w:val="0000FF"/>
                  <w:w w:val="97"/>
                </w:rPr>
                <w:t xml:space="preserve">Burke &amp; Herbert Bank &amp; Trust Supplemental Executive Retirement Plan, effective January 23, 2014 </w:t>
              </w:r>
            </w:hyperlink>
            <w:r>
              <w:rPr>
                <w:rFonts w:ascii="Times New Roman" w:cs="Times New Roman" w:eastAsia="Times New Roman" w:hAnsi="Times New Roman"/>
                <w:sz w:val="18"/>
                <w:szCs w:val="18"/>
                <w:color w:val="000000"/>
                <w:w w:val="97"/>
              </w:rPr>
              <w:t>(incorporated</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by reference to Exhibit 10.9</w:t>
            </w:r>
          </w:p>
        </w:tc>
      </w:tr>
      <w:tr>
        <w:trPr>
          <w:trHeight w:val="203"/>
        </w:trPr>
        <w:tc>
          <w:tcPr>
            <w:tcW w:w="1180" w:type="dxa"/>
            <w:vAlign w:val="bottom"/>
            <w:tcBorders>
              <w:top w:val="single" w:sz="8" w:color="CCEEFF"/>
            </w:tcBorders>
            <w:shd w:val="clear" w:color="auto" w:fill="CCEEFF"/>
          </w:tcPr>
          <w:p>
            <w:pPr>
              <w:spacing w:after="0"/>
              <w:rPr>
                <w:sz w:val="17"/>
                <w:szCs w:val="17"/>
                <w:color w:val="auto"/>
              </w:rPr>
            </w:pPr>
          </w:p>
        </w:tc>
        <w:tc>
          <w:tcPr>
            <w:tcW w:w="7040" w:type="dxa"/>
            <w:vAlign w:val="bottom"/>
            <w:tcBorders>
              <w:top w:val="single" w:sz="8" w:color="0000FF"/>
            </w:tcBorders>
            <w:gridSpan w:val="1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 the Form 10 Registration Statement, filed February 28, 2023)</w:t>
            </w:r>
          </w:p>
        </w:tc>
        <w:tc>
          <w:tcPr>
            <w:tcW w:w="188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184"/>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10.9*†</w:t>
            </w:r>
          </w:p>
        </w:tc>
        <w:tc>
          <w:tcPr>
            <w:tcW w:w="10060" w:type="dxa"/>
            <w:vAlign w:val="bottom"/>
            <w:gridSpan w:val="23"/>
          </w:tcPr>
          <w:p>
            <w:pPr>
              <w:spacing w:after="0" w:line="184"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 xml:space="preserve">Burke &amp; Herbert Financial Services Corp. 2023 Employee Stock Purchase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99.1 to the Form S-8,</w:t>
            </w:r>
          </w:p>
        </w:tc>
      </w:tr>
      <w:tr>
        <w:trPr>
          <w:trHeight w:val="203"/>
        </w:trPr>
        <w:tc>
          <w:tcPr>
            <w:tcW w:w="1180" w:type="dxa"/>
            <w:vAlign w:val="bottom"/>
          </w:tcPr>
          <w:p>
            <w:pPr>
              <w:spacing w:after="0"/>
              <w:rPr>
                <w:sz w:val="17"/>
                <w:szCs w:val="17"/>
                <w:color w:val="auto"/>
              </w:rPr>
            </w:pPr>
          </w:p>
        </w:tc>
        <w:tc>
          <w:tcPr>
            <w:tcW w:w="5580" w:type="dxa"/>
            <w:vAlign w:val="bottom"/>
            <w:tcBorders>
              <w:top w:val="single" w:sz="8" w:color="0000FF"/>
            </w:tcBorders>
            <w:gridSpan w:val="11"/>
          </w:tcPr>
          <w:p>
            <w:pPr>
              <w:spacing w:after="0" w:line="203" w:lineRule="exact"/>
              <w:rPr>
                <w:sz w:val="20"/>
                <w:szCs w:val="20"/>
                <w:color w:val="auto"/>
              </w:rPr>
            </w:pPr>
            <w:r>
              <w:rPr>
                <w:rFonts w:ascii="Times New Roman" w:cs="Times New Roman" w:eastAsia="Times New Roman" w:hAnsi="Times New Roman"/>
                <w:sz w:val="18"/>
                <w:szCs w:val="18"/>
                <w:color w:val="auto"/>
              </w:rPr>
              <w:t>filed on May 26, 2023)</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gridSpan w:val="3"/>
          </w:tcPr>
          <w:p>
            <w:pPr>
              <w:spacing w:after="0"/>
              <w:rPr>
                <w:sz w:val="17"/>
                <w:szCs w:val="17"/>
                <w:color w:val="auto"/>
              </w:rPr>
            </w:pPr>
          </w:p>
        </w:tc>
        <w:tc>
          <w:tcPr>
            <w:tcW w:w="6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r>
      <w:tr>
        <w:trPr>
          <w:trHeight w:val="184"/>
        </w:trPr>
        <w:tc>
          <w:tcPr>
            <w:tcW w:w="1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10.10*†</w:t>
            </w:r>
          </w:p>
        </w:tc>
        <w:tc>
          <w:tcPr>
            <w:tcW w:w="1006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w w:val="97"/>
              </w:rPr>
            </w:pPr>
            <w:hyperlink r:id="rId199">
              <w:r>
                <w:rPr>
                  <w:rFonts w:ascii="Times New Roman" w:cs="Times New Roman" w:eastAsia="Times New Roman" w:hAnsi="Times New Roman"/>
                  <w:sz w:val="18"/>
                  <w:szCs w:val="18"/>
                  <w:color w:val="0000FF"/>
                  <w:w w:val="97"/>
                </w:rPr>
                <w:t xml:space="preserve">Burke &amp; Herbert Financial Services Corp. 2023 Stock Incentive Plan </w:t>
              </w:r>
            </w:hyperlink>
            <w:r>
              <w:rPr>
                <w:rFonts w:ascii="Times New Roman" w:cs="Times New Roman" w:eastAsia="Times New Roman" w:hAnsi="Times New Roman"/>
                <w:sz w:val="18"/>
                <w:szCs w:val="18"/>
                <w:color w:val="000000"/>
                <w:w w:val="97"/>
              </w:rPr>
              <w:t>(incorporated</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by reference to Exhibit 99.2 to the Form S-8, filed on May</w:t>
            </w:r>
          </w:p>
        </w:tc>
      </w:tr>
      <w:tr>
        <w:trPr>
          <w:trHeight w:val="203"/>
        </w:trPr>
        <w:tc>
          <w:tcPr>
            <w:tcW w:w="1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0000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26, 2023)</w:t>
            </w:r>
          </w:p>
        </w:tc>
        <w:tc>
          <w:tcPr>
            <w:tcW w:w="660" w:type="dxa"/>
            <w:vAlign w:val="bottom"/>
            <w:tcBorders>
              <w:top w:val="single" w:sz="8" w:color="0000FF"/>
            </w:tcBorders>
            <w:shd w:val="clear" w:color="auto" w:fill="CCEEFF"/>
          </w:tcPr>
          <w:p>
            <w:pPr>
              <w:spacing w:after="0"/>
              <w:rPr>
                <w:sz w:val="17"/>
                <w:szCs w:val="17"/>
                <w:color w:val="auto"/>
              </w:rPr>
            </w:pPr>
          </w:p>
        </w:tc>
        <w:tc>
          <w:tcPr>
            <w:tcW w:w="1340" w:type="dxa"/>
            <w:vAlign w:val="bottom"/>
            <w:tcBorders>
              <w:top w:val="single" w:sz="8" w:color="0000FF"/>
            </w:tcBorders>
            <w:shd w:val="clear" w:color="auto" w:fill="CCEEFF"/>
          </w:tcPr>
          <w:p>
            <w:pPr>
              <w:spacing w:after="0"/>
              <w:rPr>
                <w:sz w:val="17"/>
                <w:szCs w:val="17"/>
                <w:color w:val="auto"/>
              </w:rPr>
            </w:pPr>
          </w:p>
        </w:tc>
        <w:tc>
          <w:tcPr>
            <w:tcW w:w="1080" w:type="dxa"/>
            <w:vAlign w:val="bottom"/>
            <w:tcBorders>
              <w:top w:val="single" w:sz="8" w:color="0000FF"/>
              <w:right w:val="single" w:sz="8" w:color="CCEE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184"/>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10.11*†</w:t>
            </w:r>
          </w:p>
        </w:tc>
        <w:tc>
          <w:tcPr>
            <w:tcW w:w="10060" w:type="dxa"/>
            <w:vAlign w:val="bottom"/>
            <w:gridSpan w:val="23"/>
          </w:tcPr>
          <w:p>
            <w:pPr>
              <w:spacing w:after="0" w:line="184"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Employment Agreement, dated as of August 24, 2023, by and between Burke &amp; Herbert Bank &amp; Trust Company and H. Charles Maddy, III</w:t>
              </w:r>
            </w:hyperlink>
          </w:p>
        </w:tc>
      </w:tr>
      <w:tr>
        <w:trPr>
          <w:trHeight w:val="203"/>
        </w:trPr>
        <w:tc>
          <w:tcPr>
            <w:tcW w:w="1180" w:type="dxa"/>
            <w:vAlign w:val="bottom"/>
          </w:tcPr>
          <w:p>
            <w:pPr>
              <w:spacing w:after="0"/>
              <w:rPr>
                <w:sz w:val="17"/>
                <w:szCs w:val="17"/>
                <w:color w:val="auto"/>
              </w:rPr>
            </w:pPr>
          </w:p>
        </w:tc>
        <w:tc>
          <w:tcPr>
            <w:tcW w:w="9800" w:type="dxa"/>
            <w:vAlign w:val="bottom"/>
            <w:tcBorders>
              <w:top w:val="single" w:sz="8" w:color="0000FF"/>
            </w:tcBorders>
            <w:gridSpan w:val="22"/>
          </w:tcPr>
          <w:p>
            <w:pPr>
              <w:spacing w:after="0" w:line="203" w:lineRule="exact"/>
              <w:rPr>
                <w:sz w:val="20"/>
                <w:szCs w:val="20"/>
                <w:color w:val="auto"/>
              </w:rPr>
            </w:pPr>
            <w:r>
              <w:rPr>
                <w:rFonts w:ascii="Times New Roman" w:cs="Times New Roman" w:eastAsia="Times New Roman" w:hAnsi="Times New Roman"/>
                <w:sz w:val="18"/>
                <w:szCs w:val="18"/>
                <w:color w:val="auto"/>
              </w:rPr>
              <w:t>(incorporated by reference to Exhibit 10.1 to the Form 8-K filed on May 3, 2024)</w:t>
            </w:r>
          </w:p>
        </w:tc>
        <w:tc>
          <w:tcPr>
            <w:tcW w:w="260" w:type="dxa"/>
            <w:vAlign w:val="bottom"/>
          </w:tcPr>
          <w:p>
            <w:pPr>
              <w:spacing w:after="0"/>
              <w:rPr>
                <w:sz w:val="17"/>
                <w:szCs w:val="17"/>
                <w:color w:val="auto"/>
              </w:rPr>
            </w:pPr>
          </w:p>
        </w:tc>
      </w:tr>
      <w:tr>
        <w:trPr>
          <w:trHeight w:val="184"/>
        </w:trPr>
        <w:tc>
          <w:tcPr>
            <w:tcW w:w="1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10.12*†</w:t>
            </w:r>
          </w:p>
        </w:tc>
        <w:tc>
          <w:tcPr>
            <w:tcW w:w="1006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 xml:space="preserve">Burke &amp; Herbert Bank 2024-2025 Merger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10.4 to the Form 8-K filed on May 3, 2024)</w:t>
            </w:r>
          </w:p>
        </w:tc>
      </w:tr>
      <w:tr>
        <w:trPr>
          <w:trHeight w:val="39"/>
        </w:trPr>
        <w:tc>
          <w:tcPr>
            <w:tcW w:w="11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080" w:type="dxa"/>
            <w:vAlign w:val="bottom"/>
            <w:tcBorders>
              <w:right w:val="single" w:sz="8" w:color="CCEEFF"/>
            </w:tcBorders>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r>
      <w:tr>
        <w:trPr>
          <w:trHeight w:val="184"/>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10.13*†</w:t>
            </w:r>
          </w:p>
        </w:tc>
        <w:tc>
          <w:tcPr>
            <w:tcW w:w="10060" w:type="dxa"/>
            <w:vAlign w:val="bottom"/>
            <w:gridSpan w:val="23"/>
          </w:tcPr>
          <w:p>
            <w:pPr>
              <w:spacing w:after="0" w:line="184" w:lineRule="exact"/>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 xml:space="preserve">Burke &amp; Herbert Bank 2024-2025 Merger Incentive Plan Form of Performance-Based Restricted Stock Unit Award Agreement </w:t>
              </w:r>
            </w:hyperlink>
            <w:r>
              <w:rPr>
                <w:rFonts w:ascii="Times New Roman" w:cs="Times New Roman" w:eastAsia="Times New Roman" w:hAnsi="Times New Roman"/>
                <w:sz w:val="18"/>
                <w:szCs w:val="18"/>
                <w:color w:val="000000"/>
                <w:w w:val="98"/>
              </w:rPr>
              <w:t>(incorporated</w:t>
            </w:r>
          </w:p>
        </w:tc>
      </w:tr>
      <w:tr>
        <w:trPr>
          <w:trHeight w:val="203"/>
        </w:trPr>
        <w:tc>
          <w:tcPr>
            <w:tcW w:w="1180" w:type="dxa"/>
            <w:vAlign w:val="bottom"/>
          </w:tcPr>
          <w:p>
            <w:pPr>
              <w:spacing w:after="0"/>
              <w:rPr>
                <w:sz w:val="17"/>
                <w:szCs w:val="17"/>
                <w:color w:val="auto"/>
              </w:rPr>
            </w:pPr>
          </w:p>
        </w:tc>
        <w:tc>
          <w:tcPr>
            <w:tcW w:w="8920" w:type="dxa"/>
            <w:vAlign w:val="bottom"/>
            <w:tcBorders>
              <w:top w:val="single" w:sz="8" w:color="0000FF"/>
            </w:tcBorders>
            <w:gridSpan w:val="16"/>
          </w:tcPr>
          <w:p>
            <w:pPr>
              <w:spacing w:after="0" w:line="203" w:lineRule="exact"/>
              <w:rPr>
                <w:sz w:val="20"/>
                <w:szCs w:val="20"/>
                <w:color w:val="auto"/>
              </w:rPr>
            </w:pPr>
            <w:r>
              <w:rPr>
                <w:rFonts w:ascii="Times New Roman" w:cs="Times New Roman" w:eastAsia="Times New Roman" w:hAnsi="Times New Roman"/>
                <w:sz w:val="18"/>
                <w:szCs w:val="18"/>
                <w:color w:val="auto"/>
              </w:rPr>
              <w:t>by reference to Exhibit 10.5 to the Form 8-K filed on May 3, 2024 )</w:t>
            </w:r>
          </w:p>
        </w:tc>
        <w:tc>
          <w:tcPr>
            <w:tcW w:w="6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spacing w:after="0"/>
              <w:rPr>
                <w:sz w:val="17"/>
                <w:szCs w:val="17"/>
                <w:color w:val="auto"/>
              </w:rPr>
            </w:pPr>
          </w:p>
        </w:tc>
      </w:tr>
      <w:tr>
        <w:trPr>
          <w:trHeight w:val="184"/>
        </w:trPr>
        <w:tc>
          <w:tcPr>
            <w:tcW w:w="1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10.14#†</w:t>
            </w:r>
          </w:p>
        </w:tc>
        <w:tc>
          <w:tcPr>
            <w:tcW w:w="10060" w:type="dxa"/>
            <w:vAlign w:val="bottom"/>
            <w:gridSpan w:val="2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rPr>
              <w:t>Separation Agreement and Release of Claims, dated as of January 2, 2025, by and between Burke &amp; Herbert Bank &amp; Trust Company and</w:t>
            </w:r>
          </w:p>
        </w:tc>
      </w:tr>
      <w:tr>
        <w:trPr>
          <w:trHeight w:val="151"/>
        </w:trPr>
        <w:tc>
          <w:tcPr>
            <w:tcW w:w="118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20"/>
            <w:shd w:val="clear" w:color="auto" w:fill="CCEEFF"/>
          </w:tcPr>
          <w:p>
            <w:pPr>
              <w:spacing w:after="0" w:line="151" w:lineRule="exact"/>
              <w:rPr>
                <w:sz w:val="20"/>
                <w:szCs w:val="20"/>
                <w:color w:val="auto"/>
              </w:rPr>
            </w:pPr>
            <w:r>
              <w:rPr>
                <w:rFonts w:ascii="Times New Roman" w:cs="Times New Roman" w:eastAsia="Times New Roman" w:hAnsi="Times New Roman"/>
                <w:sz w:val="16"/>
                <w:szCs w:val="16"/>
                <w:color w:val="0000FF"/>
              </w:rPr>
              <w:t>Jeffrey Welch</w:t>
            </w:r>
          </w:p>
        </w:tc>
        <w:tc>
          <w:tcPr>
            <w:tcW w:w="440" w:type="dxa"/>
            <w:vAlign w:val="bottom"/>
            <w:tcBorders>
              <w:top w:val="single" w:sz="8" w:color="CCEEFF"/>
            </w:tcBorders>
            <w:gridSpan w:val="3"/>
            <w:shd w:val="clear" w:color="auto" w:fill="CCEEFF"/>
          </w:tcPr>
          <w:p>
            <w:pPr>
              <w:spacing w:after="0"/>
              <w:rPr>
                <w:sz w:val="13"/>
                <w:szCs w:val="13"/>
                <w:color w:val="auto"/>
              </w:rPr>
            </w:pPr>
          </w:p>
        </w:tc>
      </w:tr>
      <w:tr>
        <w:trPr>
          <w:trHeight w:val="33"/>
        </w:trPr>
        <w:tc>
          <w:tcPr>
            <w:tcW w:w="1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4"/>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10.15*†</w:t>
            </w:r>
          </w:p>
        </w:tc>
        <w:tc>
          <w:tcPr>
            <w:tcW w:w="10060" w:type="dxa"/>
            <w:vAlign w:val="bottom"/>
            <w:gridSpan w:val="23"/>
          </w:tcPr>
          <w:p>
            <w:pPr>
              <w:spacing w:after="0" w:line="184" w:lineRule="exact"/>
              <w:rPr>
                <w:rFonts w:ascii="Times New Roman" w:cs="Times New Roman" w:eastAsia="Times New Roman" w:hAnsi="Times New Roman"/>
                <w:sz w:val="18"/>
                <w:szCs w:val="18"/>
                <w:color w:val="0000FF"/>
                <w:w w:val="97"/>
              </w:rPr>
            </w:pPr>
            <w:hyperlink r:id="rId203">
              <w:r>
                <w:rPr>
                  <w:rFonts w:ascii="Times New Roman" w:cs="Times New Roman" w:eastAsia="Times New Roman" w:hAnsi="Times New Roman"/>
                  <w:sz w:val="18"/>
                  <w:szCs w:val="18"/>
                  <w:color w:val="0000FF"/>
                  <w:w w:val="97"/>
                </w:rPr>
                <w:t xml:space="preserve">Summit Financial Group, Inc. 2014 Long-Term Incentive Plan </w:t>
              </w:r>
            </w:hyperlink>
            <w:r>
              <w:rPr>
                <w:rFonts w:ascii="Times New Roman" w:cs="Times New Roman" w:eastAsia="Times New Roman" w:hAnsi="Times New Roman"/>
                <w:sz w:val="18"/>
                <w:szCs w:val="18"/>
                <w:color w:val="000000"/>
                <w:w w:val="97"/>
              </w:rPr>
              <w:t>(incorporated</w:t>
            </w:r>
            <w:r>
              <w:rPr>
                <w:rFonts w:ascii="Times New Roman" w:cs="Times New Roman" w:eastAsia="Times New Roman" w:hAnsi="Times New Roman"/>
                <w:sz w:val="18"/>
                <w:szCs w:val="18"/>
                <w:color w:val="0000FF"/>
                <w:w w:val="97"/>
              </w:rPr>
              <w:t xml:space="preserve"> </w:t>
            </w:r>
            <w:r>
              <w:rPr>
                <w:rFonts w:ascii="Times New Roman" w:cs="Times New Roman" w:eastAsia="Times New Roman" w:hAnsi="Times New Roman"/>
                <w:sz w:val="18"/>
                <w:szCs w:val="18"/>
                <w:color w:val="000000"/>
                <w:w w:val="97"/>
              </w:rPr>
              <w:t>by reference to Summit Financial Group, Inc.’s Form S-8 filed on</w:t>
            </w:r>
          </w:p>
        </w:tc>
      </w:tr>
      <w:tr>
        <w:trPr>
          <w:trHeight w:val="203"/>
        </w:trPr>
        <w:tc>
          <w:tcPr>
            <w:tcW w:w="1180" w:type="dxa"/>
            <w:vAlign w:val="bottom"/>
          </w:tcPr>
          <w:p>
            <w:pPr>
              <w:spacing w:after="0"/>
              <w:rPr>
                <w:sz w:val="17"/>
                <w:szCs w:val="17"/>
                <w:color w:val="auto"/>
              </w:rPr>
            </w:pPr>
          </w:p>
        </w:tc>
        <w:tc>
          <w:tcPr>
            <w:tcW w:w="4380" w:type="dxa"/>
            <w:vAlign w:val="bottom"/>
            <w:tcBorders>
              <w:top w:val="single" w:sz="8" w:color="0000FF"/>
            </w:tcBorders>
            <w:gridSpan w:val="6"/>
          </w:tcPr>
          <w:p>
            <w:pPr>
              <w:spacing w:after="0" w:line="203" w:lineRule="exact"/>
              <w:rPr>
                <w:sz w:val="20"/>
                <w:szCs w:val="20"/>
                <w:color w:val="auto"/>
              </w:rPr>
            </w:pPr>
            <w:r>
              <w:rPr>
                <w:rFonts w:ascii="Times New Roman" w:cs="Times New Roman" w:eastAsia="Times New Roman" w:hAnsi="Times New Roman"/>
                <w:sz w:val="18"/>
                <w:szCs w:val="18"/>
                <w:color w:val="auto"/>
              </w:rPr>
              <w:t>September 25, 2014 (File No. 333-198939))</w:t>
            </w:r>
          </w:p>
        </w:tc>
        <w:tc>
          <w:tcPr>
            <w:tcW w:w="1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5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4"/>
          </w:tcPr>
          <w:p>
            <w:pPr>
              <w:spacing w:after="0"/>
              <w:rPr>
                <w:sz w:val="17"/>
                <w:szCs w:val="17"/>
                <w:color w:val="auto"/>
              </w:rPr>
            </w:pPr>
          </w:p>
        </w:tc>
      </w:tr>
      <w:tr>
        <w:trPr>
          <w:trHeight w:val="184"/>
        </w:trPr>
        <w:tc>
          <w:tcPr>
            <w:tcW w:w="1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10.16*†</w:t>
            </w:r>
          </w:p>
        </w:tc>
        <w:tc>
          <w:tcPr>
            <w:tcW w:w="1006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 xml:space="preserve">Form of Summit </w:t>
              </w:r>
            </w:hyperlink>
            <w:r>
              <w:rPr>
                <w:rFonts w:ascii="Times New Roman" w:cs="Times New Roman" w:eastAsia="Times New Roman" w:hAnsi="Times New Roman"/>
                <w:sz w:val="18"/>
                <w:szCs w:val="18"/>
                <w:color w:val="0000FF"/>
              </w:rPr>
              <w:t xml:space="preserve">Financial </w:t>
            </w:r>
            <w:hyperlink r:id="rId204">
              <w:r>
                <w:rPr>
                  <w:rFonts w:ascii="Times New Roman" w:cs="Times New Roman" w:eastAsia="Times New Roman" w:hAnsi="Times New Roman"/>
                  <w:sz w:val="18"/>
                  <w:szCs w:val="18"/>
                  <w:color w:val="0000FF"/>
                </w:rPr>
                <w:t>Group, Inc. 2014 Long-Term Incentive Plan Stock Settled Stock Appreciation Rights Agreement 2015 Award</w:t>
              </w:r>
            </w:hyperlink>
          </w:p>
        </w:tc>
      </w:tr>
      <w:tr>
        <w:trPr>
          <w:trHeight w:val="203"/>
        </w:trPr>
        <w:tc>
          <w:tcPr>
            <w:tcW w:w="1180" w:type="dxa"/>
            <w:vAlign w:val="bottom"/>
            <w:tcBorders>
              <w:top w:val="single" w:sz="8" w:color="CCEEFF"/>
            </w:tcBorders>
            <w:shd w:val="clear" w:color="auto" w:fill="CCEEFF"/>
          </w:tcPr>
          <w:p>
            <w:pPr>
              <w:spacing w:after="0"/>
              <w:rPr>
                <w:sz w:val="17"/>
                <w:szCs w:val="17"/>
                <w:color w:val="auto"/>
              </w:rPr>
            </w:pPr>
          </w:p>
        </w:tc>
        <w:tc>
          <w:tcPr>
            <w:tcW w:w="9580" w:type="dxa"/>
            <w:vAlign w:val="bottom"/>
            <w:tcBorders>
              <w:top w:val="single" w:sz="8" w:color="0000FF"/>
            </w:tcBorders>
            <w:gridSpan w:val="18"/>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(incorporated by reference to Exhibit 10.1 to Summit Financial Group, Inc.’s Form 8-K filed April 29, 2015 (File No. 000-16587))</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gridSpan w:val="4"/>
            <w:shd w:val="clear" w:color="auto" w:fill="CCEEFF"/>
          </w:tcPr>
          <w:p>
            <w:pPr>
              <w:spacing w:after="0"/>
              <w:rPr>
                <w:sz w:val="17"/>
                <w:szCs w:val="17"/>
                <w:color w:val="auto"/>
              </w:rPr>
            </w:pPr>
          </w:p>
        </w:tc>
      </w:tr>
      <w:tr>
        <w:trPr>
          <w:trHeight w:val="184"/>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10.17*†</w:t>
            </w:r>
          </w:p>
        </w:tc>
        <w:tc>
          <w:tcPr>
            <w:tcW w:w="10060" w:type="dxa"/>
            <w:vAlign w:val="bottom"/>
            <w:gridSpan w:val="23"/>
          </w:tcPr>
          <w:p>
            <w:pPr>
              <w:spacing w:after="0" w:line="184"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Summit Financial Group, Inc. 2014 Long-Term Incentive Plan Stock Settled Stock Appreciation Rights Agreement 2017 Award</w:t>
              </w:r>
            </w:hyperlink>
          </w:p>
        </w:tc>
      </w:tr>
      <w:tr>
        <w:trPr>
          <w:trHeight w:val="203"/>
        </w:trPr>
        <w:tc>
          <w:tcPr>
            <w:tcW w:w="1180" w:type="dxa"/>
            <w:vAlign w:val="bottom"/>
          </w:tcPr>
          <w:p>
            <w:pPr>
              <w:spacing w:after="0"/>
              <w:rPr>
                <w:sz w:val="17"/>
                <w:szCs w:val="17"/>
                <w:color w:val="auto"/>
              </w:rPr>
            </w:pPr>
          </w:p>
        </w:tc>
        <w:tc>
          <w:tcPr>
            <w:tcW w:w="9580" w:type="dxa"/>
            <w:vAlign w:val="bottom"/>
            <w:tcBorders>
              <w:top w:val="single" w:sz="8" w:color="0000FF"/>
            </w:tcBorders>
            <w:gridSpan w:val="18"/>
          </w:tcPr>
          <w:p>
            <w:pPr>
              <w:spacing w:after="0" w:line="203" w:lineRule="exact"/>
              <w:rPr>
                <w:sz w:val="20"/>
                <w:szCs w:val="20"/>
                <w:color w:val="auto"/>
              </w:rPr>
            </w:pPr>
            <w:r>
              <w:rPr>
                <w:rFonts w:ascii="Times New Roman" w:cs="Times New Roman" w:eastAsia="Times New Roman" w:hAnsi="Times New Roman"/>
                <w:sz w:val="18"/>
                <w:szCs w:val="18"/>
                <w:color w:val="auto"/>
                <w:w w:val="99"/>
              </w:rPr>
              <w:t>(incorporated by reference to Exhibit 10.3 to Summit Financial Group, Inc.’s Form 8-K filed February 15, 2017(File No. 000-16587))</w:t>
            </w:r>
          </w:p>
        </w:tc>
        <w:tc>
          <w:tcPr>
            <w:tcW w:w="20" w:type="dxa"/>
            <w:vAlign w:val="bottom"/>
          </w:tcPr>
          <w:p>
            <w:pPr>
              <w:spacing w:after="0"/>
              <w:rPr>
                <w:sz w:val="17"/>
                <w:szCs w:val="17"/>
                <w:color w:val="auto"/>
              </w:rPr>
            </w:pPr>
          </w:p>
        </w:tc>
        <w:tc>
          <w:tcPr>
            <w:tcW w:w="460" w:type="dxa"/>
            <w:vAlign w:val="bottom"/>
            <w:gridSpan w:val="4"/>
          </w:tcPr>
          <w:p>
            <w:pPr>
              <w:spacing w:after="0"/>
              <w:rPr>
                <w:sz w:val="17"/>
                <w:szCs w:val="17"/>
                <w:color w:val="auto"/>
              </w:rPr>
            </w:pPr>
          </w:p>
        </w:tc>
      </w:tr>
      <w:tr>
        <w:trPr>
          <w:trHeight w:val="184"/>
        </w:trPr>
        <w:tc>
          <w:tcPr>
            <w:tcW w:w="1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10.18*†</w:t>
            </w:r>
          </w:p>
        </w:tc>
        <w:tc>
          <w:tcPr>
            <w:tcW w:w="10060" w:type="dxa"/>
            <w:vAlign w:val="bottom"/>
            <w:gridSpan w:val="23"/>
            <w:shd w:val="clear" w:color="auto" w:fill="CCEEFF"/>
          </w:tcPr>
          <w:p>
            <w:pPr>
              <w:spacing w:after="0" w:line="184"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Summit Financial Group, Inc. 2014 Long-Term Incentive Plan Stock Settled Stock Appreciation Rights Agreement 2019 Award</w:t>
              </w:r>
            </w:hyperlink>
          </w:p>
        </w:tc>
      </w:tr>
      <w:tr>
        <w:trPr>
          <w:trHeight w:val="203"/>
        </w:trPr>
        <w:tc>
          <w:tcPr>
            <w:tcW w:w="1180" w:type="dxa"/>
            <w:vAlign w:val="bottom"/>
            <w:tcBorders>
              <w:top w:val="single" w:sz="8" w:color="CCEEFF"/>
            </w:tcBorders>
            <w:shd w:val="clear" w:color="auto" w:fill="CCEEFF"/>
          </w:tcPr>
          <w:p>
            <w:pPr>
              <w:spacing w:after="0"/>
              <w:rPr>
                <w:sz w:val="17"/>
                <w:szCs w:val="17"/>
                <w:color w:val="auto"/>
              </w:rPr>
            </w:pPr>
          </w:p>
        </w:tc>
        <w:tc>
          <w:tcPr>
            <w:tcW w:w="9580" w:type="dxa"/>
            <w:vAlign w:val="bottom"/>
            <w:tcBorders>
              <w:top w:val="single" w:sz="8" w:color="0000FF"/>
            </w:tcBorders>
            <w:gridSpan w:val="18"/>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(incorporated by reference to Exhibit 10.3 to Summit Financial Group, Inc.’s Form 8-K filed February 7, 2019 (File No. 000-16587))</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gridSpan w:val="4"/>
            <w:shd w:val="clear" w:color="auto" w:fill="CCEEFF"/>
          </w:tcPr>
          <w:p>
            <w:pPr>
              <w:spacing w:after="0"/>
              <w:rPr>
                <w:sz w:val="17"/>
                <w:szCs w:val="17"/>
                <w:color w:val="auto"/>
              </w:rPr>
            </w:pPr>
          </w:p>
        </w:tc>
      </w:tr>
      <w:tr>
        <w:trPr>
          <w:trHeight w:val="184"/>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10.19*†</w:t>
            </w:r>
          </w:p>
        </w:tc>
        <w:tc>
          <w:tcPr>
            <w:tcW w:w="10060" w:type="dxa"/>
            <w:vAlign w:val="bottom"/>
            <w:gridSpan w:val="23"/>
          </w:tcPr>
          <w:p>
            <w:pPr>
              <w:spacing w:after="0" w:line="184"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 xml:space="preserve">Form of Summit Financial Group, Inc. 2014 Long-Term Incentive Plan Stock Settled Stock Appreciation Rights Agreement </w:t>
              </w:r>
            </w:hyperlink>
            <w:r>
              <w:rPr>
                <w:rFonts w:ascii="Times New Roman" w:cs="Times New Roman" w:eastAsia="Times New Roman" w:hAnsi="Times New Roman"/>
                <w:sz w:val="18"/>
                <w:szCs w:val="18"/>
                <w:color w:val="0000FF"/>
              </w:rPr>
              <w:t xml:space="preserve">2021 </w:t>
            </w:r>
            <w:hyperlink r:id="rId207">
              <w:r>
                <w:rPr>
                  <w:rFonts w:ascii="Times New Roman" w:cs="Times New Roman" w:eastAsia="Times New Roman" w:hAnsi="Times New Roman"/>
                  <w:sz w:val="18"/>
                  <w:szCs w:val="18"/>
                  <w:color w:val="0000FF"/>
                </w:rPr>
                <w:t>Award</w:t>
              </w:r>
            </w:hyperlink>
          </w:p>
        </w:tc>
      </w:tr>
      <w:tr>
        <w:trPr>
          <w:trHeight w:val="203"/>
        </w:trPr>
        <w:tc>
          <w:tcPr>
            <w:tcW w:w="1180" w:type="dxa"/>
            <w:vAlign w:val="bottom"/>
          </w:tcPr>
          <w:p>
            <w:pPr>
              <w:spacing w:after="0"/>
              <w:rPr>
                <w:sz w:val="17"/>
                <w:szCs w:val="17"/>
                <w:color w:val="auto"/>
              </w:rPr>
            </w:pPr>
          </w:p>
        </w:tc>
        <w:tc>
          <w:tcPr>
            <w:tcW w:w="9600" w:type="dxa"/>
            <w:vAlign w:val="bottom"/>
            <w:tcBorders>
              <w:top w:val="single" w:sz="8" w:color="0000FF"/>
            </w:tcBorders>
            <w:gridSpan w:val="19"/>
          </w:tcPr>
          <w:p>
            <w:pPr>
              <w:spacing w:after="0" w:line="203" w:lineRule="exact"/>
              <w:rPr>
                <w:sz w:val="20"/>
                <w:szCs w:val="20"/>
                <w:color w:val="auto"/>
              </w:rPr>
            </w:pPr>
            <w:r>
              <w:rPr>
                <w:rFonts w:ascii="Times New Roman" w:cs="Times New Roman" w:eastAsia="Times New Roman" w:hAnsi="Times New Roman"/>
                <w:sz w:val="18"/>
                <w:szCs w:val="18"/>
                <w:color w:val="auto"/>
              </w:rPr>
              <w:t>(incorporated by reference to Exhibit 10.2 to Summit Financial Group, Inc.’s Form 8-K filed July 21, 2021 (File No. 000-16587))</w:t>
            </w:r>
          </w:p>
        </w:tc>
        <w:tc>
          <w:tcPr>
            <w:tcW w:w="460" w:type="dxa"/>
            <w:vAlign w:val="bottom"/>
            <w:gridSpan w:val="4"/>
          </w:tcPr>
          <w:p>
            <w:pPr>
              <w:spacing w:after="0"/>
              <w:rPr>
                <w:sz w:val="17"/>
                <w:szCs w:val="17"/>
                <w:color w:val="auto"/>
              </w:rPr>
            </w:pPr>
          </w:p>
        </w:tc>
      </w:tr>
      <w:tr>
        <w:trPr>
          <w:trHeight w:val="203"/>
        </w:trPr>
        <w:tc>
          <w:tcPr>
            <w:tcW w:w="118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10.20†#</w:t>
            </w:r>
          </w:p>
        </w:tc>
        <w:tc>
          <w:tcPr>
            <w:tcW w:w="9600" w:type="dxa"/>
            <w:vAlign w:val="bottom"/>
            <w:tcBorders>
              <w:bottom w:val="single" w:sz="8" w:color="0000FF"/>
            </w:tcBorders>
            <w:gridSpan w:val="19"/>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w w:val="96"/>
              </w:rPr>
              <w:t>Form of Summit Financial Group, Inc. 2014 Long-Term Incentive Plan Stock Settled Stock Appreciation Rights Agreement 2023 Award</w:t>
            </w:r>
          </w:p>
        </w:tc>
        <w:tc>
          <w:tcPr>
            <w:tcW w:w="460" w:type="dxa"/>
            <w:vAlign w:val="bottom"/>
            <w:tcBorders>
              <w:bottom w:val="single" w:sz="8" w:color="CCEEFF"/>
            </w:tcBorders>
            <w:gridSpan w:val="4"/>
            <w:shd w:val="clear" w:color="auto" w:fill="CCEEFF"/>
          </w:tcPr>
          <w:p>
            <w:pPr>
              <w:spacing w:after="0"/>
              <w:rPr>
                <w:sz w:val="17"/>
                <w:szCs w:val="17"/>
                <w:color w:val="auto"/>
              </w:rPr>
            </w:pPr>
          </w:p>
        </w:tc>
      </w:tr>
      <w:tr>
        <w:trPr>
          <w:trHeight w:val="193"/>
        </w:trPr>
        <w:tc>
          <w:tcPr>
            <w:tcW w:w="1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19.1#</w:t>
            </w:r>
          </w:p>
        </w:tc>
        <w:tc>
          <w:tcPr>
            <w:tcW w:w="10060" w:type="dxa"/>
            <w:vAlign w:val="bottom"/>
            <w:gridSpan w:val="23"/>
          </w:tcPr>
          <w:p>
            <w:pPr>
              <w:spacing w:after="0" w:line="184" w:lineRule="exact"/>
              <w:rPr>
                <w:sz w:val="20"/>
                <w:szCs w:val="20"/>
                <w:color w:val="auto"/>
              </w:rPr>
            </w:pPr>
            <w:r>
              <w:rPr>
                <w:rFonts w:ascii="Times New Roman" w:cs="Times New Roman" w:eastAsia="Times New Roman" w:hAnsi="Times New Roman"/>
                <w:sz w:val="18"/>
                <w:szCs w:val="18"/>
                <w:color w:val="0000FF"/>
              </w:rPr>
              <w:t>Burke &amp; Herbert Financial Services Corp. Insider Trading Policy</w:t>
            </w:r>
          </w:p>
        </w:tc>
      </w:tr>
      <w:tr>
        <w:trPr>
          <w:trHeight w:val="213"/>
        </w:trPr>
        <w:tc>
          <w:tcPr>
            <w:tcW w:w="11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4560" w:type="dxa"/>
            <w:vAlign w:val="bottom"/>
            <w:tcBorders>
              <w:top w:val="single" w:sz="8" w:color="0000FF"/>
            </w:tcBorders>
            <w:gridSpan w:val="7"/>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Subsidiaries of Burke &amp; Herbert Financial Services Corp.</w:t>
            </w:r>
          </w:p>
        </w:tc>
        <w:tc>
          <w:tcPr>
            <w:tcW w:w="5500" w:type="dxa"/>
            <w:vAlign w:val="bottom"/>
            <w:gridSpan w:val="16"/>
            <w:shd w:val="clear" w:color="auto" w:fill="CCEEFF"/>
          </w:tcPr>
          <w:p>
            <w:pPr>
              <w:spacing w:after="0"/>
              <w:rPr>
                <w:sz w:val="18"/>
                <w:szCs w:val="18"/>
                <w:color w:val="auto"/>
              </w:rPr>
            </w:pPr>
          </w:p>
        </w:tc>
      </w:tr>
      <w:tr>
        <w:trPr>
          <w:trHeight w:val="184"/>
        </w:trPr>
        <w:tc>
          <w:tcPr>
            <w:tcW w:w="118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23.1#</w:t>
            </w:r>
          </w:p>
        </w:tc>
        <w:tc>
          <w:tcPr>
            <w:tcW w:w="4040" w:type="dxa"/>
            <w:vAlign w:val="bottom"/>
            <w:tcBorders>
              <w:top w:val="single" w:sz="8" w:color="0000FF"/>
            </w:tcBorders>
            <w:gridSpan w:val="5"/>
          </w:tcPr>
          <w:p>
            <w:pPr>
              <w:spacing w:after="0" w:line="184" w:lineRule="exact"/>
              <w:rPr>
                <w:sz w:val="20"/>
                <w:szCs w:val="20"/>
                <w:color w:val="auto"/>
              </w:rPr>
            </w:pPr>
            <w:r>
              <w:rPr>
                <w:rFonts w:ascii="Times New Roman" w:cs="Times New Roman" w:eastAsia="Times New Roman" w:hAnsi="Times New Roman"/>
                <w:sz w:val="18"/>
                <w:szCs w:val="18"/>
                <w:color w:val="0000FF"/>
              </w:rPr>
              <w:t>Consent of Crowe LLP</w:t>
            </w:r>
          </w:p>
        </w:tc>
        <w:tc>
          <w:tcPr>
            <w:tcW w:w="6020" w:type="dxa"/>
            <w:vAlign w:val="bottom"/>
            <w:tcBorders>
              <w:top w:val="single" w:sz="8" w:color="CCEEFF"/>
            </w:tcBorders>
            <w:gridSpan w:val="18"/>
          </w:tcPr>
          <w:p>
            <w:pPr>
              <w:spacing w:after="0"/>
              <w:rPr>
                <w:sz w:val="15"/>
                <w:szCs w:val="15"/>
                <w:color w:val="auto"/>
              </w:rPr>
            </w:pPr>
          </w:p>
        </w:tc>
      </w:tr>
      <w:tr>
        <w:trPr>
          <w:trHeight w:val="30"/>
        </w:trPr>
        <w:tc>
          <w:tcPr>
            <w:tcW w:w="11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3"/>
        </w:trPr>
        <w:tc>
          <w:tcPr>
            <w:tcW w:w="11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0060" w:type="dxa"/>
            <w:vAlign w:val="bottom"/>
            <w:gridSpan w:val="2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Rule 13a-14(a)/15d-14(a) Certification of the Principal Executive Officer of Registrant</w:t>
            </w:r>
          </w:p>
        </w:tc>
      </w:tr>
      <w:tr>
        <w:trPr>
          <w:trHeight w:val="193"/>
        </w:trPr>
        <w:tc>
          <w:tcPr>
            <w:tcW w:w="118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31.2#</w:t>
            </w:r>
          </w:p>
        </w:tc>
        <w:tc>
          <w:tcPr>
            <w:tcW w:w="6040" w:type="dxa"/>
            <w:vAlign w:val="bottom"/>
            <w:tcBorders>
              <w:top w:val="single" w:sz="8" w:color="0000FF"/>
              <w:bottom w:val="single" w:sz="8" w:color="0000FF"/>
            </w:tcBorders>
            <w:gridSpan w:val="12"/>
          </w:tcPr>
          <w:p>
            <w:pPr>
              <w:spacing w:after="0" w:line="184" w:lineRule="exact"/>
              <w:rPr>
                <w:sz w:val="20"/>
                <w:szCs w:val="20"/>
                <w:color w:val="auto"/>
              </w:rPr>
            </w:pPr>
            <w:r>
              <w:rPr>
                <w:rFonts w:ascii="Times New Roman" w:cs="Times New Roman" w:eastAsia="Times New Roman" w:hAnsi="Times New Roman"/>
                <w:sz w:val="18"/>
                <w:szCs w:val="18"/>
                <w:color w:val="0000FF"/>
                <w:w w:val="96"/>
              </w:rPr>
              <w:t>Rule 13a-14(a)/15d-14(a) Certification of the Principal Financial Officer of Registrant</w:t>
            </w:r>
          </w:p>
        </w:tc>
        <w:tc>
          <w:tcPr>
            <w:tcW w:w="40" w:type="dxa"/>
            <w:vAlign w:val="bottom"/>
            <w:tcBorders>
              <w:top w:val="single" w:sz="8" w:color="0000FF"/>
            </w:tcBorders>
          </w:tcPr>
          <w:p>
            <w:pPr>
              <w:spacing w:after="0"/>
              <w:rPr>
                <w:sz w:val="16"/>
                <w:szCs w:val="16"/>
                <w:color w:val="auto"/>
              </w:rPr>
            </w:pPr>
          </w:p>
        </w:tc>
        <w:tc>
          <w:tcPr>
            <w:tcW w:w="3980" w:type="dxa"/>
            <w:vAlign w:val="bottom"/>
            <w:tcBorders>
              <w:top w:val="single" w:sz="8" w:color="CCEEFF"/>
            </w:tcBorders>
            <w:gridSpan w:val="10"/>
          </w:tcPr>
          <w:p>
            <w:pPr>
              <w:spacing w:after="0"/>
              <w:rPr>
                <w:sz w:val="16"/>
                <w:szCs w:val="16"/>
                <w:color w:val="auto"/>
              </w:rPr>
            </w:pPr>
          </w:p>
        </w:tc>
      </w:tr>
      <w:tr>
        <w:trPr>
          <w:trHeight w:val="213"/>
        </w:trPr>
        <w:tc>
          <w:tcPr>
            <w:tcW w:w="11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2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Section 1350 Certification of the Principal Executive Officer of Registrant</w:t>
            </w:r>
          </w:p>
        </w:tc>
      </w:tr>
      <w:tr>
        <w:trPr>
          <w:trHeight w:val="193"/>
        </w:trPr>
        <w:tc>
          <w:tcPr>
            <w:tcW w:w="118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32.2#</w:t>
            </w:r>
          </w:p>
        </w:tc>
        <w:tc>
          <w:tcPr>
            <w:tcW w:w="5160" w:type="dxa"/>
            <w:vAlign w:val="bottom"/>
            <w:tcBorders>
              <w:top w:val="single" w:sz="8" w:color="0000FF"/>
              <w:bottom w:val="single" w:sz="8" w:color="0000FF"/>
            </w:tcBorders>
            <w:gridSpan w:val="9"/>
          </w:tcPr>
          <w:p>
            <w:pPr>
              <w:spacing w:after="0" w:line="184" w:lineRule="exact"/>
              <w:rPr>
                <w:sz w:val="20"/>
                <w:szCs w:val="20"/>
                <w:color w:val="auto"/>
              </w:rPr>
            </w:pPr>
            <w:r>
              <w:rPr>
                <w:rFonts w:ascii="Times New Roman" w:cs="Times New Roman" w:eastAsia="Times New Roman" w:hAnsi="Times New Roman"/>
                <w:sz w:val="18"/>
                <w:szCs w:val="18"/>
                <w:color w:val="0000FF"/>
                <w:w w:val="96"/>
              </w:rPr>
              <w:t>Section 1350 Certification of the Principal Financial Officer of Registrant</w:t>
            </w:r>
          </w:p>
        </w:tc>
        <w:tc>
          <w:tcPr>
            <w:tcW w:w="40" w:type="dxa"/>
            <w:vAlign w:val="bottom"/>
            <w:tcBorders>
              <w:top w:val="single" w:sz="8" w:color="0000FF"/>
            </w:tcBorders>
          </w:tcPr>
          <w:p>
            <w:pPr>
              <w:spacing w:after="0"/>
              <w:rPr>
                <w:sz w:val="16"/>
                <w:szCs w:val="16"/>
                <w:color w:val="auto"/>
              </w:rPr>
            </w:pPr>
          </w:p>
        </w:tc>
        <w:tc>
          <w:tcPr>
            <w:tcW w:w="4860" w:type="dxa"/>
            <w:vAlign w:val="bottom"/>
            <w:tcBorders>
              <w:top w:val="single" w:sz="8" w:color="CCEEFF"/>
            </w:tcBorders>
            <w:gridSpan w:val="13"/>
          </w:tcPr>
          <w:p>
            <w:pPr>
              <w:spacing w:after="0"/>
              <w:rPr>
                <w:sz w:val="16"/>
                <w:szCs w:val="16"/>
                <w:color w:val="auto"/>
              </w:rPr>
            </w:pPr>
          </w:p>
        </w:tc>
      </w:tr>
      <w:tr>
        <w:trPr>
          <w:trHeight w:val="193"/>
        </w:trPr>
        <w:tc>
          <w:tcPr>
            <w:tcW w:w="11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97.1*</w:t>
            </w:r>
          </w:p>
        </w:tc>
        <w:tc>
          <w:tcPr>
            <w:tcW w:w="10060" w:type="dxa"/>
            <w:vAlign w:val="bottom"/>
            <w:gridSpan w:val="23"/>
            <w:shd w:val="clear" w:color="auto" w:fill="CCEEFF"/>
          </w:tcPr>
          <w:p>
            <w:pPr>
              <w:spacing w:after="0" w:line="194"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 xml:space="preserve">Executive Compensation Recovery Policy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97.1 to the Form 10-K filed on March 22, 2024)</w:t>
            </w:r>
          </w:p>
        </w:tc>
      </w:tr>
      <w:tr>
        <w:trPr>
          <w:trHeight w:val="39"/>
        </w:trPr>
        <w:tc>
          <w:tcPr>
            <w:tcW w:w="118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08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80" w:right="120" w:hanging="1158"/>
        <w:spacing w:after="0" w:line="218"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Annual Report on Form 10-K Report for the year ended December 31, 2024, formatted in Inline XBRL: (i) the Consolidated Balance Sheets, (ii) the Consolidated Statements of Income, (iii) the Consolidated Statements of Comprehensive Income (Loss), (iv) the Consolidated Statements of Changes in Shareholders’ Equity, (v) the Consolidated Statements of Cash Flows, and (vi) the Notes to Consolidated Financial Statements.</w:t>
      </w:r>
    </w:p>
    <w:p>
      <w:pPr>
        <w:spacing w:after="0" w:line="1" w:lineRule="exact"/>
        <w:rPr>
          <w:sz w:val="20"/>
          <w:szCs w:val="20"/>
          <w:color w:val="auto"/>
        </w:rPr>
      </w:pPr>
    </w:p>
    <w:p>
      <w:pPr>
        <w:ind w:left="1180" w:right="160" w:hanging="1158"/>
        <w:spacing w:after="0" w:line="228"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registrant’s Annual Report on Form 10-K for the year ended December 31, 2024, formatted in Inline XBRL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36130" cy="2584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36130" cy="25844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0"/>
          <w:szCs w:val="20"/>
          <w:color w:val="auto"/>
        </w:rPr>
      </w:pPr>
    </w:p>
    <w:p>
      <w:pPr>
        <w:ind w:left="320" w:hanging="315"/>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6" w:lineRule="exact"/>
        <w:rPr>
          <w:sz w:val="20"/>
          <w:szCs w:val="20"/>
          <w:color w:val="auto"/>
        </w:rPr>
      </w:pPr>
    </w:p>
    <w:p>
      <w:pPr>
        <w:ind w:left="240" w:hanging="235"/>
        <w:spacing w:after="0"/>
        <w:tabs>
          <w:tab w:leader="none" w:pos="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34" w:lineRule="exact"/>
        <w:rPr>
          <w:sz w:val="20"/>
          <w:szCs w:val="20"/>
          <w:color w:val="auto"/>
        </w:rPr>
      </w:pPr>
    </w:p>
    <w:p>
      <w:pPr>
        <w:jc w:val="both"/>
        <w:ind w:left="320" w:hanging="315"/>
        <w:spacing w:after="0" w:line="260" w:lineRule="auto"/>
        <w:tabs>
          <w:tab w:leader="none" w:pos="31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All other schedules for which provision is made in the applicable accounting regulation of the Securities and Exchange Commission are not required under the related instructions or are inapplicable or pertain to items as to which the required disclosures have been made elsewhere in the financial statements and notes thereto,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167640</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March 17, 2025</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281" w:lineRule="exact"/>
        <w:rPr>
          <w:sz w:val="20"/>
          <w:szCs w:val="20"/>
          <w:color w:val="auto"/>
        </w:rPr>
      </w:pPr>
    </w:p>
    <w:tbl>
      <w:tblPr>
        <w:tblLayout w:type="fixed"/>
        <w:tblInd w:w="566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pacing w:after="0" w:line="232" w:lineRule="exact"/>
        <w:rPr>
          <w:sz w:val="20"/>
          <w:szCs w:val="20"/>
          <w:color w:val="auto"/>
        </w:rPr>
      </w:pPr>
    </w:p>
    <w:p>
      <w:pPr>
        <w:jc w:val="both"/>
        <w:ind w:firstLine="630"/>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17, 2025.</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176"/>
        </w:trPr>
        <w:tc>
          <w:tcPr>
            <w:tcW w:w="76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Chairman of the Board and Chief Executive Officer (Principal</w:t>
            </w: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Roy E. Halyama</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E. Halyama</w:t>
            </w:r>
          </w:p>
        </w:tc>
      </w:tr>
      <w:tr>
        <w:trPr>
          <w:trHeight w:val="176"/>
        </w:trPr>
        <w:tc>
          <w:tcPr>
            <w:tcW w:w="76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Kirtan Parikh</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Kirtan Parikh</w:t>
            </w:r>
          </w:p>
        </w:tc>
      </w:tr>
      <w:tr>
        <w:trPr>
          <w:trHeight w:val="176"/>
        </w:trPr>
        <w:tc>
          <w:tcPr>
            <w:tcW w:w="76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Vice President and Interim Chief Accounting Officer</w:t>
            </w: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Charles Maddy, III</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Charles Maddy, III</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G. Anderson</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G. Anderson</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Julian F. Barnwell, Jr.</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Julian F. Barnwell, Jr.</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Oscar M. Bean</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Oscar M. Bean</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182245</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D. Bonnafé</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D. Bonnafé</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M. Burke</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 Burke</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P. Geary, II</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P. Geary, II</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Georgette R. George</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Georgette R. George</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L. Hinkle</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L. Hinkle</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 Laing Hinson</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Laing Hinson</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A. Kitzmiller</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A. Kitzmiller</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Shawn P. McLaughlin</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Shawn P. McLaughlin</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S. Piccirillo</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S. Piccirillo</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 D. Riojas</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D. Riojas</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7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Jill S. Upson</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S. Upson</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139"/>
          </w:cols>
          <w:pgMar w:left="320" w:top="121" w:right="1440"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82828"/>
        </w:rPr>
        <w:t>SEPARATION AGREEMENT AND RELEASE OF CLAIMS</w:t>
      </w:r>
    </w:p>
    <w:p>
      <w:pPr>
        <w:spacing w:after="0" w:line="260" w:lineRule="exact"/>
        <w:rPr>
          <w:sz w:val="20"/>
          <w:szCs w:val="20"/>
          <w:color w:val="auto"/>
        </w:rPr>
      </w:pPr>
    </w:p>
    <w:p>
      <w:pPr>
        <w:jc w:val="both"/>
        <w:ind w:left="21" w:firstLine="562"/>
        <w:spacing w:after="0" w:line="263" w:lineRule="auto"/>
        <w:rPr>
          <w:sz w:val="20"/>
          <w:szCs w:val="20"/>
          <w:color w:val="auto"/>
        </w:rPr>
      </w:pPr>
      <w:r>
        <w:rPr>
          <w:rFonts w:ascii="Times New Roman" w:cs="Times New Roman" w:eastAsia="Times New Roman" w:hAnsi="Times New Roman"/>
          <w:sz w:val="19"/>
          <w:szCs w:val="19"/>
          <w:color w:val="282828"/>
        </w:rPr>
        <w:t xml:space="preserve">This Separation Agreement and Release of Claims (“Agreement”) is made by and between Jeffrey Welch (“Employee”), an individual, and Burke &amp; Herbert Bank &amp; Trust Company (“B&amp;H” or the “Bank”), a bank conducting business in the Commonwealth of Virginia. Employee and B&amp;H may be referred to hereinafter individually as a “Party” and collectively as the </w:t>
      </w:r>
      <w:r>
        <w:rPr>
          <w:rFonts w:ascii="Times New Roman" w:cs="Times New Roman" w:eastAsia="Times New Roman" w:hAnsi="Times New Roman"/>
          <w:sz w:val="19"/>
          <w:szCs w:val="19"/>
          <w:color w:val="3D3D3D"/>
        </w:rPr>
        <w:t>“Parties”.</w:t>
      </w:r>
    </w:p>
    <w:p>
      <w:pPr>
        <w:spacing w:after="0" w:line="266" w:lineRule="exact"/>
        <w:rPr>
          <w:sz w:val="20"/>
          <w:szCs w:val="20"/>
          <w:color w:val="auto"/>
        </w:rPr>
      </w:pPr>
    </w:p>
    <w:p>
      <w:pPr>
        <w:ind w:left="661"/>
        <w:spacing w:after="0"/>
        <w:rPr>
          <w:sz w:val="20"/>
          <w:szCs w:val="20"/>
          <w:color w:val="auto"/>
        </w:rPr>
      </w:pPr>
      <w:r>
        <w:rPr>
          <w:rFonts w:ascii="Times New Roman" w:cs="Times New Roman" w:eastAsia="Times New Roman" w:hAnsi="Times New Roman"/>
          <w:sz w:val="19"/>
          <w:szCs w:val="19"/>
          <w:color w:val="282828"/>
        </w:rPr>
        <w:t>WHEREAS, Employee is employed with B&amp;H as its Chief Credit Officer (“CCO”) on an at-will</w:t>
      </w:r>
    </w:p>
    <w:p>
      <w:pPr>
        <w:spacing w:after="0" w:line="33"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9"/>
          <w:szCs w:val="19"/>
          <w:color w:val="282828"/>
        </w:rPr>
        <w:t>basis;</w:t>
      </w:r>
    </w:p>
    <w:p>
      <w:pPr>
        <w:spacing w:after="0" w:line="318" w:lineRule="exact"/>
        <w:rPr>
          <w:sz w:val="20"/>
          <w:szCs w:val="20"/>
          <w:color w:val="auto"/>
        </w:rPr>
      </w:pPr>
    </w:p>
    <w:p>
      <w:pPr>
        <w:jc w:val="both"/>
        <w:ind w:left="21" w:right="20" w:firstLine="634"/>
        <w:spacing w:after="0" w:line="270" w:lineRule="auto"/>
        <w:rPr>
          <w:sz w:val="20"/>
          <w:szCs w:val="20"/>
          <w:color w:val="auto"/>
        </w:rPr>
      </w:pPr>
      <w:r>
        <w:rPr>
          <w:rFonts w:ascii="Times New Roman" w:cs="Times New Roman" w:eastAsia="Times New Roman" w:hAnsi="Times New Roman"/>
          <w:sz w:val="19"/>
          <w:szCs w:val="19"/>
          <w:color w:val="282828"/>
        </w:rPr>
        <w:t>WHEREAS, the Parties have discussed the terms of Employee’s transition from his role as CCO, effective as of December 31, 2024 (the “Separation Date”), and in recognition of Employee’s years of service with the Bank, B&amp;H desires to provide Employee with certain separation benefits; and</w:t>
      </w:r>
    </w:p>
    <w:p>
      <w:pPr>
        <w:spacing w:after="0" w:line="195" w:lineRule="exact"/>
        <w:rPr>
          <w:sz w:val="20"/>
          <w:szCs w:val="20"/>
          <w:color w:val="auto"/>
        </w:rPr>
      </w:pPr>
    </w:p>
    <w:p>
      <w:pPr>
        <w:jc w:val="both"/>
        <w:ind w:left="1" w:right="20" w:firstLine="640"/>
        <w:spacing w:after="0" w:line="270" w:lineRule="auto"/>
        <w:rPr>
          <w:sz w:val="20"/>
          <w:szCs w:val="20"/>
          <w:color w:val="auto"/>
        </w:rPr>
      </w:pPr>
      <w:r>
        <w:rPr>
          <w:rFonts w:ascii="Times New Roman" w:cs="Times New Roman" w:eastAsia="Times New Roman" w:hAnsi="Times New Roman"/>
          <w:sz w:val="19"/>
          <w:szCs w:val="19"/>
          <w:color w:val="282828"/>
        </w:rPr>
        <w:t>WHEREAS, Employee acknowledges that he has had at least twenty-one (21) days to review this Agreement and that, if Employee desires to receive the Separation Benefits in Section 2 of this Agreement, Employee must execute this Agreement on (but not before or after) the Separation Date;</w:t>
      </w:r>
    </w:p>
    <w:p>
      <w:pPr>
        <w:spacing w:after="0" w:line="195" w:lineRule="exact"/>
        <w:rPr>
          <w:sz w:val="20"/>
          <w:szCs w:val="20"/>
          <w:color w:val="auto"/>
        </w:rPr>
      </w:pPr>
    </w:p>
    <w:p>
      <w:pPr>
        <w:jc w:val="both"/>
        <w:ind w:left="1" w:right="40" w:firstLine="632"/>
        <w:spacing w:after="0" w:line="295" w:lineRule="auto"/>
        <w:rPr>
          <w:sz w:val="20"/>
          <w:szCs w:val="20"/>
          <w:color w:val="auto"/>
        </w:rPr>
      </w:pPr>
      <w:r>
        <w:rPr>
          <w:rFonts w:ascii="Times New Roman" w:cs="Times New Roman" w:eastAsia="Times New Roman" w:hAnsi="Times New Roman"/>
          <w:sz w:val="19"/>
          <w:szCs w:val="19"/>
          <w:color w:val="282828"/>
        </w:rPr>
        <w:t>NOW THEREFORE, in consideration of the mutual promises and releases contained herein and for other good and valuable consideration, the sufficiency of which is hereby acknowledged, the parties agree as follows:</w:t>
      </w:r>
    </w:p>
    <w:p>
      <w:pPr>
        <w:spacing w:after="0" w:line="172" w:lineRule="exact"/>
        <w:rPr>
          <w:sz w:val="20"/>
          <w:szCs w:val="20"/>
          <w:color w:val="auto"/>
        </w:rPr>
      </w:pPr>
    </w:p>
    <w:p>
      <w:pPr>
        <w:ind w:left="621" w:hanging="621"/>
        <w:spacing w:after="0"/>
        <w:tabs>
          <w:tab w:leader="none" w:pos="621" w:val="left"/>
        </w:tabs>
        <w:numPr>
          <w:ilvl w:val="0"/>
          <w:numId w:val="34"/>
        </w:numPr>
        <w:rPr>
          <w:rFonts w:ascii="Arial" w:cs="Arial" w:eastAsia="Arial" w:hAnsi="Arial"/>
          <w:sz w:val="18"/>
          <w:szCs w:val="18"/>
          <w:b w:val="1"/>
          <w:bCs w:val="1"/>
          <w:color w:val="282828"/>
        </w:rPr>
      </w:pPr>
      <w:r>
        <w:rPr>
          <w:rFonts w:ascii="Times New Roman" w:cs="Times New Roman" w:eastAsia="Times New Roman" w:hAnsi="Times New Roman"/>
          <w:sz w:val="18"/>
          <w:szCs w:val="18"/>
          <w:b w:val="1"/>
          <w:bCs w:val="1"/>
          <w:u w:val="single" w:color="auto"/>
          <w:color w:val="282828"/>
        </w:rPr>
        <w:t>Final Payments.</w:t>
      </w:r>
      <w:r>
        <w:rPr>
          <w:rFonts w:ascii="Times New Roman" w:cs="Times New Roman" w:eastAsia="Times New Roman" w:hAnsi="Times New Roman"/>
          <w:sz w:val="18"/>
          <w:szCs w:val="18"/>
          <w:b w:val="1"/>
          <w:bCs w:val="1"/>
          <w:color w:val="282828"/>
        </w:rPr>
        <w:t xml:space="preserve"> </w:t>
      </w:r>
      <w:r>
        <w:rPr>
          <w:rFonts w:ascii="Times New Roman" w:cs="Times New Roman" w:eastAsia="Times New Roman" w:hAnsi="Times New Roman"/>
          <w:sz w:val="19"/>
          <w:szCs w:val="19"/>
          <w:color w:val="282828"/>
        </w:rPr>
        <w:t>Regardless of whether Employee signs this Agreement, Employee shall receive the following:</w:t>
      </w:r>
    </w:p>
    <w:p>
      <w:pPr>
        <w:spacing w:after="0" w:line="250" w:lineRule="exact"/>
        <w:rPr>
          <w:rFonts w:ascii="Arial" w:cs="Arial" w:eastAsia="Arial" w:hAnsi="Arial"/>
          <w:sz w:val="18"/>
          <w:szCs w:val="18"/>
          <w:b w:val="1"/>
          <w:bCs w:val="1"/>
          <w:color w:val="282828"/>
        </w:rPr>
      </w:pPr>
    </w:p>
    <w:p>
      <w:pPr>
        <w:jc w:val="both"/>
        <w:ind w:left="941" w:right="40" w:hanging="315"/>
        <w:spacing w:after="0" w:line="268" w:lineRule="auto"/>
        <w:tabs>
          <w:tab w:leader="none" w:pos="934" w:val="left"/>
        </w:tabs>
        <w:numPr>
          <w:ilvl w:val="4"/>
          <w:numId w:val="34"/>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Final Pay. </w:t>
      </w:r>
      <w:r>
        <w:rPr>
          <w:rFonts w:ascii="Times New Roman" w:cs="Times New Roman" w:eastAsia="Times New Roman" w:hAnsi="Times New Roman"/>
          <w:sz w:val="19"/>
          <w:szCs w:val="19"/>
          <w:color w:val="282828"/>
        </w:rPr>
        <w:t>Provided Employee diligently performs all of the responsibilities that accompany the CCO position and fully supports</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any and all transition activities to a new or acting CCO, B&amp;H agrees to pay Employee’s base salary (which is $13,461.54 per biweekly pay period) through the Separation Date, less applicable taxes and other required withholding, in accordance with regular payroll procedures.</w:t>
      </w:r>
    </w:p>
    <w:p>
      <w:pPr>
        <w:spacing w:after="0" w:line="179" w:lineRule="exact"/>
        <w:rPr>
          <w:rFonts w:ascii="Times New Roman" w:cs="Times New Roman" w:eastAsia="Times New Roman" w:hAnsi="Times New Roman"/>
          <w:sz w:val="19"/>
          <w:szCs w:val="19"/>
          <w:color w:val="282828"/>
        </w:rPr>
      </w:pPr>
    </w:p>
    <w:p>
      <w:pPr>
        <w:jc w:val="both"/>
        <w:ind w:left="921" w:right="40" w:hanging="296"/>
        <w:spacing w:after="0" w:line="268" w:lineRule="auto"/>
        <w:tabs>
          <w:tab w:leader="none" w:pos="918" w:val="left"/>
        </w:tabs>
        <w:numPr>
          <w:ilvl w:val="4"/>
          <w:numId w:val="34"/>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Group Health Plan. </w:t>
      </w:r>
      <w:r>
        <w:rPr>
          <w:rFonts w:ascii="Times New Roman" w:cs="Times New Roman" w:eastAsia="Times New Roman" w:hAnsi="Times New Roman"/>
          <w:sz w:val="19"/>
          <w:szCs w:val="19"/>
          <w:color w:val="282828"/>
        </w:rPr>
        <w:t>Provided eligibility requirements are met, Employee and currently enrolled dependents shall be eligible to</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continue participation in the B&amp;H group medical plan pursuant to the health care continuation coverage available under the Consolidated Omnibus Budget Reconciliation Act of 1985 (“COBRA”). Employee shall be solely responsible for electing such coverage by properly returning the COBRA election form that Employee will receive.</w:t>
      </w:r>
    </w:p>
    <w:p>
      <w:pPr>
        <w:spacing w:after="0" w:line="192" w:lineRule="exact"/>
        <w:rPr>
          <w:rFonts w:ascii="Times New Roman" w:cs="Times New Roman" w:eastAsia="Times New Roman" w:hAnsi="Times New Roman"/>
          <w:sz w:val="19"/>
          <w:szCs w:val="19"/>
          <w:color w:val="282828"/>
        </w:rPr>
      </w:pPr>
    </w:p>
    <w:p>
      <w:pPr>
        <w:ind w:left="921" w:right="40" w:hanging="309"/>
        <w:spacing w:after="0" w:line="259" w:lineRule="auto"/>
        <w:tabs>
          <w:tab w:leader="none" w:pos="915" w:val="left"/>
        </w:tabs>
        <w:numPr>
          <w:ilvl w:val="3"/>
          <w:numId w:val="34"/>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SERP Contribution. </w:t>
      </w:r>
      <w:r>
        <w:rPr>
          <w:rFonts w:ascii="Times New Roman" w:cs="Times New Roman" w:eastAsia="Times New Roman" w:hAnsi="Times New Roman"/>
          <w:sz w:val="19"/>
          <w:szCs w:val="19"/>
          <w:color w:val="282828"/>
        </w:rPr>
        <w:t>Employee will receive a contribution under the Bank’s Supplemental Executive Retirement Plan (“SERP”)</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for 2024 equal to 20% of Employee’s $350,000 base</w:t>
      </w:r>
    </w:p>
    <w:p>
      <w:pPr>
        <w:ind w:left="901"/>
        <w:spacing w:after="0"/>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color w:val="282828"/>
        </w:rPr>
        <w:t>.salary, subject to the terms and conditions of the SERP.</w:t>
      </w:r>
    </w:p>
    <w:p>
      <w:pPr>
        <w:spacing w:after="0" w:line="228" w:lineRule="exact"/>
        <w:rPr>
          <w:rFonts w:ascii="Times New Roman" w:cs="Times New Roman" w:eastAsia="Times New Roman" w:hAnsi="Times New Roman"/>
          <w:sz w:val="19"/>
          <w:szCs w:val="19"/>
          <w:color w:val="282828"/>
        </w:rPr>
      </w:pPr>
    </w:p>
    <w:p>
      <w:pPr>
        <w:jc w:val="both"/>
        <w:ind w:left="921" w:right="60" w:hanging="316"/>
        <w:spacing w:after="0" w:line="272" w:lineRule="auto"/>
        <w:tabs>
          <w:tab w:leader="none" w:pos="921" w:val="left"/>
        </w:tabs>
        <w:numPr>
          <w:ilvl w:val="3"/>
          <w:numId w:val="34"/>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Cash Incentive Payment. </w:t>
      </w:r>
      <w:r>
        <w:rPr>
          <w:rFonts w:ascii="Times New Roman" w:cs="Times New Roman" w:eastAsia="Times New Roman" w:hAnsi="Times New Roman"/>
          <w:sz w:val="19"/>
          <w:szCs w:val="19"/>
          <w:color w:val="282828"/>
        </w:rPr>
        <w:t>Employee will remain eligible for the 2024 cash incentive payments under the Merger Incentive Plan of</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not less than $250,000 and not more than $380,000 in the aggregate, in the discretion of B&amp;H, less taxes and other applicable withholding, payable not later than March 15, 2025.</w:t>
      </w:r>
    </w:p>
    <w:p>
      <w:pPr>
        <w:spacing w:after="0" w:line="189" w:lineRule="exact"/>
        <w:rPr>
          <w:rFonts w:ascii="Times New Roman" w:cs="Times New Roman" w:eastAsia="Times New Roman" w:hAnsi="Times New Roman"/>
          <w:sz w:val="19"/>
          <w:szCs w:val="19"/>
          <w:color w:val="282828"/>
        </w:rPr>
      </w:pPr>
    </w:p>
    <w:p>
      <w:pPr>
        <w:ind w:left="921" w:right="60" w:hanging="316"/>
        <w:spacing w:after="0" w:line="272" w:lineRule="auto"/>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color w:val="282828"/>
        </w:rPr>
        <w:t xml:space="preserve">e. </w:t>
      </w:r>
      <w:r>
        <w:rPr>
          <w:rFonts w:ascii="Times New Roman" w:cs="Times New Roman" w:eastAsia="Times New Roman" w:hAnsi="Times New Roman"/>
          <w:sz w:val="19"/>
          <w:szCs w:val="19"/>
          <w:b w:val="1"/>
          <w:bCs w:val="1"/>
          <w:i w:val="1"/>
          <w:iCs w:val="1"/>
          <w:color w:val="282828"/>
        </w:rPr>
        <w:t>Nonqualified Deferred Compensation Plan.</w:t>
      </w:r>
      <w:r>
        <w:rPr>
          <w:rFonts w:ascii="Times New Roman" w:cs="Times New Roman" w:eastAsia="Times New Roman" w:hAnsi="Times New Roman"/>
          <w:sz w:val="19"/>
          <w:szCs w:val="19"/>
          <w:color w:val="282828"/>
        </w:rPr>
        <w:t xml:space="preserve"> Employee will receive payment of his vested accounts under the terms of the Burke &amp; Herbert Bank &amp; Trust Company Nonqualified Deferred Compensation Plan for Employees and Directors (“NQDC Plan”), made in accordance with the terms of the NQDC Plan.</w:t>
      </w:r>
    </w:p>
    <w:p>
      <w:pPr>
        <w:spacing w:after="0" w:line="20" w:lineRule="exact"/>
        <w:rPr>
          <w:rFonts w:ascii="Times New Roman" w:cs="Times New Roman" w:eastAsia="Times New Roman" w:hAnsi="Times New Roman"/>
          <w:sz w:val="19"/>
          <w:szCs w:val="19"/>
          <w:color w:val="282828"/>
        </w:rPr>
      </w:pPr>
    </w:p>
    <w:p>
      <w:pPr>
        <w:ind w:left="661" w:hanging="627"/>
        <w:spacing w:after="0" w:line="298" w:lineRule="auto"/>
        <w:tabs>
          <w:tab w:leader="none" w:pos="660" w:val="left"/>
        </w:tabs>
        <w:numPr>
          <w:ilvl w:val="1"/>
          <w:numId w:val="34"/>
        </w:numPr>
        <w:rPr>
          <w:rFonts w:ascii="Times New Roman" w:cs="Times New Roman" w:eastAsia="Times New Roman" w:hAnsi="Times New Roman"/>
          <w:sz w:val="19"/>
          <w:szCs w:val="19"/>
          <w:b w:val="1"/>
          <w:bCs w:val="1"/>
          <w:color w:val="282828"/>
        </w:rPr>
      </w:pPr>
      <w:r>
        <w:rPr>
          <w:rFonts w:ascii="Times New Roman" w:cs="Times New Roman" w:eastAsia="Times New Roman" w:hAnsi="Times New Roman"/>
          <w:sz w:val="19"/>
          <w:szCs w:val="19"/>
          <w:b w:val="1"/>
          <w:bCs w:val="1"/>
          <w:u w:val="single" w:color="auto"/>
          <w:color w:val="282828"/>
        </w:rPr>
        <w:t>Se</w:t>
      </w:r>
      <w:r>
        <w:rPr>
          <w:rFonts w:ascii="Times New Roman" w:cs="Times New Roman" w:eastAsia="Times New Roman" w:hAnsi="Times New Roman"/>
          <w:sz w:val="19"/>
          <w:szCs w:val="19"/>
          <w:b w:val="1"/>
          <w:bCs w:val="1"/>
          <w:u w:val="single" w:color="auto"/>
          <w:color w:val="444444"/>
        </w:rPr>
        <w:t>p</w:t>
      </w:r>
      <w:r>
        <w:rPr>
          <w:rFonts w:ascii="Times New Roman" w:cs="Times New Roman" w:eastAsia="Times New Roman" w:hAnsi="Times New Roman"/>
          <w:sz w:val="19"/>
          <w:szCs w:val="19"/>
          <w:b w:val="1"/>
          <w:bCs w:val="1"/>
          <w:u w:val="single" w:color="auto"/>
          <w:color w:val="282828"/>
        </w:rPr>
        <w:t>aration Benefits.</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Following the end of Employee</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s employment on the Separation Date, in consideration of Employee’s</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execution without revocation of this Agreement, including the release set</w:t>
      </w:r>
    </w:p>
    <w:p>
      <w:pPr>
        <w:sectPr>
          <w:pgSz w:w="11900" w:h="16838" w:orient="portrait"/>
          <w:cols w:equalWidth="0" w:num="1">
            <w:col w:w="11041"/>
          </w:cols>
          <w:pgMar w:left="419" w:top="1120" w:right="439" w:bottom="1440" w:gutter="0" w:footer="0" w:header="0"/>
        </w:sectPr>
      </w:pPr>
    </w:p>
    <w:bookmarkStart w:id="166" w:name="page167"/>
    <w:bookmarkEnd w:id="166"/>
    <w:p>
      <w:pPr>
        <w:ind w:left="667" w:right="20"/>
        <w:spacing w:after="0" w:line="281" w:lineRule="auto"/>
        <w:rPr>
          <w:sz w:val="20"/>
          <w:szCs w:val="20"/>
          <w:color w:val="auto"/>
        </w:rPr>
      </w:pPr>
      <w:r>
        <w:rPr>
          <w:rFonts w:ascii="Times New Roman" w:cs="Times New Roman" w:eastAsia="Times New Roman" w:hAnsi="Times New Roman"/>
          <w:sz w:val="19"/>
          <w:szCs w:val="19"/>
          <w:color w:val="282828"/>
        </w:rPr>
        <w:t>forth herein, and compliance with Employee’s obligations in this Agreement</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 xml:space="preserve"> the Bank shall provide Employee the following (</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Separation Benefits”):</w:t>
      </w:r>
    </w:p>
    <w:p>
      <w:pPr>
        <w:spacing w:after="0" w:line="180" w:lineRule="exact"/>
        <w:rPr>
          <w:sz w:val="20"/>
          <w:szCs w:val="20"/>
          <w:color w:val="auto"/>
        </w:rPr>
      </w:pPr>
    </w:p>
    <w:p>
      <w:pPr>
        <w:ind w:left="967" w:right="20" w:hanging="302"/>
        <w:spacing w:after="0" w:line="300" w:lineRule="auto"/>
        <w:tabs>
          <w:tab w:leader="none" w:pos="955" w:val="left"/>
        </w:tabs>
        <w:numPr>
          <w:ilvl w:val="1"/>
          <w:numId w:val="35"/>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Separation Pay. </w:t>
      </w:r>
      <w:r>
        <w:rPr>
          <w:rFonts w:ascii="Times New Roman" w:cs="Times New Roman" w:eastAsia="Times New Roman" w:hAnsi="Times New Roman"/>
          <w:sz w:val="19"/>
          <w:szCs w:val="19"/>
          <w:color w:val="282828"/>
        </w:rPr>
        <w:t>One</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8"/>
          <w:szCs w:val="18"/>
          <w:color w:val="282828"/>
        </w:rPr>
        <w:t>(1)</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year’s worth of salary continuation payments at Employee’s 2024 annual base salary rate ($350,000),</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payable over the 24 semi-monthly pay periods in 2025, less taxes and other applicable withholding.</w:t>
      </w:r>
    </w:p>
    <w:p>
      <w:pPr>
        <w:spacing w:after="0" w:line="162" w:lineRule="exact"/>
        <w:rPr>
          <w:rFonts w:ascii="Times New Roman" w:cs="Times New Roman" w:eastAsia="Times New Roman" w:hAnsi="Times New Roman"/>
          <w:sz w:val="19"/>
          <w:szCs w:val="19"/>
          <w:color w:val="282828"/>
        </w:rPr>
      </w:pPr>
    </w:p>
    <w:p>
      <w:pPr>
        <w:jc w:val="both"/>
        <w:ind w:left="967" w:right="20" w:hanging="303"/>
        <w:spacing w:after="0" w:line="258" w:lineRule="auto"/>
        <w:tabs>
          <w:tab w:leader="none" w:pos="956" w:val="left"/>
        </w:tabs>
        <w:numPr>
          <w:ilvl w:val="1"/>
          <w:numId w:val="35"/>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Payment of COBRA Premiums. </w:t>
      </w:r>
      <w:r>
        <w:rPr>
          <w:rFonts w:ascii="Times New Roman" w:cs="Times New Roman" w:eastAsia="Times New Roman" w:hAnsi="Times New Roman"/>
          <w:sz w:val="19"/>
          <w:szCs w:val="19"/>
          <w:color w:val="282828"/>
        </w:rPr>
        <w:t>Provided Employee is eligible (and remains eligible) for COBRA coverage and timely elects</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COBRA coverage, the Bank will pay the entire cost of COBRA coverage for Employee and Employee’s spouse through December 31, 2025. Following such date, Employee will be solely responsible for the full cost of any such COBRA coverage through any remaining COBRA coverage period.</w:t>
      </w:r>
    </w:p>
    <w:p>
      <w:pPr>
        <w:spacing w:after="0" w:line="189" w:lineRule="exact"/>
        <w:rPr>
          <w:rFonts w:ascii="Times New Roman" w:cs="Times New Roman" w:eastAsia="Times New Roman" w:hAnsi="Times New Roman"/>
          <w:sz w:val="19"/>
          <w:szCs w:val="19"/>
          <w:color w:val="282828"/>
        </w:rPr>
      </w:pPr>
    </w:p>
    <w:p>
      <w:pPr>
        <w:jc w:val="both"/>
        <w:ind w:left="947" w:right="40" w:hanging="299"/>
        <w:spacing w:after="0" w:line="263" w:lineRule="auto"/>
        <w:tabs>
          <w:tab w:leader="none" w:pos="935" w:val="left"/>
        </w:tabs>
        <w:numPr>
          <w:ilvl w:val="0"/>
          <w:numId w:val="36"/>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Accelerated Vesting of RSUs. </w:t>
      </w:r>
      <w:r>
        <w:rPr>
          <w:rFonts w:ascii="Times New Roman" w:cs="Times New Roman" w:eastAsia="Times New Roman" w:hAnsi="Times New Roman"/>
          <w:sz w:val="19"/>
          <w:szCs w:val="19"/>
          <w:color w:val="282828"/>
        </w:rPr>
        <w:t>Subject to approval by the Compensation Committee,, Employee</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s 773 time-based restricted stock</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units (</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RSUs”) granted under the 2023 Stock Incentive Plan (“SIP”), shall become fully vested as of the Separation Date, settled in cash in accordance with the terms of the SIP. For the avoidance of doubt, all of Employee’s unvested performance-based RSUs under the SIP and any other plan will terminate and be forfeited upon the Separation Date.</w:t>
      </w:r>
    </w:p>
    <w:p>
      <w:pPr>
        <w:spacing w:after="0" w:line="215" w:lineRule="exact"/>
        <w:rPr>
          <w:sz w:val="20"/>
          <w:szCs w:val="20"/>
          <w:color w:val="auto"/>
        </w:rPr>
      </w:pPr>
    </w:p>
    <w:p>
      <w:pPr>
        <w:jc w:val="both"/>
        <w:ind w:left="627" w:right="40" w:firstLine="8"/>
        <w:spacing w:after="0" w:line="262" w:lineRule="auto"/>
        <w:rPr>
          <w:sz w:val="20"/>
          <w:szCs w:val="20"/>
          <w:color w:val="auto"/>
        </w:rPr>
      </w:pPr>
      <w:r>
        <w:rPr>
          <w:rFonts w:ascii="Times New Roman" w:cs="Times New Roman" w:eastAsia="Times New Roman" w:hAnsi="Times New Roman"/>
          <w:sz w:val="19"/>
          <w:szCs w:val="19"/>
          <w:color w:val="282828"/>
        </w:rPr>
        <w:t>Except as set forth in this Agreement or as required by federal or state law and/or under the terms of any of B&amp;H’s tax-qualified plans, this Agreement sets forth the full extent of severance and benefits to which Employee is or may be entitled as a result of the separation of Employee’s employment, and Employee shall not be entitled to any additional compensation relating to Employee’s employment, retirement, or separation from employment.</w:t>
      </w:r>
    </w:p>
    <w:p>
      <w:pPr>
        <w:spacing w:after="0" w:line="212" w:lineRule="exact"/>
        <w:rPr>
          <w:sz w:val="20"/>
          <w:szCs w:val="20"/>
          <w:color w:val="auto"/>
        </w:rPr>
      </w:pPr>
    </w:p>
    <w:p>
      <w:pPr>
        <w:ind w:left="627" w:right="60" w:hanging="627"/>
        <w:spacing w:after="0" w:line="283" w:lineRule="auto"/>
        <w:tabs>
          <w:tab w:leader="none" w:pos="621" w:val="left"/>
        </w:tabs>
        <w:numPr>
          <w:ilvl w:val="0"/>
          <w:numId w:val="37"/>
        </w:numPr>
        <w:rPr>
          <w:rFonts w:ascii="Times New Roman" w:cs="Times New Roman" w:eastAsia="Times New Roman" w:hAnsi="Times New Roman"/>
          <w:sz w:val="19"/>
          <w:szCs w:val="19"/>
          <w:b w:val="1"/>
          <w:bCs w:val="1"/>
          <w:color w:val="282828"/>
        </w:rPr>
      </w:pPr>
      <w:r>
        <w:rPr>
          <w:rFonts w:ascii="Times New Roman" w:cs="Times New Roman" w:eastAsia="Times New Roman" w:hAnsi="Times New Roman"/>
          <w:sz w:val="19"/>
          <w:szCs w:val="19"/>
          <w:b w:val="1"/>
          <w:bCs w:val="1"/>
          <w:u w:val="single" w:color="auto"/>
          <w:color w:val="282828"/>
        </w:rPr>
        <w:t>Additional Acknowled</w:t>
      </w:r>
      <w:r>
        <w:rPr>
          <w:rFonts w:ascii="Times New Roman" w:cs="Times New Roman" w:eastAsia="Times New Roman" w:hAnsi="Times New Roman"/>
          <w:sz w:val="19"/>
          <w:szCs w:val="19"/>
          <w:b w:val="1"/>
          <w:bCs w:val="1"/>
          <w:u w:val="single" w:color="auto"/>
          <w:color w:val="444444"/>
        </w:rPr>
        <w:t>g</w:t>
      </w:r>
      <w:r>
        <w:rPr>
          <w:rFonts w:ascii="Times New Roman" w:cs="Times New Roman" w:eastAsia="Times New Roman" w:hAnsi="Times New Roman"/>
          <w:sz w:val="19"/>
          <w:szCs w:val="19"/>
          <w:b w:val="1"/>
          <w:bCs w:val="1"/>
          <w:u w:val="single" w:color="auto"/>
          <w:color w:val="282828"/>
        </w:rPr>
        <w:t>ements and A</w:t>
      </w:r>
      <w:r>
        <w:rPr>
          <w:rFonts w:ascii="Times New Roman" w:cs="Times New Roman" w:eastAsia="Times New Roman" w:hAnsi="Times New Roman"/>
          <w:sz w:val="19"/>
          <w:szCs w:val="19"/>
          <w:b w:val="1"/>
          <w:bCs w:val="1"/>
          <w:u w:val="single" w:color="auto"/>
          <w:color w:val="444444"/>
        </w:rPr>
        <w:t>g</w:t>
      </w:r>
      <w:r>
        <w:rPr>
          <w:rFonts w:ascii="Times New Roman" w:cs="Times New Roman" w:eastAsia="Times New Roman" w:hAnsi="Times New Roman"/>
          <w:sz w:val="19"/>
          <w:szCs w:val="19"/>
          <w:b w:val="1"/>
          <w:bCs w:val="1"/>
          <w:u w:val="single" w:color="auto"/>
          <w:color w:val="282828"/>
        </w:rPr>
        <w:t>reements</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8"/>
          <w:szCs w:val="18"/>
          <w:color w:val="282828"/>
        </w:rPr>
        <w:t>In</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further consideration of the Separation Benefits provided above</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Employee</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color w:val="282828"/>
        </w:rPr>
        <w:t>represents and warrants to each of the following:</w:t>
      </w:r>
    </w:p>
    <w:p>
      <w:pPr>
        <w:spacing w:after="0" w:line="178" w:lineRule="exact"/>
        <w:rPr>
          <w:rFonts w:ascii="Times New Roman" w:cs="Times New Roman" w:eastAsia="Times New Roman" w:hAnsi="Times New Roman"/>
          <w:sz w:val="19"/>
          <w:szCs w:val="19"/>
          <w:b w:val="1"/>
          <w:bCs w:val="1"/>
          <w:color w:val="282828"/>
        </w:rPr>
      </w:pPr>
    </w:p>
    <w:p>
      <w:pPr>
        <w:ind w:left="947" w:right="60" w:hanging="324"/>
        <w:spacing w:after="0" w:line="300" w:lineRule="auto"/>
        <w:tabs>
          <w:tab w:leader="none" w:pos="945" w:val="left"/>
        </w:tabs>
        <w:numPr>
          <w:ilvl w:val="1"/>
          <w:numId w:val="37"/>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Resignation of Bank Appointments. </w:t>
      </w:r>
      <w:r>
        <w:rPr>
          <w:rFonts w:ascii="Times New Roman" w:cs="Times New Roman" w:eastAsia="Times New Roman" w:hAnsi="Times New Roman"/>
          <w:sz w:val="19"/>
          <w:szCs w:val="19"/>
          <w:color w:val="282828"/>
        </w:rPr>
        <w:t>Employee shall be deemed to have terminated his CCO position effective on the Separation</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Date.</w:t>
      </w:r>
    </w:p>
    <w:p>
      <w:pPr>
        <w:spacing w:after="0" w:line="162" w:lineRule="exact"/>
        <w:rPr>
          <w:rFonts w:ascii="Times New Roman" w:cs="Times New Roman" w:eastAsia="Times New Roman" w:hAnsi="Times New Roman"/>
          <w:sz w:val="19"/>
          <w:szCs w:val="19"/>
          <w:color w:val="282828"/>
        </w:rPr>
      </w:pPr>
    </w:p>
    <w:p>
      <w:pPr>
        <w:jc w:val="both"/>
        <w:ind w:left="927" w:right="60" w:hanging="301"/>
        <w:spacing w:after="0" w:line="253" w:lineRule="auto"/>
        <w:tabs>
          <w:tab w:leader="none" w:pos="926" w:val="left"/>
        </w:tabs>
        <w:numPr>
          <w:ilvl w:val="1"/>
          <w:numId w:val="37"/>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Return of Equipment and Documents. </w:t>
      </w:r>
      <w:r>
        <w:rPr>
          <w:rFonts w:ascii="Times New Roman" w:cs="Times New Roman" w:eastAsia="Times New Roman" w:hAnsi="Times New Roman"/>
          <w:sz w:val="19"/>
          <w:szCs w:val="19"/>
          <w:color w:val="282828"/>
        </w:rPr>
        <w:t>Employee certifies by execution of this Agreement that</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on or before the Separation Date,</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Employee has returned to B&amp;H any and all equipment and documents (whether in hard copy or electronic form) belonging to the Bank, except that Employee may retain documents pertaining exclusively to Employee’s employment such as payroll stubs</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 xml:space="preserve"> benefits information, etc</w:t>
      </w:r>
      <w:r>
        <w:rPr>
          <w:rFonts w:ascii="Times New Roman" w:cs="Times New Roman" w:eastAsia="Times New Roman" w:hAnsi="Times New Roman"/>
          <w:sz w:val="19"/>
          <w:szCs w:val="19"/>
          <w:color w:val="444444"/>
        </w:rPr>
        <w:t>.</w:t>
      </w:r>
    </w:p>
    <w:p>
      <w:pPr>
        <w:spacing w:after="0" w:line="194" w:lineRule="exact"/>
        <w:rPr>
          <w:rFonts w:ascii="Times New Roman" w:cs="Times New Roman" w:eastAsia="Times New Roman" w:hAnsi="Times New Roman"/>
          <w:sz w:val="19"/>
          <w:szCs w:val="19"/>
          <w:color w:val="282828"/>
        </w:rPr>
      </w:pPr>
    </w:p>
    <w:p>
      <w:pPr>
        <w:jc w:val="both"/>
        <w:ind w:left="927" w:right="60" w:hanging="313"/>
        <w:spacing w:after="0" w:line="259" w:lineRule="auto"/>
        <w:tabs>
          <w:tab w:leader="none" w:pos="927" w:val="left"/>
        </w:tabs>
        <w:numPr>
          <w:ilvl w:val="1"/>
          <w:numId w:val="37"/>
        </w:numPr>
        <w:rPr>
          <w:rFonts w:ascii="Times New Roman" w:cs="Times New Roman" w:eastAsia="Times New Roman" w:hAnsi="Times New Roman"/>
          <w:sz w:val="19"/>
          <w:szCs w:val="19"/>
          <w:color w:val="282828"/>
        </w:rPr>
      </w:pPr>
      <w:r>
        <w:rPr>
          <w:rFonts w:ascii="Times New Roman" w:cs="Times New Roman" w:eastAsia="Times New Roman" w:hAnsi="Times New Roman"/>
          <w:sz w:val="19"/>
          <w:szCs w:val="19"/>
          <w:b w:val="1"/>
          <w:bCs w:val="1"/>
          <w:i w:val="1"/>
          <w:iCs w:val="1"/>
          <w:color w:val="282828"/>
        </w:rPr>
        <w:t xml:space="preserve">Business Expense Reimbursement. </w:t>
      </w:r>
      <w:r>
        <w:rPr>
          <w:rFonts w:ascii="Times New Roman" w:cs="Times New Roman" w:eastAsia="Times New Roman" w:hAnsi="Times New Roman"/>
          <w:sz w:val="19"/>
          <w:szCs w:val="19"/>
          <w:color w:val="282828"/>
        </w:rPr>
        <w:t>Employee agrees that, within fifteen (15) days of Separation Date, Employee will submit</w:t>
      </w:r>
      <w:r>
        <w:rPr>
          <w:rFonts w:ascii="Times New Roman" w:cs="Times New Roman" w:eastAsia="Times New Roman" w:hAnsi="Times New Roman"/>
          <w:sz w:val="19"/>
          <w:szCs w:val="19"/>
          <w:b w:val="1"/>
          <w:bCs w:val="1"/>
          <w:i w:val="1"/>
          <w:iCs w:val="1"/>
          <w:color w:val="282828"/>
        </w:rPr>
        <w:t xml:space="preserve"> </w:t>
      </w:r>
      <w:r>
        <w:rPr>
          <w:rFonts w:ascii="Times New Roman" w:cs="Times New Roman" w:eastAsia="Times New Roman" w:hAnsi="Times New Roman"/>
          <w:sz w:val="19"/>
          <w:szCs w:val="19"/>
          <w:color w:val="282828"/>
        </w:rPr>
        <w:t>Employee’s final documented expense reimbursement statement reflecting all business expenses Employee incurred through the Separation Date</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 xml:space="preserve"> if any, for which Employee seeks reimbursement. B&amp;H will reimburse Employee for these expenses pursuant to its regular business practice. Any reimbursements that constitute deferred compensation within the meaning of Section 409A shall be made or provided </w:t>
      </w:r>
      <w:r>
        <w:rPr>
          <w:rFonts w:ascii="Times New Roman" w:cs="Times New Roman" w:eastAsia="Times New Roman" w:hAnsi="Times New Roman"/>
          <w:sz w:val="17"/>
          <w:szCs w:val="17"/>
          <w:color w:val="282828"/>
        </w:rPr>
        <w:t>in</w:t>
      </w:r>
      <w:r>
        <w:rPr>
          <w:rFonts w:ascii="Times New Roman" w:cs="Times New Roman" w:eastAsia="Times New Roman" w:hAnsi="Times New Roman"/>
          <w:sz w:val="19"/>
          <w:szCs w:val="19"/>
          <w:color w:val="282828"/>
        </w:rPr>
        <w:t xml:space="preserve"> accordance with the requirements of Section 409A, including that (i) in no event shall any fees, expenses or other amounts eligible to be reimbursed under this Agreement be paid later than the last day of the calendar year next following the calendar year in which the applicable expenses were incurred; and (ii) the amount of expenses eligible for reimbursement that B&amp;H is obligated to pay or provide</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282828"/>
        </w:rPr>
        <w:t xml:space="preserve"> in any given calendar year shall not affect the expenses B&amp;H is obligated to reimburse in any other calendar year.</w:t>
      </w:r>
    </w:p>
    <w:p>
      <w:pPr>
        <w:spacing w:after="0" w:line="21" w:lineRule="exact"/>
        <w:rPr>
          <w:rFonts w:ascii="Times New Roman" w:cs="Times New Roman" w:eastAsia="Times New Roman" w:hAnsi="Times New Roman"/>
          <w:sz w:val="19"/>
          <w:szCs w:val="19"/>
          <w:color w:val="282828"/>
        </w:rPr>
      </w:pPr>
    </w:p>
    <w:p>
      <w:pPr>
        <w:jc w:val="both"/>
        <w:ind w:left="967" w:hanging="288"/>
        <w:spacing w:after="0" w:line="266" w:lineRule="auto"/>
        <w:tabs>
          <w:tab w:leader="none" w:pos="966" w:val="left"/>
        </w:tabs>
        <w:numPr>
          <w:ilvl w:val="2"/>
          <w:numId w:val="37"/>
        </w:numPr>
        <w:rPr>
          <w:rFonts w:ascii="Times New Roman" w:cs="Times New Roman" w:eastAsia="Times New Roman" w:hAnsi="Times New Roman"/>
          <w:sz w:val="19"/>
          <w:szCs w:val="19"/>
          <w:color w:val="282828"/>
        </w:rPr>
      </w:pPr>
      <w:r>
        <w:rPr>
          <w:rFonts w:ascii="Times New Roman" w:cs="Times New Roman" w:eastAsia="Times New Roman" w:hAnsi="Times New Roman"/>
          <w:sz w:val="18"/>
          <w:szCs w:val="18"/>
          <w:b w:val="1"/>
          <w:bCs w:val="1"/>
          <w:i w:val="1"/>
          <w:iCs w:val="1"/>
          <w:color w:val="282828"/>
        </w:rPr>
        <w:t xml:space="preserve">Cooperation Clause. </w:t>
      </w:r>
      <w:r>
        <w:rPr>
          <w:rFonts w:ascii="Times New Roman" w:cs="Times New Roman" w:eastAsia="Times New Roman" w:hAnsi="Times New Roman"/>
          <w:sz w:val="19"/>
          <w:szCs w:val="19"/>
          <w:color w:val="282828"/>
        </w:rPr>
        <w:t>Employee agrees that Employee will cooperate with B&amp;H and Burke &amp; Herbert Financial Services Corp.</w:t>
      </w:r>
      <w:r>
        <w:rPr>
          <w:rFonts w:ascii="Times New Roman" w:cs="Times New Roman" w:eastAsia="Times New Roman" w:hAnsi="Times New Roman"/>
          <w:sz w:val="18"/>
          <w:szCs w:val="18"/>
          <w:b w:val="1"/>
          <w:bCs w:val="1"/>
          <w:i w:val="1"/>
          <w:iCs w:val="1"/>
          <w:color w:val="282828"/>
        </w:rPr>
        <w:t xml:space="preserve"> </w:t>
      </w:r>
      <w:r>
        <w:rPr>
          <w:rFonts w:ascii="Times New Roman" w:cs="Times New Roman" w:eastAsia="Times New Roman" w:hAnsi="Times New Roman"/>
          <w:sz w:val="19"/>
          <w:szCs w:val="19"/>
          <w:color w:val="282828"/>
        </w:rPr>
        <w:t>(“Company”) in their investigation, defense, or prosecution of any potential or actual claim or lawsuit by or against any Releasee (as defined in Section 4 below)</w:t>
      </w:r>
      <w:r>
        <w:rPr>
          <w:rFonts w:ascii="Times New Roman" w:cs="Times New Roman" w:eastAsia="Times New Roman" w:hAnsi="Times New Roman"/>
          <w:sz w:val="19"/>
          <w:szCs w:val="19"/>
          <w:color w:val="494949"/>
        </w:rPr>
        <w:t>.</w:t>
      </w:r>
      <w:r>
        <w:rPr>
          <w:rFonts w:ascii="Times New Roman" w:cs="Times New Roman" w:eastAsia="Times New Roman" w:hAnsi="Times New Roman"/>
          <w:sz w:val="19"/>
          <w:szCs w:val="19"/>
          <w:color w:val="282828"/>
        </w:rPr>
        <w:t xml:space="preserve"> As used herein, the term </w:t>
      </w:r>
      <w:r>
        <w:rPr>
          <w:rFonts w:ascii="Times New Roman" w:cs="Times New Roman" w:eastAsia="Times New Roman" w:hAnsi="Times New Roman"/>
          <w:sz w:val="19"/>
          <w:szCs w:val="19"/>
          <w:color w:val="3B3B3B"/>
        </w:rPr>
        <w:t>“cooperate”</w:t>
      </w:r>
      <w:r>
        <w:rPr>
          <w:rFonts w:ascii="Times New Roman" w:cs="Times New Roman" w:eastAsia="Times New Roman" w:hAnsi="Times New Roman"/>
          <w:sz w:val="19"/>
          <w:szCs w:val="19"/>
          <w:color w:val="282828"/>
        </w:rPr>
        <w:t xml:space="preserve"> means being available from time to time for meetings with counsel, not</w:t>
      </w:r>
    </w:p>
    <w:p>
      <w:pPr>
        <w:sectPr>
          <w:pgSz w:w="11900" w:h="16838" w:orient="portrait"/>
          <w:cols w:equalWidth="0" w:num="1">
            <w:col w:w="11067"/>
          </w:cols>
          <w:pgMar w:left="413" w:top="1127" w:right="419" w:bottom="1440" w:gutter="0" w:footer="0" w:header="0"/>
        </w:sectPr>
      </w:pPr>
    </w:p>
    <w:bookmarkStart w:id="167" w:name="page168"/>
    <w:bookmarkEnd w:id="167"/>
    <w:p>
      <w:pPr>
        <w:jc w:val="both"/>
        <w:ind w:left="959"/>
        <w:spacing w:after="0" w:line="261" w:lineRule="auto"/>
        <w:rPr>
          <w:sz w:val="20"/>
          <w:szCs w:val="20"/>
          <w:color w:val="auto"/>
        </w:rPr>
      </w:pPr>
      <w:r>
        <w:rPr>
          <w:rFonts w:ascii="Times New Roman" w:cs="Times New Roman" w:eastAsia="Times New Roman" w:hAnsi="Times New Roman"/>
          <w:sz w:val="19"/>
          <w:szCs w:val="19"/>
          <w:color w:val="282828"/>
        </w:rPr>
        <w:t xml:space="preserve">communicating with non-governmental parties known to be adverse to B&amp;H or the Company except by way of deposition or trial testimony, being available for deposition and trial testimony upon instruction of counsel for B&amp;H or the Company, and executing those documents and truthful affidavits requested from time to time by counsel to B&amp;H or the Company; </w:t>
      </w:r>
      <w:r>
        <w:rPr>
          <w:rFonts w:ascii="Times New Roman" w:cs="Times New Roman" w:eastAsia="Times New Roman" w:hAnsi="Times New Roman"/>
          <w:sz w:val="19"/>
          <w:szCs w:val="19"/>
          <w:i w:val="1"/>
          <w:iCs w:val="1"/>
          <w:color w:val="282828"/>
        </w:rPr>
        <w:t>provided</w:t>
      </w:r>
      <w:r>
        <w:rPr>
          <w:rFonts w:ascii="Times New Roman" w:cs="Times New Roman" w:eastAsia="Times New Roman" w:hAnsi="Times New Roman"/>
          <w:sz w:val="19"/>
          <w:szCs w:val="19"/>
          <w:i w:val="1"/>
          <w:iCs w:val="1"/>
          <w:color w:val="494949"/>
        </w:rPr>
        <w:t>,</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i w:val="1"/>
          <w:iCs w:val="1"/>
          <w:color w:val="282828"/>
        </w:rPr>
        <w:t>however,</w:t>
      </w:r>
      <w:r>
        <w:rPr>
          <w:rFonts w:ascii="Times New Roman" w:cs="Times New Roman" w:eastAsia="Times New Roman" w:hAnsi="Times New Roman"/>
          <w:sz w:val="19"/>
          <w:szCs w:val="19"/>
          <w:color w:val="282828"/>
        </w:rPr>
        <w:t xml:space="preserve"> that nothing herein shall preclude Employee from responding to or participating in any inquiry by any government agency. B&amp;H agrees that, if Employee’s assistance is requested by B&amp;H or the Company following the Separation Date, the Bank will reimburse Employee for any lost wages or leave, as well as any reasonable expenses, Employee incurs in assisting B&amp;H in any such matter.</w:t>
      </w:r>
    </w:p>
    <w:p>
      <w:pPr>
        <w:spacing w:after="0" w:line="189" w:lineRule="exact"/>
        <w:rPr>
          <w:sz w:val="20"/>
          <w:szCs w:val="20"/>
          <w:color w:val="auto"/>
        </w:rPr>
      </w:pPr>
    </w:p>
    <w:p>
      <w:pPr>
        <w:jc w:val="both"/>
        <w:ind w:left="939" w:right="20" w:hanging="298"/>
        <w:spacing w:after="0" w:line="265" w:lineRule="auto"/>
        <w:tabs>
          <w:tab w:leader="none" w:pos="937" w:val="left"/>
        </w:tabs>
        <w:numPr>
          <w:ilvl w:val="2"/>
          <w:numId w:val="38"/>
        </w:numPr>
        <w:rPr>
          <w:rFonts w:ascii="Times New Roman" w:cs="Times New Roman" w:eastAsia="Times New Roman" w:hAnsi="Times New Roman"/>
          <w:sz w:val="19"/>
          <w:szCs w:val="19"/>
          <w:color w:val="282828"/>
        </w:rPr>
      </w:pPr>
      <w:r>
        <w:rPr>
          <w:rFonts w:ascii="Times New Roman" w:cs="Times New Roman" w:eastAsia="Times New Roman" w:hAnsi="Times New Roman"/>
          <w:sz w:val="18"/>
          <w:szCs w:val="18"/>
          <w:b w:val="1"/>
          <w:bCs w:val="1"/>
          <w:i w:val="1"/>
          <w:iCs w:val="1"/>
          <w:color w:val="282828"/>
        </w:rPr>
        <w:t xml:space="preserve">Other Representations. </w:t>
      </w:r>
      <w:r>
        <w:rPr>
          <w:rFonts w:ascii="Times New Roman" w:cs="Times New Roman" w:eastAsia="Times New Roman" w:hAnsi="Times New Roman"/>
          <w:sz w:val="19"/>
          <w:szCs w:val="19"/>
          <w:color w:val="282828"/>
        </w:rPr>
        <w:t>Employee represents and warrants: (i) Employee has accurately recorded and been properly paid for all</w:t>
      </w:r>
      <w:r>
        <w:rPr>
          <w:rFonts w:ascii="Times New Roman" w:cs="Times New Roman" w:eastAsia="Times New Roman" w:hAnsi="Times New Roman"/>
          <w:sz w:val="18"/>
          <w:szCs w:val="18"/>
          <w:b w:val="1"/>
          <w:bCs w:val="1"/>
          <w:i w:val="1"/>
          <w:iCs w:val="1"/>
          <w:color w:val="282828"/>
        </w:rPr>
        <w:t xml:space="preserve"> </w:t>
      </w:r>
      <w:r>
        <w:rPr>
          <w:rFonts w:ascii="Times New Roman" w:cs="Times New Roman" w:eastAsia="Times New Roman" w:hAnsi="Times New Roman"/>
          <w:sz w:val="19"/>
          <w:szCs w:val="19"/>
          <w:color w:val="282828"/>
        </w:rPr>
        <w:t>time worked on behalf of B&amp;H; (ii) Employee has received all salary, wages, commissions, bonuses, and other compensation due to the Employee, other than the amounts set forth in this Agreement; (iii) Employee is not entitled to any change in control benefits under the Change in Control Agreement executed between Employee and B&amp;H effective June 16, 2014 (“CIC Agreement”); and (iv) Employee has not engaged in and is not aware of any unlawful conduct relating to the business of B&amp;H.</w:t>
      </w:r>
    </w:p>
    <w:p>
      <w:pPr>
        <w:spacing w:after="0" w:line="198" w:lineRule="exact"/>
        <w:rPr>
          <w:rFonts w:ascii="Times New Roman" w:cs="Times New Roman" w:eastAsia="Times New Roman" w:hAnsi="Times New Roman"/>
          <w:sz w:val="19"/>
          <w:szCs w:val="19"/>
          <w:color w:val="282828"/>
        </w:rPr>
      </w:pPr>
    </w:p>
    <w:p>
      <w:pPr>
        <w:jc w:val="both"/>
        <w:ind w:left="619" w:right="20" w:hanging="619"/>
        <w:spacing w:after="0" w:line="258" w:lineRule="auto"/>
        <w:tabs>
          <w:tab w:leader="none" w:pos="610" w:val="left"/>
        </w:tabs>
        <w:numPr>
          <w:ilvl w:val="0"/>
          <w:numId w:val="39"/>
        </w:numPr>
        <w:rPr>
          <w:rFonts w:ascii="Times New Roman" w:cs="Times New Roman" w:eastAsia="Times New Roman" w:hAnsi="Times New Roman"/>
          <w:sz w:val="19"/>
          <w:szCs w:val="19"/>
          <w:b w:val="1"/>
          <w:bCs w:val="1"/>
          <w:color w:val="282828"/>
        </w:rPr>
      </w:pPr>
      <w:r>
        <w:rPr>
          <w:rFonts w:ascii="Times New Roman" w:cs="Times New Roman" w:eastAsia="Times New Roman" w:hAnsi="Times New Roman"/>
          <w:sz w:val="18"/>
          <w:szCs w:val="18"/>
          <w:b w:val="1"/>
          <w:bCs w:val="1"/>
          <w:u w:val="single" w:color="auto"/>
          <w:color w:val="282828"/>
        </w:rPr>
        <w:t>Release.</w:t>
      </w:r>
      <w:r>
        <w:rPr>
          <w:rFonts w:ascii="Times New Roman" w:cs="Times New Roman" w:eastAsia="Times New Roman" w:hAnsi="Times New Roman"/>
          <w:sz w:val="18"/>
          <w:szCs w:val="18"/>
          <w:b w:val="1"/>
          <w:bCs w:val="1"/>
          <w:color w:val="282828"/>
        </w:rPr>
        <w:t xml:space="preserve"> </w:t>
      </w:r>
      <w:r>
        <w:rPr>
          <w:rFonts w:ascii="Times New Roman" w:cs="Times New Roman" w:eastAsia="Times New Roman" w:hAnsi="Times New Roman"/>
          <w:sz w:val="19"/>
          <w:szCs w:val="19"/>
          <w:color w:val="282828"/>
        </w:rPr>
        <w:t>Employee</w:t>
      </w:r>
      <w:r>
        <w:rPr>
          <w:rFonts w:ascii="Times New Roman" w:cs="Times New Roman" w:eastAsia="Times New Roman" w:hAnsi="Times New Roman"/>
          <w:sz w:val="19"/>
          <w:szCs w:val="19"/>
          <w:color w:val="494949"/>
        </w:rPr>
        <w:t>,</w:t>
      </w:r>
      <w:r>
        <w:rPr>
          <w:rFonts w:ascii="Times New Roman" w:cs="Times New Roman" w:eastAsia="Times New Roman" w:hAnsi="Times New Roman"/>
          <w:sz w:val="18"/>
          <w:szCs w:val="18"/>
          <w:b w:val="1"/>
          <w:bCs w:val="1"/>
          <w:color w:val="282828"/>
        </w:rPr>
        <w:t xml:space="preserve"> </w:t>
      </w:r>
      <w:r>
        <w:rPr>
          <w:rFonts w:ascii="Times New Roman" w:cs="Times New Roman" w:eastAsia="Times New Roman" w:hAnsi="Times New Roman"/>
          <w:sz w:val="19"/>
          <w:szCs w:val="19"/>
          <w:color w:val="282828"/>
        </w:rPr>
        <w:t>on Employee’s own part and on behalf of Employee’s descendants, dependents, heirs, executors, administrators,</w:t>
      </w:r>
      <w:r>
        <w:rPr>
          <w:rFonts w:ascii="Times New Roman" w:cs="Times New Roman" w:eastAsia="Times New Roman" w:hAnsi="Times New Roman"/>
          <w:sz w:val="18"/>
          <w:szCs w:val="18"/>
          <w:b w:val="1"/>
          <w:bCs w:val="1"/>
          <w:color w:val="282828"/>
        </w:rPr>
        <w:t xml:space="preserve"> </w:t>
      </w:r>
      <w:r>
        <w:rPr>
          <w:rFonts w:ascii="Times New Roman" w:cs="Times New Roman" w:eastAsia="Times New Roman" w:hAnsi="Times New Roman"/>
          <w:sz w:val="19"/>
          <w:szCs w:val="19"/>
          <w:color w:val="282828"/>
        </w:rPr>
        <w:t xml:space="preserve">assigns, and successors, hereby covenants not to sue and fully releases, acquits, and discharges B&amp;H and the Company, and their respective parent(s), subsidiaries </w:t>
      </w:r>
      <w:r>
        <w:rPr>
          <w:rFonts w:ascii="Times New Roman" w:cs="Times New Roman" w:eastAsia="Times New Roman" w:hAnsi="Times New Roman"/>
          <w:sz w:val="19"/>
          <w:szCs w:val="19"/>
          <w:color w:val="494949"/>
        </w:rPr>
        <w:t>,</w:t>
      </w:r>
      <w:r>
        <w:rPr>
          <w:rFonts w:ascii="Times New Roman" w:cs="Times New Roman" w:eastAsia="Times New Roman" w:hAnsi="Times New Roman"/>
          <w:sz w:val="19"/>
          <w:szCs w:val="19"/>
          <w:color w:val="282828"/>
        </w:rPr>
        <w:t xml:space="preserve"> affiliates, owners</w:t>
      </w:r>
      <w:r>
        <w:rPr>
          <w:rFonts w:ascii="Times New Roman" w:cs="Times New Roman" w:eastAsia="Times New Roman" w:hAnsi="Times New Roman"/>
          <w:sz w:val="19"/>
          <w:szCs w:val="19"/>
          <w:color w:val="494949"/>
        </w:rPr>
        <w:t>,</w:t>
      </w:r>
      <w:r>
        <w:rPr>
          <w:rFonts w:ascii="Times New Roman" w:cs="Times New Roman" w:eastAsia="Times New Roman" w:hAnsi="Times New Roman"/>
          <w:sz w:val="19"/>
          <w:szCs w:val="19"/>
          <w:color w:val="282828"/>
        </w:rPr>
        <w:t xml:space="preserve"> directors, officers, agents, employees, shareholders, representatives, assigns, insurers, and successors (collectively referred to as the “Releasees”) with respect to and from any and all claims, agreements, contracts, actions, suits, causes of action, attorneys’ fees, damages, and liabilities of whatever kind or nature, in law</w:t>
      </w:r>
      <w:r>
        <w:rPr>
          <w:rFonts w:ascii="Times New Roman" w:cs="Times New Roman" w:eastAsia="Times New Roman" w:hAnsi="Times New Roman"/>
          <w:sz w:val="19"/>
          <w:szCs w:val="19"/>
          <w:color w:val="494949"/>
        </w:rPr>
        <w:t>,</w:t>
      </w:r>
      <w:r>
        <w:rPr>
          <w:rFonts w:ascii="Times New Roman" w:cs="Times New Roman" w:eastAsia="Times New Roman" w:hAnsi="Times New Roman"/>
          <w:sz w:val="19"/>
          <w:szCs w:val="19"/>
          <w:color w:val="282828"/>
        </w:rPr>
        <w:t xml:space="preserve"> equity or otherwise, whether known or unknown, suspected or unsuspected, and whether or not concealed or hidden, which Employee has owned or held against the Releasees at any time up to the date of this Agreement, including, without limitation, those arising out of or in any way connected with Employee’s employment relationship, retirement, or separation of employment.</w:t>
      </w:r>
    </w:p>
    <w:p>
      <w:pPr>
        <w:spacing w:after="0" w:line="208" w:lineRule="exact"/>
        <w:rPr>
          <w:rFonts w:ascii="Times New Roman" w:cs="Times New Roman" w:eastAsia="Times New Roman" w:hAnsi="Times New Roman"/>
          <w:sz w:val="19"/>
          <w:szCs w:val="19"/>
          <w:b w:val="1"/>
          <w:bCs w:val="1"/>
          <w:color w:val="282828"/>
        </w:rPr>
      </w:pPr>
    </w:p>
    <w:p>
      <w:pPr>
        <w:jc w:val="both"/>
        <w:ind w:left="599" w:right="40" w:firstLine="18"/>
        <w:spacing w:after="0" w:line="248" w:lineRule="auto"/>
        <w:rPr>
          <w:rFonts w:ascii="Times New Roman" w:cs="Times New Roman" w:eastAsia="Times New Roman" w:hAnsi="Times New Roman"/>
          <w:sz w:val="19"/>
          <w:szCs w:val="19"/>
          <w:b w:val="1"/>
          <w:bCs w:val="1"/>
          <w:color w:val="282828"/>
        </w:rPr>
      </w:pPr>
      <w:r>
        <w:rPr>
          <w:rFonts w:ascii="Times New Roman" w:cs="Times New Roman" w:eastAsia="Times New Roman" w:hAnsi="Times New Roman"/>
          <w:sz w:val="18"/>
          <w:szCs w:val="18"/>
          <w:b w:val="1"/>
          <w:bCs w:val="1"/>
          <w:i w:val="1"/>
          <w:iCs w:val="1"/>
          <w:color w:val="282828"/>
        </w:rPr>
        <w:t xml:space="preserve">Waiver of Claims under the Age Discrimination in Employment Act. </w:t>
      </w:r>
      <w:r>
        <w:rPr>
          <w:rFonts w:ascii="Times New Roman" w:cs="Times New Roman" w:eastAsia="Times New Roman" w:hAnsi="Times New Roman"/>
          <w:sz w:val="19"/>
          <w:szCs w:val="19"/>
          <w:color w:val="282828"/>
        </w:rPr>
        <w:t>Employee recognizes that, in signing this Release of Claims</w:t>
      </w:r>
      <w:r>
        <w:rPr>
          <w:rFonts w:ascii="Times New Roman" w:cs="Times New Roman" w:eastAsia="Times New Roman" w:hAnsi="Times New Roman"/>
          <w:sz w:val="19"/>
          <w:szCs w:val="19"/>
          <w:color w:val="494949"/>
        </w:rPr>
        <w:t>,</w:t>
      </w:r>
      <w:r>
        <w:rPr>
          <w:rFonts w:ascii="Times New Roman" w:cs="Times New Roman" w:eastAsia="Times New Roman" w:hAnsi="Times New Roman"/>
          <w:sz w:val="18"/>
          <w:szCs w:val="18"/>
          <w:b w:val="1"/>
          <w:bCs w:val="1"/>
          <w:i w:val="1"/>
          <w:iCs w:val="1"/>
          <w:color w:val="282828"/>
        </w:rPr>
        <w:t xml:space="preserve"> </w:t>
      </w:r>
      <w:r>
        <w:rPr>
          <w:rFonts w:ascii="Times New Roman" w:cs="Times New Roman" w:eastAsia="Times New Roman" w:hAnsi="Times New Roman"/>
          <w:sz w:val="19"/>
          <w:szCs w:val="19"/>
          <w:color w:val="282828"/>
        </w:rPr>
        <w:t xml:space="preserve">Employee is waiving Employee’s right to pursue any and all claims under the Age Discrimination in Employment Act, 29 U.S.C. § 621 </w:t>
      </w:r>
      <w:r>
        <w:rPr>
          <w:rFonts w:ascii="Times New Roman" w:cs="Times New Roman" w:eastAsia="Times New Roman" w:hAnsi="Times New Roman"/>
          <w:sz w:val="20"/>
          <w:szCs w:val="20"/>
          <w:i w:val="1"/>
          <w:iCs w:val="1"/>
          <w:color w:val="282828"/>
        </w:rPr>
        <w:t>et seq.</w:t>
      </w:r>
      <w:r>
        <w:rPr>
          <w:rFonts w:ascii="Times New Roman" w:cs="Times New Roman" w:eastAsia="Times New Roman" w:hAnsi="Times New Roman"/>
          <w:sz w:val="19"/>
          <w:szCs w:val="19"/>
          <w:color w:val="282828"/>
        </w:rPr>
        <w:t xml:space="preserve"> (“ADEA’’) arising prior to the date that Employee executes this Release. Employee understands that Employee may take twenty-one (21) days from the date this Release is presented to Employee to consider whether to execute this Release. Employee is advised that Employee may wish to consult with an attorney prior to execution of this Release. Once Employee has executed this Release, Employee may revoke the Release at any time during the seven (7) day period following Employee’s execution of the Release. After seven (7) days have passed following Employee’s execution of this Release, Employee</w:t>
      </w:r>
      <w:r>
        <w:rPr>
          <w:rFonts w:ascii="Times New Roman" w:cs="Times New Roman" w:eastAsia="Times New Roman" w:hAnsi="Times New Roman"/>
          <w:sz w:val="19"/>
          <w:szCs w:val="19"/>
          <w:color w:val="494949"/>
        </w:rPr>
        <w:t>’</w:t>
      </w:r>
      <w:r>
        <w:rPr>
          <w:rFonts w:ascii="Times New Roman" w:cs="Times New Roman" w:eastAsia="Times New Roman" w:hAnsi="Times New Roman"/>
          <w:sz w:val="19"/>
          <w:szCs w:val="19"/>
          <w:color w:val="282828"/>
        </w:rPr>
        <w:t>s execution of this Release shall be final and irrevocable.</w:t>
      </w:r>
    </w:p>
    <w:p>
      <w:pPr>
        <w:spacing w:after="0" w:line="200" w:lineRule="exact"/>
        <w:rPr>
          <w:rFonts w:ascii="Times New Roman" w:cs="Times New Roman" w:eastAsia="Times New Roman" w:hAnsi="Times New Roman"/>
          <w:sz w:val="19"/>
          <w:szCs w:val="19"/>
          <w:b w:val="1"/>
          <w:bCs w:val="1"/>
          <w:color w:val="282828"/>
        </w:rPr>
      </w:pPr>
    </w:p>
    <w:p>
      <w:pPr>
        <w:spacing w:after="0" w:line="229" w:lineRule="exact"/>
        <w:rPr>
          <w:rFonts w:ascii="Times New Roman" w:cs="Times New Roman" w:eastAsia="Times New Roman" w:hAnsi="Times New Roman"/>
          <w:sz w:val="19"/>
          <w:szCs w:val="19"/>
          <w:b w:val="1"/>
          <w:bCs w:val="1"/>
          <w:color w:val="282828"/>
        </w:rPr>
      </w:pPr>
    </w:p>
    <w:p>
      <w:pPr>
        <w:jc w:val="both"/>
        <w:ind w:left="579" w:right="60" w:firstLine="5"/>
        <w:spacing w:after="0" w:line="254" w:lineRule="auto"/>
        <w:rPr>
          <w:rFonts w:ascii="Times New Roman" w:cs="Times New Roman" w:eastAsia="Times New Roman" w:hAnsi="Times New Roman"/>
          <w:sz w:val="19"/>
          <w:szCs w:val="19"/>
          <w:b w:val="1"/>
          <w:bCs w:val="1"/>
          <w:color w:val="282828"/>
        </w:rPr>
      </w:pPr>
      <w:r>
        <w:rPr>
          <w:rFonts w:ascii="Times New Roman" w:cs="Times New Roman" w:eastAsia="Times New Roman" w:hAnsi="Times New Roman"/>
          <w:sz w:val="19"/>
          <w:szCs w:val="19"/>
          <w:color w:val="282828"/>
        </w:rPr>
        <w:t>Nothing in this Agreement shall be construed as prohibiting Employee from participating in any investigation or proceeding conducted by the EEOC or by a comparable state or local human rights agency</w:t>
      </w:r>
      <w:r>
        <w:rPr>
          <w:rFonts w:ascii="Times New Roman" w:cs="Times New Roman" w:eastAsia="Times New Roman" w:hAnsi="Times New Roman"/>
          <w:sz w:val="19"/>
          <w:szCs w:val="19"/>
          <w:color w:val="494949"/>
        </w:rPr>
        <w:t>,</w:t>
      </w:r>
      <w:r>
        <w:rPr>
          <w:rFonts w:ascii="Times New Roman" w:cs="Times New Roman" w:eastAsia="Times New Roman" w:hAnsi="Times New Roman"/>
          <w:sz w:val="19"/>
          <w:szCs w:val="19"/>
          <w:color w:val="282828"/>
        </w:rPr>
        <w:t xml:space="preserve"> and any other agency where the right to make a complaint cannot be waived. Notwithstanding the foregoing, by signing this Agreement, Employee is agreeing to waive Employee’s right to recover monetary damages associated with any charge, complaint, or lawsuit filed with any such agency, unless the right to receive such damages cannot be waived by applicable law.</w:t>
      </w:r>
    </w:p>
    <w:p>
      <w:pPr>
        <w:spacing w:after="0" w:line="10" w:lineRule="exact"/>
        <w:rPr>
          <w:rFonts w:ascii="Times New Roman" w:cs="Times New Roman" w:eastAsia="Times New Roman" w:hAnsi="Times New Roman"/>
          <w:sz w:val="19"/>
          <w:szCs w:val="19"/>
          <w:b w:val="1"/>
          <w:bCs w:val="1"/>
          <w:color w:val="282828"/>
        </w:rPr>
      </w:pPr>
    </w:p>
    <w:p>
      <w:pPr>
        <w:ind w:left="699" w:hanging="625"/>
        <w:spacing w:after="0"/>
        <w:tabs>
          <w:tab w:leader="none" w:pos="699" w:val="left"/>
        </w:tabs>
        <w:numPr>
          <w:ilvl w:val="1"/>
          <w:numId w:val="39"/>
        </w:numPr>
        <w:rPr>
          <w:rFonts w:ascii="Times New Roman" w:cs="Times New Roman" w:eastAsia="Times New Roman" w:hAnsi="Times New Roman"/>
          <w:sz w:val="19"/>
          <w:szCs w:val="19"/>
          <w:b w:val="1"/>
          <w:bCs w:val="1"/>
          <w:color w:val="262626"/>
        </w:rPr>
      </w:pPr>
      <w:r>
        <w:rPr>
          <w:rFonts w:ascii="Times New Roman" w:cs="Times New Roman" w:eastAsia="Times New Roman" w:hAnsi="Times New Roman"/>
          <w:sz w:val="19"/>
          <w:szCs w:val="19"/>
          <w:b w:val="1"/>
          <w:bCs w:val="1"/>
          <w:u w:val="single" w:color="auto"/>
          <w:color w:val="262626"/>
        </w:rPr>
        <w:t>Non disparagement</w:t>
      </w:r>
      <w:r>
        <w:rPr>
          <w:rFonts w:ascii="Times New Roman" w:cs="Times New Roman" w:eastAsia="Times New Roman" w:hAnsi="Times New Roman"/>
          <w:sz w:val="19"/>
          <w:szCs w:val="19"/>
          <w:b w:val="1"/>
          <w:bCs w:val="1"/>
          <w:color w:val="262626"/>
        </w:rPr>
        <w:t>.</w:t>
      </w:r>
    </w:p>
    <w:p>
      <w:pPr>
        <w:spacing w:after="0" w:line="190" w:lineRule="exact"/>
        <w:rPr>
          <w:rFonts w:ascii="Times New Roman" w:cs="Times New Roman" w:eastAsia="Times New Roman" w:hAnsi="Times New Roman"/>
          <w:sz w:val="19"/>
          <w:szCs w:val="19"/>
          <w:b w:val="1"/>
          <w:bCs w:val="1"/>
          <w:color w:val="262626"/>
        </w:rPr>
      </w:pPr>
    </w:p>
    <w:p>
      <w:pPr>
        <w:ind w:left="999" w:hanging="304"/>
        <w:spacing w:after="0" w:line="266" w:lineRule="auto"/>
        <w:rPr>
          <w:rFonts w:ascii="Times New Roman" w:cs="Times New Roman" w:eastAsia="Times New Roman" w:hAnsi="Times New Roman"/>
          <w:sz w:val="19"/>
          <w:szCs w:val="19"/>
          <w:b w:val="1"/>
          <w:bCs w:val="1"/>
          <w:color w:val="262626"/>
        </w:rPr>
      </w:pPr>
      <w:r>
        <w:rPr>
          <w:rFonts w:ascii="Times New Roman" w:cs="Times New Roman" w:eastAsia="Times New Roman" w:hAnsi="Times New Roman"/>
          <w:sz w:val="19"/>
          <w:szCs w:val="19"/>
          <w:color w:val="262626"/>
        </w:rPr>
        <w:t>a. Employee covenants and agrees that for a period of two (2) years following the Separation Date, Employee will not at any time, directly or indirectly, either orally, in writing, or through any medium (including, but not limited to posting on Internet sites or social media, or any other form of communication), disparage, defame, impugn, or otherwise damage or assail the reputation, integrity</w:t>
      </w:r>
    </w:p>
    <w:p>
      <w:pPr>
        <w:sectPr>
          <w:pgSz w:w="11900" w:h="16838" w:orient="portrait"/>
          <w:cols w:equalWidth="0" w:num="1">
            <w:col w:w="11039"/>
          </w:cols>
          <w:pgMar w:left="421" w:top="1128" w:right="439" w:bottom="1440" w:gutter="0" w:footer="0" w:header="0"/>
        </w:sectPr>
      </w:pPr>
    </w:p>
    <w:bookmarkStart w:id="168" w:name="page169"/>
    <w:bookmarkEnd w:id="168"/>
    <w:p>
      <w:pPr>
        <w:jc w:val="both"/>
        <w:ind w:left="997"/>
        <w:spacing w:after="0" w:line="270" w:lineRule="auto"/>
        <w:rPr>
          <w:sz w:val="20"/>
          <w:szCs w:val="20"/>
          <w:color w:val="auto"/>
        </w:rPr>
      </w:pPr>
      <w:r>
        <w:rPr>
          <w:rFonts w:ascii="Times New Roman" w:cs="Times New Roman" w:eastAsia="Times New Roman" w:hAnsi="Times New Roman"/>
          <w:sz w:val="19"/>
          <w:szCs w:val="19"/>
          <w:color w:val="262626"/>
        </w:rPr>
        <w:t xml:space="preserve">or professionalism of B&amp;H or the Company, or any of their respective officers, directors, employees, agents or representatives; </w:t>
      </w:r>
      <w:r>
        <w:rPr>
          <w:rFonts w:ascii="Times New Roman" w:cs="Times New Roman" w:eastAsia="Times New Roman" w:hAnsi="Times New Roman"/>
          <w:sz w:val="19"/>
          <w:szCs w:val="19"/>
          <w:i w:val="1"/>
          <w:iCs w:val="1"/>
          <w:color w:val="262626"/>
        </w:rPr>
        <w:t xml:space="preserve">provided, however, </w:t>
      </w:r>
      <w:r>
        <w:rPr>
          <w:rFonts w:ascii="Times New Roman" w:cs="Times New Roman" w:eastAsia="Times New Roman" w:hAnsi="Times New Roman"/>
          <w:sz w:val="19"/>
          <w:szCs w:val="19"/>
          <w:color w:val="262626"/>
        </w:rPr>
        <w:t>nothing herein shall preclude Employee from testifying truthfully pursuant to a lawfully issued subpoena,</w:t>
      </w:r>
      <w:r>
        <w:rPr>
          <w:rFonts w:ascii="Times New Roman" w:cs="Times New Roman" w:eastAsia="Times New Roman" w:hAnsi="Times New Roman"/>
          <w:sz w:val="19"/>
          <w:szCs w:val="19"/>
          <w:i w:val="1"/>
          <w:iCs w:val="1"/>
          <w:color w:val="262626"/>
        </w:rPr>
        <w:t xml:space="preserve"> </w:t>
      </w:r>
      <w:r>
        <w:rPr>
          <w:rFonts w:ascii="Times New Roman" w:cs="Times New Roman" w:eastAsia="Times New Roman" w:hAnsi="Times New Roman"/>
          <w:sz w:val="19"/>
          <w:szCs w:val="19"/>
          <w:color w:val="262626"/>
        </w:rPr>
        <w:t>from truthfully responding to or participating in any government inquiry.</w:t>
      </w:r>
    </w:p>
    <w:p>
      <w:pPr>
        <w:spacing w:after="0" w:line="116" w:lineRule="exact"/>
        <w:rPr>
          <w:sz w:val="20"/>
          <w:szCs w:val="20"/>
          <w:color w:val="auto"/>
        </w:rPr>
      </w:pPr>
    </w:p>
    <w:p>
      <w:pPr>
        <w:jc w:val="both"/>
        <w:ind w:left="977" w:hanging="288"/>
        <w:spacing w:after="0" w:line="261" w:lineRule="auto"/>
        <w:tabs>
          <w:tab w:leader="none" w:pos="970" w:val="left"/>
        </w:tabs>
        <w:numPr>
          <w:ilvl w:val="3"/>
          <w:numId w:val="40"/>
        </w:numPr>
        <w:rPr>
          <w:rFonts w:ascii="Times New Roman" w:cs="Times New Roman" w:eastAsia="Times New Roman" w:hAnsi="Times New Roman"/>
          <w:sz w:val="19"/>
          <w:szCs w:val="19"/>
          <w:color w:val="262626"/>
        </w:rPr>
      </w:pPr>
      <w:r>
        <w:rPr>
          <w:rFonts w:ascii="Times New Roman" w:cs="Times New Roman" w:eastAsia="Times New Roman" w:hAnsi="Times New Roman"/>
          <w:sz w:val="19"/>
          <w:szCs w:val="19"/>
          <w:color w:val="262626"/>
        </w:rPr>
        <w:t>B&amp;H covenants and agrees that for a period of two (2) years following the Separation Date, no Bank employee, agent, or representative who is aware of this Agreement will at any time, directly or indirectly, orally, in writing or through any medium (including, but not limited to posting on Internet sites or social media, or any other form of communication), disparage, defame, impugn, or otherwise damage or assail the reputation, integrity, or professionalism of Employee to any person outside the Bank or the Company</w:t>
      </w:r>
      <w:r>
        <w:rPr>
          <w:rFonts w:ascii="Times New Roman" w:cs="Times New Roman" w:eastAsia="Times New Roman" w:hAnsi="Times New Roman"/>
          <w:sz w:val="19"/>
          <w:szCs w:val="19"/>
          <w:i w:val="1"/>
          <w:iCs w:val="1"/>
          <w:color w:val="262626"/>
        </w:rPr>
        <w:t>, provided, however,</w:t>
      </w:r>
      <w:r>
        <w:rPr>
          <w:rFonts w:ascii="Times New Roman" w:cs="Times New Roman" w:eastAsia="Times New Roman" w:hAnsi="Times New Roman"/>
          <w:sz w:val="19"/>
          <w:szCs w:val="19"/>
          <w:color w:val="262626"/>
        </w:rPr>
        <w:t xml:space="preserve"> nothing herein shall preclude the Company from testifying truthfully pursuant to a lawfully issued subpoena or from truthfully responding to or participating in any government inquiry.</w:t>
      </w:r>
    </w:p>
    <w:p>
      <w:pPr>
        <w:spacing w:after="0" w:line="134" w:lineRule="exact"/>
        <w:rPr>
          <w:rFonts w:ascii="Times New Roman" w:cs="Times New Roman" w:eastAsia="Times New Roman" w:hAnsi="Times New Roman"/>
          <w:sz w:val="19"/>
          <w:szCs w:val="19"/>
          <w:color w:val="262626"/>
        </w:rPr>
      </w:pPr>
    </w:p>
    <w:p>
      <w:pPr>
        <w:jc w:val="both"/>
        <w:ind w:left="637" w:right="20" w:hanging="604"/>
        <w:spacing w:after="0" w:line="256" w:lineRule="auto"/>
        <w:tabs>
          <w:tab w:leader="none" w:pos="636" w:val="left"/>
        </w:tabs>
        <w:numPr>
          <w:ilvl w:val="1"/>
          <w:numId w:val="41"/>
        </w:numPr>
        <w:rPr>
          <w:rFonts w:ascii="Times New Roman" w:cs="Times New Roman" w:eastAsia="Times New Roman" w:hAnsi="Times New Roman"/>
          <w:sz w:val="19"/>
          <w:szCs w:val="19"/>
          <w:b w:val="1"/>
          <w:bCs w:val="1"/>
          <w:color w:val="262626"/>
        </w:rPr>
      </w:pPr>
      <w:r>
        <w:rPr>
          <w:rFonts w:ascii="Times New Roman" w:cs="Times New Roman" w:eastAsia="Times New Roman" w:hAnsi="Times New Roman"/>
          <w:sz w:val="19"/>
          <w:szCs w:val="19"/>
          <w:b w:val="1"/>
          <w:bCs w:val="1"/>
          <w:u w:val="single" w:color="auto"/>
          <w:color w:val="262626"/>
        </w:rPr>
        <w:t>Section 409A Compliance.</w:t>
      </w:r>
      <w:r>
        <w:rPr>
          <w:rFonts w:ascii="Times New Roman" w:cs="Times New Roman" w:eastAsia="Times New Roman" w:hAnsi="Times New Roman"/>
          <w:sz w:val="19"/>
          <w:szCs w:val="19"/>
          <w:b w:val="1"/>
          <w:bCs w:val="1"/>
          <w:color w:val="262626"/>
        </w:rPr>
        <w:t xml:space="preserve"> </w:t>
      </w:r>
      <w:r>
        <w:rPr>
          <w:rFonts w:ascii="Times New Roman" w:cs="Times New Roman" w:eastAsia="Times New Roman" w:hAnsi="Times New Roman"/>
          <w:sz w:val="19"/>
          <w:szCs w:val="19"/>
          <w:color w:val="262626"/>
        </w:rPr>
        <w:t>The intent of the Parties is that payments and benefits under this Agreement comply with, or be exempt</w:t>
      </w:r>
      <w:r>
        <w:rPr>
          <w:rFonts w:ascii="Times New Roman" w:cs="Times New Roman" w:eastAsia="Times New Roman" w:hAnsi="Times New Roman"/>
          <w:sz w:val="19"/>
          <w:szCs w:val="19"/>
          <w:b w:val="1"/>
          <w:bCs w:val="1"/>
          <w:color w:val="262626"/>
        </w:rPr>
        <w:t xml:space="preserve"> </w:t>
      </w:r>
      <w:r>
        <w:rPr>
          <w:rFonts w:ascii="Times New Roman" w:cs="Times New Roman" w:eastAsia="Times New Roman" w:hAnsi="Times New Roman"/>
          <w:sz w:val="19"/>
          <w:szCs w:val="19"/>
          <w:color w:val="262626"/>
        </w:rPr>
        <w:t xml:space="preserve">from, Section 409A, and, accordingly, to the maximum extent permitted, this Agreement shall be interpreted and administered to be in compliance therewith. Notwithstanding any other provision of this Agreement, payments provided under this Agreement may only be made upon an event and in a manner that complies with Section 409A or an applicable exemption. For purposes of Section 409A, each installment payment provided under this Agreement shall be treated as a separate payment. A termination of employment shall not be deemed to have occurred for purposes of any provision of this Agreement providing for the payment of any amounts or benefits that are considered nonqualified deferred compensation under Section 409A upon or following a termination of employment unless such termination is also a </w:t>
      </w:r>
      <w:r>
        <w:rPr>
          <w:rFonts w:ascii="Times New Roman" w:cs="Times New Roman" w:eastAsia="Times New Roman" w:hAnsi="Times New Roman"/>
          <w:sz w:val="19"/>
          <w:szCs w:val="19"/>
          <w:color w:val="3D3D3D"/>
        </w:rPr>
        <w:t>“separation</w:t>
      </w:r>
      <w:r>
        <w:rPr>
          <w:rFonts w:ascii="Times New Roman" w:cs="Times New Roman" w:eastAsia="Times New Roman" w:hAnsi="Times New Roman"/>
          <w:sz w:val="19"/>
          <w:szCs w:val="19"/>
          <w:color w:val="262626"/>
        </w:rPr>
        <w:t xml:space="preserve"> from service” within the meaning of Section 409A, and, for purposes of any such provision of this Agreement, references to a </w:t>
      </w:r>
      <w:r>
        <w:rPr>
          <w:rFonts w:ascii="Times New Roman" w:cs="Times New Roman" w:eastAsia="Times New Roman" w:hAnsi="Times New Roman"/>
          <w:sz w:val="19"/>
          <w:szCs w:val="19"/>
          <w:color w:val="3D3D3D"/>
        </w:rPr>
        <w:t>“termination,” “termination</w:t>
      </w:r>
      <w:r>
        <w:rPr>
          <w:rFonts w:ascii="Times New Roman" w:cs="Times New Roman" w:eastAsia="Times New Roman" w:hAnsi="Times New Roman"/>
          <w:sz w:val="19"/>
          <w:szCs w:val="19"/>
          <w:color w:val="262626"/>
        </w:rPr>
        <w:t xml:space="preserve"> of employment” or like terms shall mean “separation from service.” In the event Employee executes a Release Agreement (and the expiration of any revocation rights provided therein) which could become effective in one</w:t>
      </w:r>
    </w:p>
    <w:p>
      <w:pPr>
        <w:jc w:val="both"/>
        <w:ind w:left="637" w:right="40" w:firstLine="7"/>
        <w:spacing w:after="0" w:line="247" w:lineRule="auto"/>
        <w:rPr>
          <w:rFonts w:ascii="Times New Roman" w:cs="Times New Roman" w:eastAsia="Times New Roman" w:hAnsi="Times New Roman"/>
          <w:sz w:val="19"/>
          <w:szCs w:val="19"/>
          <w:b w:val="1"/>
          <w:bCs w:val="1"/>
          <w:color w:val="262626"/>
        </w:rPr>
      </w:pPr>
      <w:r>
        <w:rPr>
          <w:rFonts w:ascii="Times New Roman" w:cs="Times New Roman" w:eastAsia="Times New Roman" w:hAnsi="Times New Roman"/>
          <w:sz w:val="18"/>
          <w:szCs w:val="18"/>
          <w:color w:val="262626"/>
        </w:rPr>
        <w:t xml:space="preserve">(1) </w:t>
      </w:r>
      <w:r>
        <w:rPr>
          <w:rFonts w:ascii="Times New Roman" w:cs="Times New Roman" w:eastAsia="Times New Roman" w:hAnsi="Times New Roman"/>
          <w:sz w:val="19"/>
          <w:szCs w:val="19"/>
          <w:color w:val="262626"/>
        </w:rPr>
        <w:t>of two (2) taxable years of Employee depending on when Employee executes and delivers the waiver and release, the waiver and</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9"/>
          <w:szCs w:val="19"/>
          <w:color w:val="262626"/>
        </w:rPr>
        <w:t>release will be deemed executed in the later of such tax years. The Bank makes no representation that the payments and benefits provided under this Agreement comply with Section 409A and in no event shall the Bank be liable for all or any portion of any taxes, penalties, interest or other expenses that may be incurred by the Employee on account of</w:t>
      </w:r>
    </w:p>
    <w:p>
      <w:pPr>
        <w:ind w:left="637"/>
        <w:spacing w:after="0"/>
        <w:rPr>
          <w:rFonts w:ascii="Times New Roman" w:cs="Times New Roman" w:eastAsia="Times New Roman" w:hAnsi="Times New Roman"/>
          <w:sz w:val="19"/>
          <w:szCs w:val="19"/>
          <w:b w:val="1"/>
          <w:bCs w:val="1"/>
          <w:color w:val="262626"/>
        </w:rPr>
      </w:pPr>
      <w:r>
        <w:rPr>
          <w:rFonts w:ascii="Times New Roman" w:cs="Times New Roman" w:eastAsia="Times New Roman" w:hAnsi="Times New Roman"/>
          <w:sz w:val="19"/>
          <w:szCs w:val="19"/>
          <w:color w:val="262626"/>
        </w:rPr>
        <w:t>noncompliance with Section 409A.</w:t>
      </w:r>
    </w:p>
    <w:p>
      <w:pPr>
        <w:spacing w:after="0" w:line="151" w:lineRule="exact"/>
        <w:rPr>
          <w:rFonts w:ascii="Times New Roman" w:cs="Times New Roman" w:eastAsia="Times New Roman" w:hAnsi="Times New Roman"/>
          <w:sz w:val="19"/>
          <w:szCs w:val="19"/>
          <w:b w:val="1"/>
          <w:bCs w:val="1"/>
          <w:color w:val="262626"/>
        </w:rPr>
      </w:pPr>
    </w:p>
    <w:p>
      <w:pPr>
        <w:jc w:val="both"/>
        <w:ind w:left="617" w:right="60" w:hanging="617"/>
        <w:spacing w:after="0" w:line="247" w:lineRule="auto"/>
        <w:tabs>
          <w:tab w:leader="none" w:pos="617" w:val="left"/>
        </w:tabs>
        <w:numPr>
          <w:ilvl w:val="0"/>
          <w:numId w:val="42"/>
        </w:numPr>
        <w:rPr>
          <w:rFonts w:ascii="Times New Roman" w:cs="Times New Roman" w:eastAsia="Times New Roman" w:hAnsi="Times New Roman"/>
          <w:sz w:val="19"/>
          <w:szCs w:val="19"/>
          <w:b w:val="1"/>
          <w:bCs w:val="1"/>
          <w:color w:val="262626"/>
        </w:rPr>
      </w:pPr>
      <w:r>
        <w:rPr>
          <w:rFonts w:ascii="Times New Roman" w:cs="Times New Roman" w:eastAsia="Times New Roman" w:hAnsi="Times New Roman"/>
          <w:sz w:val="19"/>
          <w:szCs w:val="19"/>
          <w:b w:val="1"/>
          <w:bCs w:val="1"/>
          <w:u w:val="single" w:color="auto"/>
          <w:color w:val="262626"/>
        </w:rPr>
        <w:t>Entire Agreement.</w:t>
      </w:r>
      <w:r>
        <w:rPr>
          <w:rFonts w:ascii="Times New Roman" w:cs="Times New Roman" w:eastAsia="Times New Roman" w:hAnsi="Times New Roman"/>
          <w:sz w:val="19"/>
          <w:szCs w:val="19"/>
          <w:b w:val="1"/>
          <w:bCs w:val="1"/>
          <w:color w:val="262626"/>
        </w:rPr>
        <w:t xml:space="preserve"> </w:t>
      </w:r>
      <w:r>
        <w:rPr>
          <w:rFonts w:ascii="Times New Roman" w:cs="Times New Roman" w:eastAsia="Times New Roman" w:hAnsi="Times New Roman"/>
          <w:sz w:val="19"/>
          <w:szCs w:val="19"/>
          <w:color w:val="262626"/>
        </w:rPr>
        <w:t>This Agreement constitutes and contains the entire agreement and understanding concerning Employee’s</w:t>
      </w:r>
      <w:r>
        <w:rPr>
          <w:rFonts w:ascii="Times New Roman" w:cs="Times New Roman" w:eastAsia="Times New Roman" w:hAnsi="Times New Roman"/>
          <w:sz w:val="19"/>
          <w:szCs w:val="19"/>
          <w:b w:val="1"/>
          <w:bCs w:val="1"/>
          <w:color w:val="262626"/>
        </w:rPr>
        <w:t xml:space="preserve"> </w:t>
      </w:r>
      <w:r>
        <w:rPr>
          <w:rFonts w:ascii="Times New Roman" w:cs="Times New Roman" w:eastAsia="Times New Roman" w:hAnsi="Times New Roman"/>
          <w:sz w:val="19"/>
          <w:szCs w:val="19"/>
          <w:color w:val="262626"/>
        </w:rPr>
        <w:t>employment and separation of employment, and the other subject matter addressed herein between the Parties, and supersedes and replaces all prior negotiations and all prior agreements proposed or otherwise, whether written or oral, concerning the subject matter hereof, including, but not limited to, the CIC Agreement, except that Employee shall continue to be obligated to comply with the terms of any restrictive covenant or confidentiality agreement Employee executed in connection with Employee’s employment with B&amp;H or the Company, including, but not limited to, those contained in Section 4 of the CIC Agreement. Employee acknowledges and agrees that the Separation Benefits provided in Section 2 of this Agreement constitute sufficient consideration for his obligations in Section 4 of the CIC Agreement and that he shall be bound by such obligations. This Agreement may not be amended or modified except by an agreement in writing signed by both Parties</w:t>
      </w:r>
      <w:r>
        <w:rPr>
          <w:rFonts w:ascii="Times New Roman" w:cs="Times New Roman" w:eastAsia="Times New Roman" w:hAnsi="Times New Roman"/>
          <w:sz w:val="19"/>
          <w:szCs w:val="19"/>
          <w:color w:val="4D4D4D"/>
        </w:rPr>
        <w:t>.</w:t>
      </w:r>
      <w:r>
        <w:rPr>
          <w:rFonts w:ascii="Times New Roman" w:cs="Times New Roman" w:eastAsia="Times New Roman" w:hAnsi="Times New Roman"/>
          <w:sz w:val="19"/>
          <w:szCs w:val="19"/>
          <w:color w:val="262626"/>
        </w:rPr>
        <w:t xml:space="preserve"> The drafting of this Agreement shall be </w:t>
      </w:r>
      <w:r>
        <w:rPr>
          <w:rFonts w:ascii="Times New Roman" w:cs="Times New Roman" w:eastAsia="Times New Roman" w:hAnsi="Times New Roman"/>
          <w:sz w:val="18"/>
          <w:szCs w:val="18"/>
          <w:color w:val="282828"/>
        </w:rPr>
        <w:t>deemed a mutual endeavor by all</w:t>
      </w:r>
      <w:r>
        <w:rPr>
          <w:rFonts w:ascii="Times New Roman" w:cs="Times New Roman" w:eastAsia="Times New Roman" w:hAnsi="Times New Roman"/>
          <w:sz w:val="19"/>
          <w:szCs w:val="19"/>
          <w:color w:val="262626"/>
        </w:rPr>
        <w:t xml:space="preserve"> </w:t>
      </w:r>
      <w:r>
        <w:rPr>
          <w:rFonts w:ascii="Times New Roman" w:cs="Times New Roman" w:eastAsia="Times New Roman" w:hAnsi="Times New Roman"/>
          <w:sz w:val="18"/>
          <w:szCs w:val="18"/>
          <w:color w:val="282828"/>
        </w:rPr>
        <w:t>Parties and shall not be construed against any single Party as the drafter.</w:t>
      </w:r>
    </w:p>
    <w:p>
      <w:pPr>
        <w:spacing w:after="0" w:line="205" w:lineRule="exact"/>
        <w:rPr>
          <w:rFonts w:ascii="Times New Roman" w:cs="Times New Roman" w:eastAsia="Times New Roman" w:hAnsi="Times New Roman"/>
          <w:sz w:val="19"/>
          <w:szCs w:val="19"/>
          <w:b w:val="1"/>
          <w:bCs w:val="1"/>
          <w:color w:val="262626"/>
        </w:rPr>
      </w:pPr>
    </w:p>
    <w:p>
      <w:pPr>
        <w:ind w:left="857" w:right="380" w:hanging="623"/>
        <w:spacing w:after="0" w:line="281" w:lineRule="auto"/>
        <w:tabs>
          <w:tab w:leader="none" w:pos="855" w:val="left"/>
        </w:tabs>
        <w:numPr>
          <w:ilvl w:val="2"/>
          <w:numId w:val="42"/>
        </w:numPr>
        <w:rPr>
          <w:rFonts w:ascii="Times New Roman" w:cs="Times New Roman" w:eastAsia="Times New Roman" w:hAnsi="Times New Roman"/>
          <w:sz w:val="19"/>
          <w:szCs w:val="19"/>
          <w:b w:val="1"/>
          <w:bCs w:val="1"/>
          <w:color w:val="282828"/>
        </w:rPr>
      </w:pPr>
      <w:r>
        <w:rPr>
          <w:rFonts w:ascii="Times New Roman" w:cs="Times New Roman" w:eastAsia="Times New Roman" w:hAnsi="Times New Roman"/>
          <w:sz w:val="19"/>
          <w:szCs w:val="19"/>
          <w:b w:val="1"/>
          <w:bCs w:val="1"/>
          <w:u w:val="single" w:color="auto"/>
          <w:color w:val="282828"/>
        </w:rPr>
        <w:t>Governin</w:t>
      </w:r>
      <w:r>
        <w:rPr>
          <w:rFonts w:ascii="Times New Roman" w:cs="Times New Roman" w:eastAsia="Times New Roman" w:hAnsi="Times New Roman"/>
          <w:sz w:val="19"/>
          <w:szCs w:val="19"/>
          <w:b w:val="1"/>
          <w:bCs w:val="1"/>
          <w:u w:val="single" w:color="auto"/>
          <w:color w:val="444444"/>
        </w:rPr>
        <w:t>g</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9"/>
          <w:szCs w:val="19"/>
          <w:b w:val="1"/>
          <w:bCs w:val="1"/>
          <w:u w:val="single" w:color="auto"/>
          <w:color w:val="282828"/>
        </w:rPr>
        <w:t>Law.</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8"/>
          <w:szCs w:val="18"/>
          <w:color w:val="282828"/>
        </w:rPr>
        <w:t>This Agreement shall be governed by and subject to the laws and exclusive jurisdiction of the courts of the</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8"/>
          <w:szCs w:val="18"/>
          <w:color w:val="282828"/>
        </w:rPr>
        <w:t>Commonwealth of Virginia located in the City of Alexandria.</w:t>
      </w:r>
    </w:p>
    <w:p>
      <w:pPr>
        <w:sectPr>
          <w:pgSz w:w="11900" w:h="16838" w:orient="portrait"/>
          <w:cols w:equalWidth="0" w:num="1">
            <w:col w:w="11037"/>
          </w:cols>
          <w:pgMar w:left="423" w:top="1246" w:right="439" w:bottom="1440" w:gutter="0" w:footer="0" w:header="0"/>
        </w:sectPr>
      </w:pPr>
    </w:p>
    <w:bookmarkStart w:id="169" w:name="page170"/>
    <w:bookmarkEnd w:id="169"/>
    <w:p>
      <w:pPr>
        <w:ind w:left="880" w:hanging="626"/>
        <w:spacing w:after="0" w:line="295" w:lineRule="auto"/>
        <w:tabs>
          <w:tab w:leader="none" w:pos="879" w:val="left"/>
        </w:tabs>
        <w:numPr>
          <w:ilvl w:val="0"/>
          <w:numId w:val="43"/>
        </w:numPr>
        <w:rPr>
          <w:rFonts w:ascii="Times New Roman" w:cs="Times New Roman" w:eastAsia="Times New Roman" w:hAnsi="Times New Roman"/>
          <w:sz w:val="18"/>
          <w:szCs w:val="18"/>
          <w:b w:val="1"/>
          <w:bCs w:val="1"/>
          <w:color w:val="282828"/>
        </w:rPr>
      </w:pPr>
      <w:r>
        <w:rPr>
          <w:rFonts w:ascii="Times New Roman" w:cs="Times New Roman" w:eastAsia="Times New Roman" w:hAnsi="Times New Roman"/>
          <w:sz w:val="19"/>
          <w:szCs w:val="19"/>
          <w:b w:val="1"/>
          <w:bCs w:val="1"/>
          <w:u w:val="single" w:color="auto"/>
          <w:color w:val="282828"/>
        </w:rPr>
        <w:t>Severabili</w:t>
      </w:r>
      <w:r>
        <w:rPr>
          <w:rFonts w:ascii="Times New Roman" w:cs="Times New Roman" w:eastAsia="Times New Roman" w:hAnsi="Times New Roman"/>
          <w:sz w:val="19"/>
          <w:szCs w:val="19"/>
          <w:b w:val="1"/>
          <w:bCs w:val="1"/>
          <w:u w:val="single" w:color="auto"/>
          <w:color w:val="444444"/>
        </w:rPr>
        <w:t>ty</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8"/>
          <w:szCs w:val="18"/>
          <w:color w:val="282828"/>
        </w:rPr>
        <w:t>In the event that one or more of the provisions of this Agreement shall for any reason be held to be illegal or</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8"/>
          <w:szCs w:val="18"/>
          <w:color w:val="282828"/>
        </w:rPr>
        <w:t>unenforceable, this Agreement shall be revised only to the extent necessary to make such provision(s) legal and enforceable.</w:t>
      </w:r>
    </w:p>
    <w:p>
      <w:pPr>
        <w:spacing w:after="0" w:line="158" w:lineRule="exact"/>
        <w:rPr>
          <w:rFonts w:ascii="Times New Roman" w:cs="Times New Roman" w:eastAsia="Times New Roman" w:hAnsi="Times New Roman"/>
          <w:sz w:val="18"/>
          <w:szCs w:val="18"/>
          <w:b w:val="1"/>
          <w:bCs w:val="1"/>
          <w:color w:val="282828"/>
        </w:rPr>
      </w:pPr>
    </w:p>
    <w:p>
      <w:pPr>
        <w:jc w:val="both"/>
        <w:ind w:left="860" w:hanging="613"/>
        <w:spacing w:after="0" w:line="277" w:lineRule="auto"/>
        <w:tabs>
          <w:tab w:leader="none" w:pos="852" w:val="left"/>
        </w:tabs>
        <w:numPr>
          <w:ilvl w:val="0"/>
          <w:numId w:val="43"/>
        </w:numPr>
        <w:rPr>
          <w:rFonts w:ascii="Times New Roman" w:cs="Times New Roman" w:eastAsia="Times New Roman" w:hAnsi="Times New Roman"/>
          <w:sz w:val="19"/>
          <w:szCs w:val="19"/>
          <w:b w:val="1"/>
          <w:bCs w:val="1"/>
          <w:color w:val="282828"/>
        </w:rPr>
      </w:pPr>
      <w:r>
        <w:rPr>
          <w:rFonts w:ascii="Times New Roman" w:cs="Times New Roman" w:eastAsia="Times New Roman" w:hAnsi="Times New Roman"/>
          <w:sz w:val="19"/>
          <w:szCs w:val="19"/>
          <w:b w:val="1"/>
          <w:bCs w:val="1"/>
          <w:u w:val="single" w:color="auto"/>
          <w:color w:val="282828"/>
        </w:rPr>
        <w:t>Enforcement; Attorne</w:t>
      </w:r>
      <w:r>
        <w:rPr>
          <w:rFonts w:ascii="Times New Roman" w:cs="Times New Roman" w:eastAsia="Times New Roman" w:hAnsi="Times New Roman"/>
          <w:sz w:val="19"/>
          <w:szCs w:val="19"/>
          <w:b w:val="1"/>
          <w:bCs w:val="1"/>
          <w:u w:val="single" w:color="auto"/>
          <w:color w:val="444444"/>
        </w:rPr>
        <w:t>y</w:t>
      </w:r>
      <w:r>
        <w:rPr>
          <w:rFonts w:ascii="Times New Roman" w:cs="Times New Roman" w:eastAsia="Times New Roman" w:hAnsi="Times New Roman"/>
          <w:sz w:val="19"/>
          <w:szCs w:val="19"/>
          <w:b w:val="1"/>
          <w:bCs w:val="1"/>
          <w:u w:val="single" w:color="auto"/>
          <w:color w:val="282828"/>
        </w:rPr>
        <w:t>s’ Fees.</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8"/>
          <w:szCs w:val="18"/>
          <w:color w:val="282828"/>
        </w:rPr>
        <w:t>Should either Party be required to bring a legal action to enforce the terms of this Agreement</w:t>
      </w:r>
      <w:r>
        <w:rPr>
          <w:rFonts w:ascii="Times New Roman" w:cs="Times New Roman" w:eastAsia="Times New Roman" w:hAnsi="Times New Roman"/>
          <w:sz w:val="18"/>
          <w:szCs w:val="18"/>
          <w:color w:val="444444"/>
        </w:rPr>
        <w:t>,</w:t>
      </w:r>
      <w:r>
        <w:rPr>
          <w:rFonts w:ascii="Times New Roman" w:cs="Times New Roman" w:eastAsia="Times New Roman" w:hAnsi="Times New Roman"/>
          <w:sz w:val="19"/>
          <w:szCs w:val="19"/>
          <w:b w:val="1"/>
          <w:bCs w:val="1"/>
          <w:color w:val="282828"/>
        </w:rPr>
        <w:t xml:space="preserve"> </w:t>
      </w:r>
      <w:r>
        <w:rPr>
          <w:rFonts w:ascii="Times New Roman" w:cs="Times New Roman" w:eastAsia="Times New Roman" w:hAnsi="Times New Roman"/>
          <w:sz w:val="18"/>
          <w:szCs w:val="18"/>
          <w:color w:val="282828"/>
        </w:rPr>
        <w:t>including the terms of the release, the prevailing Party in such action shall be entitled to receive its attorneys’ fees and costs incurred in bringing or defending such action.</w:t>
      </w:r>
    </w:p>
    <w:p>
      <w:pPr>
        <w:spacing w:after="0" w:line="201" w:lineRule="exact"/>
        <w:rPr>
          <w:sz w:val="20"/>
          <w:szCs w:val="20"/>
          <w:color w:val="auto"/>
        </w:rPr>
      </w:pPr>
    </w:p>
    <w:p>
      <w:pPr>
        <w:ind w:left="240" w:right="20" w:firstLine="631"/>
        <w:spacing w:after="0" w:line="296" w:lineRule="auto"/>
        <w:rPr>
          <w:sz w:val="20"/>
          <w:szCs w:val="20"/>
          <w:color w:val="auto"/>
        </w:rPr>
      </w:pPr>
      <w:r>
        <w:rPr>
          <w:rFonts w:ascii="Times New Roman" w:cs="Times New Roman" w:eastAsia="Times New Roman" w:hAnsi="Times New Roman"/>
          <w:sz w:val="18"/>
          <w:szCs w:val="18"/>
          <w:color w:val="282828"/>
        </w:rPr>
        <w:t>The Parties acknowledge that they have read the foregoing Agreement, understand its contents</w:t>
      </w:r>
      <w:r>
        <w:rPr>
          <w:rFonts w:ascii="Times New Roman" w:cs="Times New Roman" w:eastAsia="Times New Roman" w:hAnsi="Times New Roman"/>
          <w:sz w:val="18"/>
          <w:szCs w:val="18"/>
          <w:color w:val="444444"/>
        </w:rPr>
        <w:t>,</w:t>
      </w:r>
      <w:r>
        <w:rPr>
          <w:rFonts w:ascii="Times New Roman" w:cs="Times New Roman" w:eastAsia="Times New Roman" w:hAnsi="Times New Roman"/>
          <w:sz w:val="18"/>
          <w:szCs w:val="18"/>
          <w:color w:val="282828"/>
        </w:rPr>
        <w:t xml:space="preserve"> and accept and agree to the provisions it contains and hereby execute it voluntarily and knowingly and with full understanding of its consequences.</w:t>
      </w:r>
    </w:p>
    <w:p>
      <w:pPr>
        <w:spacing w:after="0" w:line="168" w:lineRule="exact"/>
        <w:rPr>
          <w:sz w:val="20"/>
          <w:szCs w:val="20"/>
          <w:color w:val="auto"/>
        </w:rPr>
      </w:pPr>
    </w:p>
    <w:p>
      <w:pPr>
        <w:ind w:left="1480" w:right="1240" w:firstLine="592"/>
        <w:spacing w:after="0" w:line="286" w:lineRule="auto"/>
        <w:rPr>
          <w:sz w:val="20"/>
          <w:szCs w:val="20"/>
          <w:color w:val="auto"/>
        </w:rPr>
      </w:pPr>
      <w:r>
        <w:rPr>
          <w:rFonts w:ascii="Times New Roman" w:cs="Times New Roman" w:eastAsia="Times New Roman" w:hAnsi="Times New Roman"/>
          <w:sz w:val="18"/>
          <w:szCs w:val="18"/>
          <w:b w:val="1"/>
          <w:bCs w:val="1"/>
          <w:color w:val="282828"/>
        </w:rPr>
        <w:t>PLEASE READ CAREFULLY. TIDS AGREEMENT INCLUDES A RELEASE OF KNOWN AND UNKNOWN CLAIMS.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66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BURKE &amp; HERBERT BANK &amp; TRUST COMPANY</w:t>
            </w:r>
          </w:p>
        </w:tc>
      </w:tr>
      <w:tr>
        <w:trPr>
          <w:trHeight w:val="41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 Jeffrey Welch</w:t>
            </w:r>
          </w:p>
        </w:tc>
        <w:tc>
          <w:tcPr>
            <w:tcW w:w="2420" w:type="dxa"/>
            <w:vAlign w:val="bottom"/>
          </w:tcPr>
          <w:p>
            <w:pPr>
              <w:jc w:val="right"/>
              <w:ind w:right="1308"/>
              <w:spacing w:after="0"/>
              <w:rPr>
                <w:sz w:val="20"/>
                <w:szCs w:val="20"/>
                <w:color w:val="auto"/>
              </w:rPr>
            </w:pPr>
            <w:r>
              <w:rPr>
                <w:rFonts w:ascii="Times New Roman" w:cs="Times New Roman" w:eastAsia="Times New Roman" w:hAnsi="Times New Roman"/>
                <w:sz w:val="18"/>
                <w:szCs w:val="18"/>
                <w:color w:val="auto"/>
              </w:rPr>
              <w:t>12/27/2025</w:t>
            </w:r>
          </w:p>
        </w:tc>
        <w:tc>
          <w:tcPr>
            <w:tcW w:w="1400" w:type="dxa"/>
            <w:vAlign w:val="bottom"/>
          </w:tcPr>
          <w:p>
            <w:pPr>
              <w:spacing w:after="0"/>
              <w:rPr>
                <w:sz w:val="24"/>
                <w:szCs w:val="24"/>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Emily Debeniotis01/02/2025</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1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By:   Jeffrey Welch</w:t>
            </w:r>
          </w:p>
        </w:tc>
        <w:tc>
          <w:tcPr>
            <w:tcW w:w="2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Emily Debeniotis</w:t>
            </w:r>
          </w:p>
        </w:tc>
      </w:tr>
      <w:tr>
        <w:trPr>
          <w:trHeight w:val="210"/>
        </w:trPr>
        <w:tc>
          <w:tcPr>
            <w:tcW w:w="1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 Executive Director of</w:t>
            </w:r>
          </w:p>
        </w:tc>
      </w:tr>
      <w:tr>
        <w:trPr>
          <w:trHeight w:val="240"/>
        </w:trPr>
        <w:tc>
          <w:tcPr>
            <w:tcW w:w="1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Human Resources</w:t>
            </w:r>
          </w:p>
        </w:tc>
      </w:tr>
    </w:tbl>
    <w:p>
      <w:pPr>
        <w:sectPr>
          <w:pgSz w:w="11900" w:h="16838" w:orient="portrait"/>
          <w:cols w:equalWidth="0" w:num="1">
            <w:col w:w="10680"/>
          </w:cols>
          <w:pgMar w:left="400" w:top="1060" w:right="819" w:bottom="1440" w:gutter="0" w:footer="0" w:header="0"/>
        </w:sectPr>
      </w:pPr>
    </w:p>
    <w:bookmarkStart w:id="170" w:name="page171"/>
    <w:bookmarkEnd w:id="170"/>
    <w:p>
      <w:pPr>
        <w:spacing w:after="0" w:line="152" w:lineRule="exact"/>
        <w:rPr>
          <w:sz w:val="20"/>
          <w:szCs w:val="20"/>
          <w:color w:val="auto"/>
        </w:rPr>
      </w:pPr>
    </w:p>
    <w:p>
      <w:pPr>
        <w:ind w:right="2060" w:firstLine="2059"/>
        <w:spacing w:after="0" w:line="508" w:lineRule="auto"/>
        <w:rPr>
          <w:sz w:val="20"/>
          <w:szCs w:val="20"/>
          <w:color w:val="auto"/>
        </w:rPr>
      </w:pPr>
      <w:r>
        <w:rPr>
          <w:rFonts w:ascii="Times New Roman" w:cs="Times New Roman" w:eastAsia="Times New Roman" w:hAnsi="Times New Roman"/>
          <w:sz w:val="21"/>
          <w:szCs w:val="21"/>
          <w:b w:val="1"/>
          <w:bCs w:val="1"/>
          <w:color w:val="auto"/>
        </w:rPr>
        <w:t xml:space="preserve">NOTICE OF STOCK-SETTLED STOCK APPRECIATION RIGHTS GRANT Participant: </w:t>
      </w:r>
      <w:r>
        <w:rPr>
          <w:rFonts w:ascii="Times New Roman" w:cs="Times New Roman" w:eastAsia="Times New Roman" w:hAnsi="Times New Roman"/>
          <w:sz w:val="21"/>
          <w:szCs w:val="21"/>
          <w:color w:val="auto"/>
        </w:rPr>
        <w:t>_______________</w:t>
      </w:r>
    </w:p>
    <w:p>
      <w:pPr>
        <w:spacing w:after="0" w:line="2" w:lineRule="exact"/>
        <w:rPr>
          <w:sz w:val="20"/>
          <w:szCs w:val="20"/>
          <w:color w:val="auto"/>
        </w:rPr>
      </w:pPr>
    </w:p>
    <w:p>
      <w:pPr>
        <w:jc w:val="right"/>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Notice:  </w:t>
      </w:r>
      <w:r>
        <w:rPr>
          <w:rFonts w:ascii="Times New Roman" w:cs="Times New Roman" w:eastAsia="Times New Roman" w:hAnsi="Times New Roman"/>
          <w:sz w:val="21"/>
          <w:szCs w:val="21"/>
          <w:color w:val="auto"/>
        </w:rPr>
        <w:t>You have been granted the following stock-settled stock appreciation rights (the "SARs") in accordance with the terms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Summit Financial Group, Inc. Amended and Restated 2014 Long-Term Incentive Plan (the "Plan")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80" w:type="dxa"/>
            <w:vAlign w:val="bottom"/>
            <w:gridSpan w:val="3"/>
          </w:tcPr>
          <w:p>
            <w:pPr>
              <w:ind w:left="360"/>
              <w:spacing w:after="0"/>
              <w:rPr>
                <w:sz w:val="20"/>
                <w:szCs w:val="20"/>
                <w:color w:val="auto"/>
              </w:rPr>
            </w:pPr>
            <w:r>
              <w:rPr>
                <w:rFonts w:ascii="Times New Roman" w:cs="Times New Roman" w:eastAsia="Times New Roman" w:hAnsi="Times New Roman"/>
                <w:sz w:val="21"/>
                <w:szCs w:val="21"/>
                <w:color w:val="auto"/>
              </w:rPr>
              <w:t>and the Stock-Settled Stock Appreciation Right Agreement (the "Agreement") attached hereto.</w:t>
            </w:r>
          </w:p>
        </w:tc>
      </w:tr>
      <w:tr>
        <w:trPr>
          <w:trHeight w:val="435"/>
        </w:trPr>
        <w:tc>
          <w:tcPr>
            <w:tcW w:w="16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Type of Award:</w:t>
            </w:r>
          </w:p>
        </w:tc>
        <w:tc>
          <w:tcPr>
            <w:tcW w:w="9600" w:type="dxa"/>
            <w:vAlign w:val="bottom"/>
            <w:gridSpan w:val="4"/>
          </w:tcPr>
          <w:p>
            <w:pPr>
              <w:jc w:val="right"/>
              <w:ind w:right="6064"/>
              <w:spacing w:after="0"/>
              <w:rPr>
                <w:sz w:val="20"/>
                <w:szCs w:val="20"/>
                <w:color w:val="auto"/>
              </w:rPr>
            </w:pPr>
            <w:r>
              <w:rPr>
                <w:rFonts w:ascii="Times New Roman" w:cs="Times New Roman" w:eastAsia="Times New Roman" w:hAnsi="Times New Roman"/>
                <w:sz w:val="21"/>
                <w:szCs w:val="21"/>
                <w:color w:val="auto"/>
              </w:rPr>
              <w:t>Stock-Settled Stock Appreciation Rights</w:t>
            </w:r>
          </w:p>
        </w:tc>
      </w:tr>
      <w:tr>
        <w:trPr>
          <w:trHeight w:val="459"/>
        </w:trPr>
        <w:tc>
          <w:tcPr>
            <w:tcW w:w="444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auto"/>
              </w:rPr>
              <w:t xml:space="preserve">Grant Date:   </w:t>
            </w:r>
            <w:r>
              <w:rPr>
                <w:rFonts w:ascii="Times New Roman" w:cs="Times New Roman" w:eastAsia="Times New Roman" w:hAnsi="Times New Roman"/>
                <w:sz w:val="21"/>
                <w:szCs w:val="21"/>
                <w:color w:val="auto"/>
              </w:rPr>
              <w:t>February 9, 2023</w:t>
            </w:r>
          </w:p>
        </w:tc>
        <w:tc>
          <w:tcPr>
            <w:tcW w:w="6800" w:type="dxa"/>
            <w:vAlign w:val="bottom"/>
          </w:tcPr>
          <w:p>
            <w:pPr>
              <w:spacing w:after="0"/>
              <w:rPr>
                <w:sz w:val="24"/>
                <w:szCs w:val="24"/>
                <w:color w:val="auto"/>
              </w:rPr>
            </w:pPr>
          </w:p>
        </w:tc>
      </w:tr>
      <w:tr>
        <w:trPr>
          <w:trHeight w:val="459"/>
        </w:trPr>
        <w:tc>
          <w:tcPr>
            <w:tcW w:w="444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auto"/>
              </w:rPr>
              <w:t xml:space="preserve">Strike Price per Share:   </w:t>
            </w:r>
            <w:r>
              <w:rPr>
                <w:rFonts w:ascii="Times New Roman" w:cs="Times New Roman" w:eastAsia="Times New Roman" w:hAnsi="Times New Roman"/>
                <w:sz w:val="21"/>
                <w:szCs w:val="21"/>
                <w:color w:val="auto"/>
              </w:rPr>
              <w:t>$26.37</w:t>
            </w:r>
          </w:p>
        </w:tc>
        <w:tc>
          <w:tcPr>
            <w:tcW w:w="6800" w:type="dxa"/>
            <w:vAlign w:val="bottom"/>
          </w:tcPr>
          <w:p>
            <w:pPr>
              <w:spacing w:after="0"/>
              <w:rPr>
                <w:sz w:val="24"/>
                <w:szCs w:val="24"/>
                <w:color w:val="auto"/>
              </w:rPr>
            </w:pPr>
          </w:p>
        </w:tc>
      </w:tr>
      <w:tr>
        <w:trPr>
          <w:trHeight w:val="473"/>
        </w:trPr>
        <w:tc>
          <w:tcPr>
            <w:tcW w:w="444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auto"/>
              </w:rPr>
              <w:t>Number of SARs Granted:   _______________</w:t>
            </w:r>
          </w:p>
        </w:tc>
        <w:tc>
          <w:tcPr>
            <w:tcW w:w="6800" w:type="dxa"/>
            <w:vAlign w:val="bottom"/>
          </w:tcPr>
          <w:p>
            <w:pPr>
              <w:spacing w:after="0"/>
              <w:rPr>
                <w:sz w:val="24"/>
                <w:szCs w:val="24"/>
                <w:color w:val="auto"/>
              </w:rPr>
            </w:pPr>
          </w:p>
        </w:tc>
      </w:tr>
      <w:tr>
        <w:trPr>
          <w:trHeight w:val="434"/>
        </w:trPr>
        <w:tc>
          <w:tcPr>
            <w:tcW w:w="164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Vesting Schedule:</w:t>
            </w:r>
          </w:p>
        </w:tc>
        <w:tc>
          <w:tcPr>
            <w:tcW w:w="960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The exercise of your SARs is subject to the terms of the Plan and this Agreement. Beginning on each of the</w:t>
            </w:r>
          </w:p>
        </w:tc>
      </w:tr>
      <w:tr>
        <w:trPr>
          <w:trHeight w:val="249"/>
        </w:trPr>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80" w:type="dxa"/>
            <w:vAlign w:val="bottom"/>
            <w:gridSpan w:val="3"/>
          </w:tcPr>
          <w:p>
            <w:pPr>
              <w:ind w:left="360"/>
              <w:spacing w:after="0"/>
              <w:rPr>
                <w:sz w:val="20"/>
                <w:szCs w:val="20"/>
                <w:color w:val="auto"/>
              </w:rPr>
            </w:pPr>
            <w:r>
              <w:rPr>
                <w:rFonts w:ascii="Times New Roman" w:cs="Times New Roman" w:eastAsia="Times New Roman" w:hAnsi="Times New Roman"/>
                <w:sz w:val="21"/>
                <w:szCs w:val="21"/>
                <w:color w:val="auto"/>
              </w:rPr>
              <w:t>following dates, which shall be no earlier than one year from the Grant Date, you may exercise your</w:t>
            </w:r>
          </w:p>
        </w:tc>
      </w:tr>
      <w:tr>
        <w:trPr>
          <w:trHeight w:val="249"/>
        </w:trPr>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80" w:type="dxa"/>
            <w:vAlign w:val="bottom"/>
            <w:gridSpan w:val="3"/>
          </w:tcPr>
          <w:p>
            <w:pPr>
              <w:ind w:left="360"/>
              <w:spacing w:after="0"/>
              <w:rPr>
                <w:sz w:val="20"/>
                <w:szCs w:val="20"/>
                <w:color w:val="auto"/>
              </w:rPr>
            </w:pPr>
            <w:r>
              <w:rPr>
                <w:rFonts w:ascii="Times New Roman" w:cs="Times New Roman" w:eastAsia="Times New Roman" w:hAnsi="Times New Roman"/>
                <w:sz w:val="21"/>
                <w:szCs w:val="21"/>
                <w:color w:val="auto"/>
              </w:rPr>
              <w:t>SARs with respect to the corresponding increase in Vesting percentage of the total number of Shares</w:t>
            </w:r>
          </w:p>
        </w:tc>
      </w:tr>
      <w:tr>
        <w:trPr>
          <w:trHeight w:val="275"/>
        </w:trPr>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80" w:type="dxa"/>
            <w:vAlign w:val="bottom"/>
            <w:gridSpan w:val="3"/>
          </w:tcPr>
          <w:p>
            <w:pPr>
              <w:ind w:left="360"/>
              <w:spacing w:after="0"/>
              <w:rPr>
                <w:sz w:val="20"/>
                <w:szCs w:val="20"/>
                <w:color w:val="auto"/>
              </w:rPr>
            </w:pPr>
            <w:r>
              <w:rPr>
                <w:rFonts w:ascii="Times New Roman" w:cs="Times New Roman" w:eastAsia="Times New Roman" w:hAnsi="Times New Roman"/>
                <w:sz w:val="21"/>
                <w:szCs w:val="21"/>
                <w:color w:val="auto"/>
              </w:rPr>
              <w:t>subject to your SARs in accordance with the schedule set forth below.</w:t>
            </w:r>
          </w:p>
        </w:tc>
      </w:tr>
      <w:tr>
        <w:trPr>
          <w:trHeight w:val="382"/>
        </w:trPr>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Vested Percentage</w:t>
            </w:r>
          </w:p>
        </w:tc>
        <w:tc>
          <w:tcPr>
            <w:tcW w:w="680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458"/>
        </w:trPr>
        <w:tc>
          <w:tcPr>
            <w:tcW w:w="2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February 9, 2024</w:t>
            </w:r>
          </w:p>
        </w:tc>
        <w:tc>
          <w:tcPr>
            <w:tcW w:w="2100" w:type="dxa"/>
            <w:vAlign w:val="bottom"/>
            <w:gridSpan w:val="2"/>
          </w:tcPr>
          <w:p>
            <w:pPr>
              <w:jc w:val="right"/>
              <w:ind w:right="977"/>
              <w:spacing w:after="0"/>
              <w:rPr>
                <w:sz w:val="20"/>
                <w:szCs w:val="20"/>
                <w:color w:val="auto"/>
              </w:rPr>
            </w:pPr>
            <w:r>
              <w:rPr>
                <w:rFonts w:ascii="Times New Roman" w:cs="Times New Roman" w:eastAsia="Times New Roman" w:hAnsi="Times New Roman"/>
                <w:sz w:val="19"/>
                <w:szCs w:val="19"/>
                <w:color w:val="auto"/>
              </w:rPr>
              <w:t>20%</w:t>
            </w:r>
          </w:p>
        </w:tc>
        <w:tc>
          <w:tcPr>
            <w:tcW w:w="70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446"/>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February 9, 2025</w:t>
            </w:r>
          </w:p>
        </w:tc>
        <w:tc>
          <w:tcPr>
            <w:tcW w:w="6800" w:type="dxa"/>
            <w:vAlign w:val="bottom"/>
          </w:tcPr>
          <w:p>
            <w:pPr>
              <w:jc w:val="right"/>
              <w:ind w:right="6184"/>
              <w:spacing w:after="0"/>
              <w:rPr>
                <w:sz w:val="20"/>
                <w:szCs w:val="20"/>
                <w:color w:val="auto"/>
              </w:rPr>
            </w:pPr>
            <w:r>
              <w:rPr>
                <w:rFonts w:ascii="Times New Roman" w:cs="Times New Roman" w:eastAsia="Times New Roman" w:hAnsi="Times New Roman"/>
                <w:sz w:val="19"/>
                <w:szCs w:val="19"/>
                <w:color w:val="auto"/>
              </w:rPr>
              <w:t>40%</w:t>
            </w:r>
          </w:p>
        </w:tc>
      </w:tr>
      <w:tr>
        <w:trPr>
          <w:trHeight w:val="459"/>
        </w:trPr>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February 9, 2026</w:t>
            </w:r>
          </w:p>
        </w:tc>
        <w:tc>
          <w:tcPr>
            <w:tcW w:w="210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60%</w:t>
            </w:r>
          </w:p>
        </w:tc>
        <w:tc>
          <w:tcPr>
            <w:tcW w:w="70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446"/>
        </w:trPr>
        <w:tc>
          <w:tcPr>
            <w:tcW w:w="2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February 9, 2027</w:t>
            </w:r>
          </w:p>
        </w:tc>
        <w:tc>
          <w:tcPr>
            <w:tcW w:w="2100" w:type="dxa"/>
            <w:vAlign w:val="bottom"/>
            <w:gridSpan w:val="2"/>
          </w:tcPr>
          <w:p>
            <w:pPr>
              <w:jc w:val="right"/>
              <w:ind w:right="977"/>
              <w:spacing w:after="0"/>
              <w:rPr>
                <w:sz w:val="20"/>
                <w:szCs w:val="20"/>
                <w:color w:val="auto"/>
              </w:rPr>
            </w:pPr>
            <w:r>
              <w:rPr>
                <w:rFonts w:ascii="Times New Roman" w:cs="Times New Roman" w:eastAsia="Times New Roman" w:hAnsi="Times New Roman"/>
                <w:sz w:val="19"/>
                <w:szCs w:val="19"/>
                <w:color w:val="auto"/>
              </w:rPr>
              <w:t>80%</w:t>
            </w:r>
          </w:p>
        </w:tc>
        <w:tc>
          <w:tcPr>
            <w:tcW w:w="70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446"/>
        </w:trPr>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February 9, 2028</w:t>
            </w:r>
          </w:p>
        </w:tc>
        <w:tc>
          <w:tcPr>
            <w:tcW w:w="210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100%</w:t>
            </w:r>
          </w:p>
        </w:tc>
        <w:tc>
          <w:tcPr>
            <w:tcW w:w="700" w:type="dxa"/>
            <w:vAlign w:val="bottom"/>
          </w:tcPr>
          <w:p>
            <w:pPr>
              <w:spacing w:after="0"/>
              <w:rPr>
                <w:sz w:val="24"/>
                <w:szCs w:val="24"/>
                <w:color w:val="auto"/>
              </w:rPr>
            </w:pPr>
          </w:p>
        </w:tc>
        <w:tc>
          <w:tcPr>
            <w:tcW w:w="6800" w:type="dxa"/>
            <w:vAlign w:val="bottom"/>
          </w:tcPr>
          <w:p>
            <w:pPr>
              <w:spacing w:after="0"/>
              <w:rPr>
                <w:sz w:val="24"/>
                <w:szCs w:val="24"/>
                <w:color w:val="auto"/>
              </w:rPr>
            </w:pPr>
          </w:p>
        </w:tc>
      </w:tr>
    </w:tbl>
    <w:p>
      <w:pPr>
        <w:spacing w:after="0" w:line="186" w:lineRule="exact"/>
        <w:rPr>
          <w:sz w:val="20"/>
          <w:szCs w:val="20"/>
          <w:color w:val="auto"/>
        </w:rPr>
      </w:pPr>
    </w:p>
    <w:p>
      <w:pPr>
        <w:jc w:val="both"/>
        <w:ind w:left="1540" w:right="40" w:hanging="2520"/>
        <w:spacing w:after="0" w:line="251" w:lineRule="auto"/>
        <w:tabs>
          <w:tab w:leader="none" w:pos="1520" w:val="left"/>
        </w:tabs>
        <w:rPr>
          <w:sz w:val="20"/>
          <w:szCs w:val="20"/>
          <w:color w:val="auto"/>
        </w:rPr>
      </w:pPr>
      <w:r>
        <w:rPr>
          <w:rFonts w:ascii="Times New Roman" w:cs="Times New Roman" w:eastAsia="Times New Roman" w:hAnsi="Times New Roman"/>
          <w:sz w:val="21"/>
          <w:szCs w:val="21"/>
          <w:b w:val="1"/>
          <w:bCs w:val="1"/>
          <w:color w:val="auto"/>
        </w:rPr>
        <w:t>Termination:</w:t>
      </w:r>
      <w:r>
        <w:rPr>
          <w:sz w:val="20"/>
          <w:szCs w:val="20"/>
          <w:color w:val="auto"/>
        </w:rPr>
        <w:tab/>
      </w:r>
      <w:r>
        <w:rPr>
          <w:rFonts w:ascii="Times New Roman" w:cs="Times New Roman" w:eastAsia="Times New Roman" w:hAnsi="Times New Roman"/>
          <w:sz w:val="21"/>
          <w:szCs w:val="21"/>
          <w:color w:val="auto"/>
        </w:rPr>
        <w:t>You must remain continuously employed by Summit Financial Group, Inc. or its affiliates. In the event of your termination of employment, including due to death or Disability, the exercisability and vesting of the SARs will be governed by Paragraph 5 of the Agreement, all subject to the terms and conditions of the Plan.</w:t>
      </w:r>
    </w:p>
    <w:p>
      <w:pPr>
        <w:spacing w:after="0" w:line="200" w:lineRule="exact"/>
        <w:rPr>
          <w:sz w:val="20"/>
          <w:szCs w:val="20"/>
          <w:color w:val="auto"/>
        </w:rPr>
      </w:pPr>
    </w:p>
    <w:p>
      <w:pPr>
        <w:spacing w:after="0" w:line="211" w:lineRule="exact"/>
        <w:rPr>
          <w:sz w:val="20"/>
          <w:szCs w:val="20"/>
          <w:color w:val="auto"/>
        </w:rPr>
      </w:pPr>
    </w:p>
    <w:p>
      <w:pPr>
        <w:ind w:left="1840" w:hanging="2520"/>
        <w:spacing w:after="0" w:line="272" w:lineRule="auto"/>
        <w:tabs>
          <w:tab w:leader="none" w:pos="1820" w:val="left"/>
        </w:tabs>
        <w:rPr>
          <w:sz w:val="20"/>
          <w:szCs w:val="20"/>
          <w:color w:val="auto"/>
        </w:rPr>
      </w:pPr>
      <w:r>
        <w:rPr>
          <w:rFonts w:ascii="Times New Roman" w:cs="Times New Roman" w:eastAsia="Times New Roman" w:hAnsi="Times New Roman"/>
          <w:sz w:val="21"/>
          <w:szCs w:val="21"/>
          <w:b w:val="1"/>
          <w:bCs w:val="1"/>
          <w:color w:val="auto"/>
        </w:rPr>
        <w:t>Expiration Date:</w:t>
      </w:r>
      <w:r>
        <w:rPr>
          <w:sz w:val="20"/>
          <w:szCs w:val="20"/>
          <w:color w:val="auto"/>
        </w:rPr>
        <w:tab/>
      </w:r>
      <w:r>
        <w:rPr>
          <w:rFonts w:ascii="Times New Roman" w:cs="Times New Roman" w:eastAsia="Times New Roman" w:hAnsi="Times New Roman"/>
          <w:sz w:val="21"/>
          <w:szCs w:val="21"/>
          <w:color w:val="auto"/>
        </w:rPr>
        <w:t xml:space="preserve">The SARs will expire </w:t>
      </w:r>
      <w:r>
        <w:rPr>
          <w:rFonts w:ascii="Times New Roman" w:cs="Times New Roman" w:eastAsia="Times New Roman" w:hAnsi="Times New Roman"/>
          <w:sz w:val="21"/>
          <w:szCs w:val="21"/>
          <w:b w:val="1"/>
          <w:bCs w:val="1"/>
          <w:color w:val="auto"/>
        </w:rPr>
        <w:t>ten</w:t>
      </w:r>
      <w:r>
        <w:rPr>
          <w:rFonts w:ascii="Times New Roman" w:cs="Times New Roman" w:eastAsia="Times New Roman" w:hAnsi="Times New Roman"/>
          <w:sz w:val="21"/>
          <w:szCs w:val="21"/>
          <w:color w:val="auto"/>
        </w:rPr>
        <w:t xml:space="preserve"> years from the Grant Date, subject to earlier termination as set forth in the Plan and the attached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2"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21"/>
          <w:szCs w:val="21"/>
          <w:b w:val="1"/>
          <w:bCs w:val="1"/>
          <w:color w:val="auto"/>
        </w:rPr>
        <w:t>SUMMIT FINANCIAL GROUP, INC. AMENDED AND RESTATED 2014 LONG-TERM INCENTIVE PLAN STOCK-SETTLED STOCK APPRECIATION RIGHTS AGREEMENT</w:t>
      </w:r>
    </w:p>
    <w:p>
      <w:pPr>
        <w:spacing w:after="0" w:line="173" w:lineRule="exact"/>
        <w:rPr>
          <w:sz w:val="20"/>
          <w:szCs w:val="20"/>
          <w:color w:val="auto"/>
        </w:rPr>
      </w:pPr>
    </w:p>
    <w:p>
      <w:pPr>
        <w:jc w:val="both"/>
        <w:ind w:firstLine="1260"/>
        <w:spacing w:after="0" w:line="259" w:lineRule="auto"/>
        <w:rPr>
          <w:sz w:val="20"/>
          <w:szCs w:val="20"/>
          <w:color w:val="auto"/>
        </w:rPr>
      </w:pPr>
      <w:r>
        <w:rPr>
          <w:rFonts w:ascii="Times New Roman" w:cs="Times New Roman" w:eastAsia="Times New Roman" w:hAnsi="Times New Roman"/>
          <w:sz w:val="21"/>
          <w:szCs w:val="21"/>
          <w:color w:val="auto"/>
        </w:rPr>
        <w:t>This Stock-Settled Stock Appreciation Right Agreement (this "Agreement"), effective as of the Grant Date set forth in the Notice of Stock-Settled Stock Appreciation Rights Grant attached hereto (the "Grant Notice") is made between the Summit Financial Group, Inc. (the "Company"), and the Participant set forth in the Grant Notice. The Grant Notice is included in and made part of this Agreement.</w:t>
      </w:r>
    </w:p>
    <w:p>
      <w:pPr>
        <w:spacing w:after="0" w:line="165" w:lineRule="exact"/>
        <w:rPr>
          <w:sz w:val="20"/>
          <w:szCs w:val="20"/>
          <w:color w:val="auto"/>
        </w:rPr>
      </w:pPr>
    </w:p>
    <w:p>
      <w:pPr>
        <w:jc w:val="both"/>
        <w:ind w:firstLine="1260"/>
        <w:spacing w:after="0" w:line="294" w:lineRule="auto"/>
        <w:rPr>
          <w:sz w:val="20"/>
          <w:szCs w:val="20"/>
          <w:color w:val="auto"/>
        </w:rPr>
      </w:pPr>
      <w:r>
        <w:rPr>
          <w:rFonts w:ascii="Times New Roman" w:cs="Times New Roman" w:eastAsia="Times New Roman" w:hAnsi="Times New Roman"/>
          <w:sz w:val="21"/>
          <w:szCs w:val="21"/>
          <w:color w:val="auto"/>
        </w:rPr>
        <w:t>WHEREAS, the Company desires to grant an award of stock appreciation rights to the Participant under and pursuant to the Summit Financial Group, Inc. Amended and Restated 2014 Long-Term Incentive Plan (the "Plan");</w:t>
      </w:r>
    </w:p>
    <w:p>
      <w:pPr>
        <w:spacing w:after="0" w:line="130" w:lineRule="exact"/>
        <w:rPr>
          <w:sz w:val="20"/>
          <w:szCs w:val="20"/>
          <w:color w:val="auto"/>
        </w:rPr>
      </w:pPr>
    </w:p>
    <w:p>
      <w:pPr>
        <w:jc w:val="both"/>
        <w:ind w:firstLine="1260"/>
        <w:spacing w:after="0" w:line="281" w:lineRule="auto"/>
        <w:rPr>
          <w:sz w:val="20"/>
          <w:szCs w:val="20"/>
          <w:color w:val="auto"/>
        </w:rPr>
      </w:pPr>
      <w:r>
        <w:rPr>
          <w:rFonts w:ascii="Times New Roman" w:cs="Times New Roman" w:eastAsia="Times New Roman" w:hAnsi="Times New Roman"/>
          <w:sz w:val="21"/>
          <w:szCs w:val="21"/>
          <w:color w:val="auto"/>
        </w:rPr>
        <w:t>WHEREAS, the Company desires to evidence the award of a stock appreciation right to the Participant and to have the Participant acknowledge the terms and conditions of the stock appreciation right by this Agreement; and</w:t>
      </w:r>
    </w:p>
    <w:p>
      <w:pPr>
        <w:spacing w:after="0" w:line="1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WHEREAS, the Committee (as defined in the Plan) or its delegate, as applicable, has approved this stock appreciation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right award.</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NOW, THEREFORE, IT IS AGREED:</w:t>
      </w:r>
    </w:p>
    <w:p>
      <w:pPr>
        <w:spacing w:after="0" w:line="235" w:lineRule="exact"/>
        <w:rPr>
          <w:sz w:val="20"/>
          <w:szCs w:val="20"/>
          <w:color w:val="auto"/>
        </w:rPr>
      </w:pPr>
    </w:p>
    <w:p>
      <w:pPr>
        <w:ind w:firstLine="1265"/>
        <w:spacing w:after="0" w:line="281" w:lineRule="auto"/>
        <w:tabs>
          <w:tab w:leader="none" w:pos="166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Definitions. For purposes of this Agreement, all capitalized terms shall have the meaning as set forth in the Plan unless otherwise defined herein.</w:t>
      </w:r>
    </w:p>
    <w:p>
      <w:pPr>
        <w:spacing w:after="0" w:line="139" w:lineRule="exact"/>
        <w:rPr>
          <w:rFonts w:ascii="Times New Roman" w:cs="Times New Roman" w:eastAsia="Times New Roman" w:hAnsi="Times New Roman"/>
          <w:sz w:val="21"/>
          <w:szCs w:val="21"/>
          <w:color w:val="auto"/>
        </w:rPr>
      </w:pPr>
    </w:p>
    <w:p>
      <w:pPr>
        <w:ind w:left="2360" w:hanging="464"/>
        <w:spacing w:after="0"/>
        <w:tabs>
          <w:tab w:leader="none" w:pos="2360" w:val="left"/>
        </w:tabs>
        <w:numPr>
          <w:ilvl w:val="1"/>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“Common Stock” </w:t>
      </w:r>
      <w:r>
        <w:rPr>
          <w:rFonts w:ascii="Times New Roman" w:cs="Times New Roman" w:eastAsia="Times New Roman" w:hAnsi="Times New Roman"/>
          <w:sz w:val="21"/>
          <w:szCs w:val="21"/>
          <w:color w:val="auto"/>
        </w:rPr>
        <w:t>shall mean the common stock of the Company, $2.50 par value.</w:t>
      </w:r>
    </w:p>
    <w:p>
      <w:pPr>
        <w:spacing w:after="0" w:line="218" w:lineRule="exact"/>
        <w:rPr>
          <w:rFonts w:ascii="Times New Roman" w:cs="Times New Roman" w:eastAsia="Times New Roman" w:hAnsi="Times New Roman"/>
          <w:sz w:val="21"/>
          <w:szCs w:val="21"/>
          <w:b w:val="1"/>
          <w:bCs w:val="1"/>
          <w:color w:val="auto"/>
        </w:rPr>
      </w:pPr>
    </w:p>
    <w:p>
      <w:pPr>
        <w:jc w:val="both"/>
        <w:ind w:firstLine="1896"/>
        <w:spacing w:after="0" w:line="264" w:lineRule="auto"/>
        <w:tabs>
          <w:tab w:leader="none" w:pos="2633" w:val="left"/>
        </w:tabs>
        <w:numPr>
          <w:ilvl w:val="1"/>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Termination by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xml:space="preserve"> If a Participant’s continuous employment terminates prior to the Termination Date by reason of a permanent disability, as defined in Internal Revenue Code Section 22(e)(3) (the “Code”), as amended from time to time, and as determined by the Committee in its discretion based upon such documentation and information as the Committee may require the Participant to submit for purposes of establishing permanent disability pursuant to this Agreement.</w:t>
      </w:r>
    </w:p>
    <w:p>
      <w:pPr>
        <w:spacing w:after="0" w:line="158" w:lineRule="exact"/>
        <w:rPr>
          <w:rFonts w:ascii="Times New Roman" w:cs="Times New Roman" w:eastAsia="Times New Roman" w:hAnsi="Times New Roman"/>
          <w:sz w:val="21"/>
          <w:szCs w:val="21"/>
          <w:b w:val="1"/>
          <w:bCs w:val="1"/>
          <w:color w:val="auto"/>
        </w:rPr>
      </w:pPr>
    </w:p>
    <w:p>
      <w:pPr>
        <w:jc w:val="both"/>
        <w:ind w:firstLine="1896"/>
        <w:spacing w:after="0" w:line="258" w:lineRule="auto"/>
        <w:tabs>
          <w:tab w:leader="none" w:pos="2364" w:val="left"/>
        </w:tabs>
        <w:numPr>
          <w:ilvl w:val="1"/>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“For Cause Termination” </w:t>
      </w:r>
      <w:r>
        <w:rPr>
          <w:rFonts w:ascii="Times New Roman" w:cs="Times New Roman" w:eastAsia="Times New Roman" w:hAnsi="Times New Roman"/>
          <w:sz w:val="21"/>
          <w:szCs w:val="21"/>
          <w:color w:val="auto"/>
        </w:rPr>
        <w:t>shall mean termination for the conviction of Participant for commission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felony against the Company or any affiliate. In the alternative, if Participant is permitted to resign due to conviction of a felon as described above, the Board of Directors may vote to immediately terminate all SARs of such Participant under this Agreement and </w:t>
      </w:r>
      <w:r>
        <w:rPr>
          <w:rFonts w:ascii="Times New Roman" w:cs="Times New Roman" w:eastAsia="Times New Roman" w:hAnsi="Times New Roman"/>
          <w:sz w:val="21"/>
          <w:szCs w:val="21"/>
          <w:b w:val="1"/>
          <w:bCs w:val="1"/>
          <w:color w:val="auto"/>
        </w:rPr>
        <w:t xml:space="preserve">no SARs </w:t>
      </w:r>
      <w:r>
        <w:rPr>
          <w:rFonts w:ascii="Times New Roman" w:cs="Times New Roman" w:eastAsia="Times New Roman" w:hAnsi="Times New Roman"/>
          <w:sz w:val="21"/>
          <w:szCs w:val="21"/>
          <w:color w:val="auto"/>
        </w:rPr>
        <w:t>shall be exercisable as of the date of such termination, regardless of whether any SAR was vested and exercisable prior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date of such termination. A majority decision by the Board of Directors is required for termination and forfeiture of the Participant’s SARs under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52" w:lineRule="exact"/>
        <w:rPr>
          <w:sz w:val="20"/>
          <w:szCs w:val="20"/>
          <w:color w:val="auto"/>
        </w:rPr>
      </w:pPr>
    </w:p>
    <w:p>
      <w:pPr>
        <w:jc w:val="both"/>
        <w:ind w:firstLine="1265"/>
        <w:spacing w:after="0" w:line="255" w:lineRule="auto"/>
        <w:tabs>
          <w:tab w:leader="none" w:pos="169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Grant of the SARs. </w:t>
      </w:r>
      <w:r>
        <w:rPr>
          <w:rFonts w:ascii="Times New Roman" w:cs="Times New Roman" w:eastAsia="Times New Roman" w:hAnsi="Times New Roman"/>
          <w:sz w:val="21"/>
          <w:szCs w:val="21"/>
          <w:color w:val="auto"/>
        </w:rPr>
        <w:t>Subject to the provisions of this Agreement and the provisions of the Plan,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hereby grants to the Participant, the right to receive from the Company an award of stock equal to the excess, if any, of the Fair Market Value of a share of Common Stock of the Company (each, a “Share”) on the date of exercise over the Strike Price (as defined in the Grant Notice, provided that in no event shall the Strike Price be less than the Fair Market Value as defined in the Plan on the Date of Grant) per Share (such difference, the “Spread”) multiplied by the number of Shares subject to the SARs with respect to which the SARs shall have been exercised. The Spread shall be payable by the Company only in Shares of Common Stock; provided that to the extent a fractional share is earned, the number of Shares paid shall be rounded down to the nearest whole number and no fractional Share shall be issued.</w:t>
      </w:r>
    </w:p>
    <w:p>
      <w:pPr>
        <w:spacing w:after="0" w:line="179" w:lineRule="exact"/>
        <w:rPr>
          <w:rFonts w:ascii="Times New Roman" w:cs="Times New Roman" w:eastAsia="Times New Roman" w:hAnsi="Times New Roman"/>
          <w:sz w:val="21"/>
          <w:szCs w:val="21"/>
          <w:color w:val="auto"/>
        </w:rPr>
      </w:pPr>
    </w:p>
    <w:p>
      <w:pPr>
        <w:jc w:val="both"/>
        <w:ind w:firstLine="1265"/>
        <w:spacing w:after="0" w:line="266" w:lineRule="auto"/>
        <w:tabs>
          <w:tab w:leader="none" w:pos="1694"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Exercisability of the SARs. </w:t>
      </w:r>
      <w:r>
        <w:rPr>
          <w:rFonts w:ascii="Times New Roman" w:cs="Times New Roman" w:eastAsia="Times New Roman" w:hAnsi="Times New Roman"/>
          <w:sz w:val="21"/>
          <w:szCs w:val="21"/>
          <w:color w:val="auto"/>
        </w:rPr>
        <w:t>The SARs shall become exercisable in accordance with the Vesting Schedule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other terms set forth in the Grant Notice. The SARs shall terminate on the </w:t>
      </w:r>
      <w:r>
        <w:rPr>
          <w:rFonts w:ascii="Times New Roman" w:cs="Times New Roman" w:eastAsia="Times New Roman" w:hAnsi="Times New Roman"/>
          <w:sz w:val="21"/>
          <w:szCs w:val="21"/>
          <w:b w:val="1"/>
          <w:bCs w:val="1"/>
          <w:color w:val="auto"/>
        </w:rPr>
        <w:t>tenth</w:t>
      </w:r>
      <w:r>
        <w:rPr>
          <w:rFonts w:ascii="Times New Roman" w:cs="Times New Roman" w:eastAsia="Times New Roman" w:hAnsi="Times New Roman"/>
          <w:sz w:val="21"/>
          <w:szCs w:val="21"/>
          <w:color w:val="auto"/>
        </w:rPr>
        <w:t xml:space="preserve"> anniversary of the Grant Date stated in the Grant Notice (the “Expiration Date”), subject to earlier termination as set forth in the Plan and this Agreement.</w:t>
      </w:r>
    </w:p>
    <w:p>
      <w:pPr>
        <w:spacing w:after="0" w:line="155" w:lineRule="exact"/>
        <w:rPr>
          <w:rFonts w:ascii="Times New Roman" w:cs="Times New Roman" w:eastAsia="Times New Roman" w:hAnsi="Times New Roman"/>
          <w:sz w:val="21"/>
          <w:szCs w:val="21"/>
          <w:b w:val="1"/>
          <w:bCs w:val="1"/>
          <w:color w:val="auto"/>
        </w:rPr>
      </w:pPr>
    </w:p>
    <w:p>
      <w:pPr>
        <w:jc w:val="both"/>
        <w:ind w:firstLine="1265"/>
        <w:spacing w:after="0" w:line="258" w:lineRule="auto"/>
        <w:tabs>
          <w:tab w:leader="none" w:pos="1791"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Method of Exercise of the SARs. </w:t>
      </w:r>
      <w:r>
        <w:rPr>
          <w:rFonts w:ascii="Times New Roman" w:cs="Times New Roman" w:eastAsia="Times New Roman" w:hAnsi="Times New Roman"/>
          <w:sz w:val="21"/>
          <w:szCs w:val="21"/>
          <w:color w:val="auto"/>
        </w:rPr>
        <w:t>The Participant may exercise the SARs, to the extent then vested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exercisable, by delivering an electronic notice to the Company’s stock plan administrator in a form satisfactory to the Committee and in accordance with the procedures established by the Company and the stock plan administrator, specifying the number of Shares with respect to which the SARs are being exercised. The SARs may be exercised at any time as to all or any of the SARs then vested hereunder; provided, however, that the SARs may be exercised only with respect to whole Shares. The Participant hereby acknowledges that his or her ability to exercise the SARs may be restricted by the Company’s Insider Trading Policy.</w:t>
      </w:r>
    </w:p>
    <w:p>
      <w:pPr>
        <w:spacing w:after="0" w:line="162" w:lineRule="exact"/>
        <w:rPr>
          <w:rFonts w:ascii="Times New Roman" w:cs="Times New Roman" w:eastAsia="Times New Roman" w:hAnsi="Times New Roman"/>
          <w:sz w:val="21"/>
          <w:szCs w:val="21"/>
          <w:b w:val="1"/>
          <w:bCs w:val="1"/>
          <w:color w:val="auto"/>
        </w:rPr>
      </w:pPr>
    </w:p>
    <w:p>
      <w:pPr>
        <w:jc w:val="both"/>
        <w:ind w:firstLine="1265"/>
        <w:spacing w:after="0" w:line="273" w:lineRule="auto"/>
        <w:tabs>
          <w:tab w:leader="none" w:pos="175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w:t>
      </w:r>
      <w:r>
        <w:rPr>
          <w:rFonts w:ascii="Times New Roman" w:cs="Times New Roman" w:eastAsia="Times New Roman" w:hAnsi="Times New Roman"/>
          <w:sz w:val="21"/>
          <w:szCs w:val="21"/>
          <w:color w:val="auto"/>
        </w:rPr>
        <w:t>Except as provided below, the SARs shall terminate and be forfeited upon termination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Participant’s employment. Notwithstanding anything contained in this Agreement, the SARs shall not be exercised after the Expiration Date.</w:t>
      </w:r>
    </w:p>
    <w:p>
      <w:pPr>
        <w:spacing w:after="0" w:line="151" w:lineRule="exact"/>
        <w:rPr>
          <w:rFonts w:ascii="Times New Roman" w:cs="Times New Roman" w:eastAsia="Times New Roman" w:hAnsi="Times New Roman"/>
          <w:sz w:val="21"/>
          <w:szCs w:val="21"/>
          <w:b w:val="1"/>
          <w:bCs w:val="1"/>
          <w:color w:val="auto"/>
        </w:rPr>
      </w:pPr>
    </w:p>
    <w:p>
      <w:pPr>
        <w:jc w:val="both"/>
        <w:ind w:firstLine="1896"/>
        <w:spacing w:after="0" w:line="253" w:lineRule="auto"/>
        <w:tabs>
          <w:tab w:leader="none" w:pos="241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Death or Disability. The Committee has determined that an acceleration of vesting up to one calendar year is appropriate in the event of a Participant’s death or termination of employment due to Disability, as herein provided. If the Participant’s employment with the Company is terminated due to death or Disability, then the Participant shall immediately vest in the additional percentage of SARs, if any, that would have vested at the Vesting Date which falls after the date of death or date of termination of employment of Participant due to Disability, but within the calendar year in which the Participant died or terminated employment due to Disability, as if, for purposes of Vesting percentage only, the Participant had not died or terminated employment due to Disability, and had continued employment to such Vesting Date. All vested SARs shall be exercisable for a period of two years from the date of death or termination of employment due to Disability; all vested SARs not exercised within said two year period shall be forfeited in their entirety. All unvested SARs, shall be forfeited in their entirety.</w:t>
      </w:r>
    </w:p>
    <w:p>
      <w:pPr>
        <w:spacing w:after="0" w:line="177" w:lineRule="exact"/>
        <w:rPr>
          <w:rFonts w:ascii="Times New Roman" w:cs="Times New Roman" w:eastAsia="Times New Roman" w:hAnsi="Times New Roman"/>
          <w:sz w:val="21"/>
          <w:szCs w:val="21"/>
          <w:color w:val="auto"/>
        </w:rPr>
      </w:pPr>
    </w:p>
    <w:p>
      <w:pPr>
        <w:ind w:firstLine="1896"/>
        <w:spacing w:after="0" w:line="294" w:lineRule="auto"/>
        <w:tabs>
          <w:tab w:leader="none" w:pos="237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Cause Termination - Regardless of Vesting. If the Participant undergoes a For Cause Termination by the Company, then the SARs shall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5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b w:val="1"/>
          <w:bCs w:val="1"/>
          <w:color w:val="auto"/>
        </w:rPr>
        <w:t>no</w:t>
      </w:r>
      <w:r>
        <w:rPr>
          <w:rFonts w:ascii="Times New Roman" w:cs="Times New Roman" w:eastAsia="Times New Roman" w:hAnsi="Times New Roman"/>
          <w:sz w:val="21"/>
          <w:szCs w:val="21"/>
          <w:color w:val="auto"/>
        </w:rPr>
        <w:t xml:space="preserve"> SARs shall be exercisable as of the date of such termination, regardless of whether any SAR was vested and exercisable prior to date of such termination.</w:t>
      </w:r>
    </w:p>
    <w:p>
      <w:pPr>
        <w:spacing w:after="0" w:line="139" w:lineRule="exact"/>
        <w:rPr>
          <w:sz w:val="20"/>
          <w:szCs w:val="20"/>
          <w:color w:val="auto"/>
        </w:rPr>
      </w:pPr>
    </w:p>
    <w:p>
      <w:pPr>
        <w:jc w:val="both"/>
        <w:ind w:firstLine="1896"/>
        <w:spacing w:after="0" w:line="263" w:lineRule="auto"/>
        <w:tabs>
          <w:tab w:leader="none" w:pos="249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Terminations. Upon termination of the Participant’s employment by the Company or by the Participant other than under the circumstances described in Paragraphs 5(a) or 5(b), the SARs, to the extent </w:t>
      </w:r>
      <w:r>
        <w:rPr>
          <w:rFonts w:ascii="Times New Roman" w:cs="Times New Roman" w:eastAsia="Times New Roman" w:hAnsi="Times New Roman"/>
          <w:sz w:val="21"/>
          <w:szCs w:val="21"/>
          <w:b w:val="1"/>
          <w:bCs w:val="1"/>
          <w:color w:val="auto"/>
        </w:rPr>
        <w:t>vested</w:t>
      </w:r>
      <w:r>
        <w:rPr>
          <w:rFonts w:ascii="Times New Roman" w:cs="Times New Roman" w:eastAsia="Times New Roman" w:hAnsi="Times New Roman"/>
          <w:sz w:val="21"/>
          <w:szCs w:val="21"/>
          <w:color w:val="auto"/>
        </w:rPr>
        <w:t xml:space="preserve"> and exercisable as of the date of such termination, shall thereafter be exercisable only for a period of ninety (90) days from the date of such termination, and any SAR that was not exercisable as of the date of such termination shall be immediately forfeited.</w:t>
      </w:r>
    </w:p>
    <w:p>
      <w:pPr>
        <w:spacing w:after="0" w:line="158" w:lineRule="exact"/>
        <w:rPr>
          <w:rFonts w:ascii="Times New Roman" w:cs="Times New Roman" w:eastAsia="Times New Roman" w:hAnsi="Times New Roman"/>
          <w:sz w:val="21"/>
          <w:szCs w:val="21"/>
          <w:color w:val="auto"/>
        </w:rPr>
      </w:pPr>
    </w:p>
    <w:p>
      <w:pPr>
        <w:jc w:val="both"/>
        <w:ind w:firstLine="1265"/>
        <w:spacing w:after="0" w:line="273" w:lineRule="auto"/>
        <w:tabs>
          <w:tab w:leader="none" w:pos="1701"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Recapitalization. </w:t>
      </w:r>
      <w:r>
        <w:rPr>
          <w:rFonts w:ascii="Times New Roman" w:cs="Times New Roman" w:eastAsia="Times New Roman" w:hAnsi="Times New Roman"/>
          <w:sz w:val="21"/>
          <w:szCs w:val="21"/>
          <w:color w:val="auto"/>
        </w:rPr>
        <w:t>In the event that the outstanding Common Stock of the Company is changed by reason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dividend, stock split, recapitalization, merger, consolidation, or a combination or exchange of shares, the number of Shares subject to the SARs shall be adjusted in compliance with Section 5 of the Plan.</w:t>
      </w:r>
    </w:p>
    <w:p>
      <w:pPr>
        <w:spacing w:after="0" w:line="147" w:lineRule="exact"/>
        <w:rPr>
          <w:rFonts w:ascii="Times New Roman" w:cs="Times New Roman" w:eastAsia="Times New Roman" w:hAnsi="Times New Roman"/>
          <w:sz w:val="21"/>
          <w:szCs w:val="21"/>
          <w:b w:val="1"/>
          <w:bCs w:val="1"/>
          <w:color w:val="auto"/>
        </w:rPr>
      </w:pPr>
    </w:p>
    <w:p>
      <w:pPr>
        <w:jc w:val="both"/>
        <w:ind w:firstLine="1265"/>
        <w:spacing w:after="0" w:line="258" w:lineRule="auto"/>
        <w:tabs>
          <w:tab w:leader="none" w:pos="1663"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Compliance with Laws and Regulations. </w:t>
      </w:r>
      <w:r>
        <w:rPr>
          <w:rFonts w:ascii="Times New Roman" w:cs="Times New Roman" w:eastAsia="Times New Roman" w:hAnsi="Times New Roman"/>
          <w:sz w:val="21"/>
          <w:szCs w:val="21"/>
          <w:color w:val="auto"/>
        </w:rPr>
        <w:t>The Company shall not be obligated to make any payments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this Agreement unless the Shares subject to SARs are at that time effectively registered or exempt from registration under the Securities Act of 1933, as amended, and, as applicable, local laws. Notwithstanding the foregoing, the Company is under no obligation to register any Shares to be issued under this Agreement pursuant to federal or state securities laws. In addition, legal counsel for the Company must be satisfied at the time of exercise that the issuance of the shares of Stock upon exercise will be in compliance with the Securities Act and applicable United States Federal, state, local and foreign laws.</w:t>
      </w:r>
    </w:p>
    <w:p>
      <w:pPr>
        <w:spacing w:after="0" w:line="162" w:lineRule="exact"/>
        <w:rPr>
          <w:rFonts w:ascii="Times New Roman" w:cs="Times New Roman" w:eastAsia="Times New Roman" w:hAnsi="Times New Roman"/>
          <w:sz w:val="21"/>
          <w:szCs w:val="21"/>
          <w:b w:val="1"/>
          <w:bCs w:val="1"/>
          <w:color w:val="auto"/>
        </w:rPr>
      </w:pPr>
    </w:p>
    <w:p>
      <w:pPr>
        <w:jc w:val="both"/>
        <w:ind w:firstLine="1265"/>
        <w:spacing w:after="0" w:line="253" w:lineRule="auto"/>
        <w:tabs>
          <w:tab w:leader="none" w:pos="1658"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Administration. </w:t>
      </w:r>
      <w:r>
        <w:rPr>
          <w:rFonts w:ascii="Times New Roman" w:cs="Times New Roman" w:eastAsia="Times New Roman" w:hAnsi="Times New Roman"/>
          <w:sz w:val="21"/>
          <w:szCs w:val="21"/>
          <w:color w:val="auto"/>
        </w:rPr>
        <w:t>By accepting any benefit under this Agreement, the Participant and any person claiming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through the Participant shall be conclusively deemed to have indicated his or her acceptance and ratification of, and consent to, all of the terms and conditions of the Plan and this Agreement and any action taken under the Plan by the Committee or the Company, in any case in accordance with the terms and conditions of the Plan. Unless defined herein, capitalized terms are used herein as defined in the Plan. In the event of any conflict between the provisions of the Plan and this Agreement, the provisions of the Plan shall control, and this Agreement shall be deemed to be modified accordingly. This Agreement is subject to all the terms, provisions and conditions of the Plan, which are incorporated herein by reference, and to such rules, policies and regulations as may from time to time be adopted by the Committee. All determinations and interpretations made by the Committee with regard to any question arising hereunder or under the Plan shall be binding and conclusive on the Participant and on his legal representatives and beneficiaries. This Agreement and the Plan and the other related agreements expressly referred to herein set forth the entire agreement and understanding between the parties hereto and supersedes all prior agreements and understandings relating to the subject matter hereof The headings of sections and subsections herein are included solely for convenience of reference and shall not affect the meaning of any of the provisions of this Agreement.</w:t>
      </w:r>
    </w:p>
    <w:p>
      <w:pPr>
        <w:spacing w:after="0" w:line="169" w:lineRule="exact"/>
        <w:rPr>
          <w:rFonts w:ascii="Times New Roman" w:cs="Times New Roman" w:eastAsia="Times New Roman" w:hAnsi="Times New Roman"/>
          <w:sz w:val="21"/>
          <w:szCs w:val="21"/>
          <w:b w:val="1"/>
          <w:bCs w:val="1"/>
          <w:color w:val="auto"/>
        </w:rPr>
      </w:pPr>
    </w:p>
    <w:p>
      <w:pPr>
        <w:ind w:left="1620" w:hanging="355"/>
        <w:spacing w:after="0"/>
        <w:tabs>
          <w:tab w:leader="none" w:pos="1620"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56" w:lineRule="exact"/>
        <w:rPr>
          <w:sz w:val="20"/>
          <w:szCs w:val="20"/>
          <w:color w:val="auto"/>
        </w:rPr>
      </w:pPr>
    </w:p>
    <w:p>
      <w:pPr>
        <w:ind w:firstLine="1896"/>
        <w:spacing w:after="0" w:line="281" w:lineRule="auto"/>
        <w:tabs>
          <w:tab w:leader="none" w:pos="233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shall pay to the Company or a designated Subsidiary, promptly upon request, an amount equal to the taxes the Company determines it is required to withhold under applicable tax laws with respect to the SARs. .</w:t>
      </w:r>
    </w:p>
    <w:p>
      <w:pPr>
        <w:spacing w:after="0" w:line="143" w:lineRule="exact"/>
        <w:rPr>
          <w:rFonts w:ascii="Times New Roman" w:cs="Times New Roman" w:eastAsia="Times New Roman" w:hAnsi="Times New Roman"/>
          <w:sz w:val="21"/>
          <w:szCs w:val="21"/>
          <w:color w:val="auto"/>
        </w:rPr>
      </w:pPr>
    </w:p>
    <w:p>
      <w:pPr>
        <w:jc w:val="both"/>
        <w:ind w:firstLine="1896"/>
        <w:spacing w:after="0" w:line="253" w:lineRule="auto"/>
        <w:tabs>
          <w:tab w:leader="none" w:pos="255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the tax laws and regulations applicable to the SARs and the disposition of the shares following the excise of SARs are complex and subject to change. At the time of receipt of a stock award upon the exercise of all or any portion of the SARs, and in any event at the time the Participant recognizes taxable income with respect to the SARs, the Participant shall pay to the Company in cash, or make other arrangements, in accordance with Section 13 of the Plan, for the satisfaction of, any taxes of any kind and social security payments due or potentially payable or required to be withheld with respect to such payment. Regardless of any action the Company takes with respect to any or all tax withholding (including social insurance contribution obligations, if any), the Participant acknowledges that the ultimate liability for all such taxes is and remains the Participant’s responsibility (or that of the Participant’s beneficiary), and that the Company does not: (a) make any representations or undertakings regarding the treatment of any tax withholding in connection with any aspect of the SARs, including the grant or vesting thereof; or (b) commit to structure the terms of the SARs or any aspect of the SARs to reduce or eliminate the Participant’s (or his or her beneficiary’s) liability for such tax. In the event, the tax withholding obligations are settled in Shares, the Company will only withhold whole Shares and therefore the Participant also authorizes deduction without notice from salary or other amounts payable to the Participant of cash in an amount sufficient to satisfy the Participant’s remaining tax withholding obligation.</w:t>
      </w:r>
    </w:p>
    <w:p>
      <w:pPr>
        <w:spacing w:after="0" w:line="178" w:lineRule="exact"/>
        <w:rPr>
          <w:rFonts w:ascii="Times New Roman" w:cs="Times New Roman" w:eastAsia="Times New Roman" w:hAnsi="Times New Roman"/>
          <w:sz w:val="21"/>
          <w:szCs w:val="21"/>
          <w:color w:val="auto"/>
        </w:rPr>
      </w:pPr>
    </w:p>
    <w:p>
      <w:pPr>
        <w:jc w:val="both"/>
        <w:ind w:firstLine="1265"/>
        <w:spacing w:after="0" w:line="266" w:lineRule="auto"/>
        <w:tabs>
          <w:tab w:leader="none" w:pos="1828"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Non-Transferability. </w:t>
      </w:r>
      <w:r>
        <w:rPr>
          <w:rFonts w:ascii="Times New Roman" w:cs="Times New Roman" w:eastAsia="Times New Roman" w:hAnsi="Times New Roman"/>
          <w:sz w:val="21"/>
          <w:szCs w:val="21"/>
          <w:color w:val="auto"/>
        </w:rPr>
        <w:t>The SARs shall not be transferable otherwise than by will or the laws of descent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distribution, and is exercisable, during the lifetime of the Participant, only by him or her; provided, however, that </w:t>
      </w:r>
      <w:r>
        <w:rPr>
          <w:rFonts w:ascii="Times New Roman" w:cs="Times New Roman" w:eastAsia="Times New Roman" w:hAnsi="Times New Roman"/>
          <w:sz w:val="21"/>
          <w:szCs w:val="21"/>
          <w:b w:val="1"/>
          <w:bCs w:val="1"/>
          <w:color w:val="auto"/>
        </w:rPr>
        <w:t>the</w:t>
      </w:r>
      <w:r>
        <w:rPr>
          <w:rFonts w:ascii="Times New Roman" w:cs="Times New Roman" w:eastAsia="Times New Roman" w:hAnsi="Times New Roman"/>
          <w:sz w:val="21"/>
          <w:szCs w:val="21"/>
          <w:color w:val="auto"/>
        </w:rPr>
        <w:t xml:space="preserve"> Committee may, in its discretion, permit the SARs to be transferred subject to such conditions and limitations as the Committee may impose.</w:t>
      </w:r>
    </w:p>
    <w:p>
      <w:pPr>
        <w:spacing w:after="0" w:line="155" w:lineRule="exact"/>
        <w:rPr>
          <w:rFonts w:ascii="Times New Roman" w:cs="Times New Roman" w:eastAsia="Times New Roman" w:hAnsi="Times New Roman"/>
          <w:sz w:val="21"/>
          <w:szCs w:val="21"/>
          <w:b w:val="1"/>
          <w:bCs w:val="1"/>
          <w:color w:val="auto"/>
        </w:rPr>
      </w:pPr>
    </w:p>
    <w:p>
      <w:pPr>
        <w:jc w:val="both"/>
        <w:ind w:firstLine="1265"/>
        <w:spacing w:after="0" w:line="258" w:lineRule="auto"/>
        <w:tabs>
          <w:tab w:leader="none" w:pos="1838"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Right to Continued Employment. </w:t>
      </w:r>
      <w:r>
        <w:rPr>
          <w:rFonts w:ascii="Times New Roman" w:cs="Times New Roman" w:eastAsia="Times New Roman" w:hAnsi="Times New Roman"/>
          <w:sz w:val="21"/>
          <w:szCs w:val="21"/>
          <w:color w:val="auto"/>
        </w:rPr>
        <w:t>The Company is not obligated by or as a result of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continue the Participant’s employment, and neither the Plan nor this Agreement shall interfere in any way with the right of the Company to terminate the employment of the Participant at any time. The SARs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w:t>
      </w:r>
    </w:p>
    <w:p>
      <w:pPr>
        <w:spacing w:after="0" w:line="175" w:lineRule="exact"/>
        <w:rPr>
          <w:rFonts w:ascii="Times New Roman" w:cs="Times New Roman" w:eastAsia="Times New Roman" w:hAnsi="Times New Roman"/>
          <w:sz w:val="21"/>
          <w:szCs w:val="21"/>
          <w:b w:val="1"/>
          <w:bCs w:val="1"/>
          <w:color w:val="auto"/>
        </w:rPr>
      </w:pPr>
    </w:p>
    <w:p>
      <w:pPr>
        <w:ind w:firstLine="1265"/>
        <w:spacing w:after="0" w:line="285" w:lineRule="auto"/>
        <w:tabs>
          <w:tab w:leader="none" w:pos="1768"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Rights as a Stockholder. </w:t>
      </w:r>
      <w:r>
        <w:rPr>
          <w:rFonts w:ascii="Times New Roman" w:cs="Times New Roman" w:eastAsia="Times New Roman" w:hAnsi="Times New Roman"/>
          <w:sz w:val="21"/>
          <w:szCs w:val="21"/>
          <w:color w:val="auto"/>
        </w:rPr>
        <w:t>Neither the Participant nor any other person shall have any rights to dividends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rights as a stockholder under this Agreement.</w:t>
      </w:r>
    </w:p>
    <w:p>
      <w:pPr>
        <w:spacing w:after="0" w:line="135" w:lineRule="exact"/>
        <w:rPr>
          <w:rFonts w:ascii="Times New Roman" w:cs="Times New Roman" w:eastAsia="Times New Roman" w:hAnsi="Times New Roman"/>
          <w:sz w:val="21"/>
          <w:szCs w:val="21"/>
          <w:b w:val="1"/>
          <w:bCs w:val="1"/>
          <w:color w:val="auto"/>
        </w:rPr>
      </w:pPr>
    </w:p>
    <w:p>
      <w:pPr>
        <w:jc w:val="both"/>
        <w:ind w:firstLine="1265"/>
        <w:spacing w:after="0" w:line="260" w:lineRule="auto"/>
        <w:tabs>
          <w:tab w:leader="none" w:pos="1832"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Consent to Transfer Personal Data. </w:t>
      </w:r>
      <w:r>
        <w:rPr>
          <w:rFonts w:ascii="Times New Roman" w:cs="Times New Roman" w:eastAsia="Times New Roman" w:hAnsi="Times New Roman"/>
          <w:sz w:val="21"/>
          <w:szCs w:val="21"/>
          <w:color w:val="auto"/>
        </w:rPr>
        <w:t>By accepting the SARs, the Participant voluntarily acknowledges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consents to the collection, use, processing and transfer of personal data as described in this paragraph. The Participant is not obliged to consent to such collection, use, processing and transfer of personal data. However, failure to provide the consent may affect the Participant’s ability to participate in the Plan. The Company, holds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personal information about the Participant, that may include his or her name, home address and telephone number, date of birth, social security number or other Participant identification number, salary grade, hire data, salary, nationality, job title, any shares of stock held in the Company, or details of all stock options, restricted stock awards or any other entitlement to shares of stock awarded, canceled, purchased, vested, or unvested, for the purpose of managing and administering the Plan (“Data”). The Company will transfer Data amongst itself as necessary for the purpose of implementation, administration and management of the Participant’s participation in the Plan, and the Company may further transfer Data to any third parties assisting Company in the implementation, administration and management of the Plan. The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for the administration of the Plan, and/or the subsequent holding of shares of stock on the Participant’s behalf by, a broker or other third party with whom the Participant may elect to deposit any shares of stock acquired pursuant to the Plan. The Participant may, at any time, review Data, require any necessary amendments to it or withdraw the consents herein in writing by contacting the Company; provided, however, that withdrawing consent may affect the Participant’s ability to participate in the Plan.</w:t>
      </w:r>
    </w:p>
    <w:p>
      <w:pPr>
        <w:spacing w:after="0" w:line="179" w:lineRule="exact"/>
        <w:rPr>
          <w:sz w:val="20"/>
          <w:szCs w:val="20"/>
          <w:color w:val="auto"/>
        </w:rPr>
      </w:pPr>
    </w:p>
    <w:p>
      <w:pPr>
        <w:jc w:val="both"/>
        <w:ind w:firstLine="1265"/>
        <w:spacing w:after="0" w:line="273" w:lineRule="auto"/>
        <w:tabs>
          <w:tab w:leader="none" w:pos="1796"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Notices. </w:t>
      </w:r>
      <w:r>
        <w:rPr>
          <w:rFonts w:ascii="Times New Roman" w:cs="Times New Roman" w:eastAsia="Times New Roman" w:hAnsi="Times New Roman"/>
          <w:sz w:val="21"/>
          <w:szCs w:val="21"/>
          <w:color w:val="auto"/>
        </w:rPr>
        <w:t>Notices hereunder shall be mailed or delivered to the Company at its principal place of business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mailed or delivered to the Participant at the address on file with the Company or, in either case, at such other address as one party may subsequently furnish to the other party in writing.</w:t>
      </w:r>
    </w:p>
    <w:p>
      <w:pPr>
        <w:spacing w:after="0" w:line="147" w:lineRule="exact"/>
        <w:rPr>
          <w:rFonts w:ascii="Times New Roman" w:cs="Times New Roman" w:eastAsia="Times New Roman" w:hAnsi="Times New Roman"/>
          <w:sz w:val="21"/>
          <w:szCs w:val="21"/>
          <w:b w:val="1"/>
          <w:bCs w:val="1"/>
          <w:color w:val="auto"/>
        </w:rPr>
      </w:pPr>
    </w:p>
    <w:p>
      <w:pPr>
        <w:jc w:val="both"/>
        <w:ind w:firstLine="1265"/>
        <w:spacing w:after="0" w:line="266" w:lineRule="auto"/>
        <w:tabs>
          <w:tab w:leader="none" w:pos="1803"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Other Plans. </w:t>
      </w:r>
      <w:r>
        <w:rPr>
          <w:rFonts w:ascii="Times New Roman" w:cs="Times New Roman" w:eastAsia="Times New Roman" w:hAnsi="Times New Roman"/>
          <w:sz w:val="21"/>
          <w:szCs w:val="21"/>
          <w:color w:val="auto"/>
        </w:rPr>
        <w:t>The Participant acknowledges that any income derived from the exercise of the SARs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affect the Participant’s participation in, or benefits under, any other benefit plan or other contract or arrangement maintained by the Company.</w:t>
      </w:r>
    </w:p>
    <w:p>
      <w:pPr>
        <w:spacing w:after="0" w:line="168" w:lineRule="exact"/>
        <w:rPr>
          <w:rFonts w:ascii="Times New Roman" w:cs="Times New Roman" w:eastAsia="Times New Roman" w:hAnsi="Times New Roman"/>
          <w:sz w:val="21"/>
          <w:szCs w:val="21"/>
          <w:b w:val="1"/>
          <w:bCs w:val="1"/>
          <w:color w:val="auto"/>
        </w:rPr>
      </w:pPr>
    </w:p>
    <w:p>
      <w:pPr>
        <w:ind w:firstLine="1265"/>
        <w:spacing w:after="0" w:line="285" w:lineRule="auto"/>
        <w:tabs>
          <w:tab w:leader="none" w:pos="1733"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Counterpart Execution. </w:t>
      </w:r>
      <w:r>
        <w:rPr>
          <w:rFonts w:ascii="Times New Roman" w:cs="Times New Roman" w:eastAsia="Times New Roman" w:hAnsi="Times New Roman"/>
          <w:sz w:val="21"/>
          <w:szCs w:val="21"/>
          <w:color w:val="auto"/>
        </w:rPr>
        <w:t>This Agreement has been executed in two counterparts, each of which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original and both of which constitute one and the same document.</w:t>
      </w:r>
    </w:p>
    <w:p>
      <w:pPr>
        <w:spacing w:after="0" w:line="135" w:lineRule="exact"/>
        <w:rPr>
          <w:rFonts w:ascii="Times New Roman" w:cs="Times New Roman" w:eastAsia="Times New Roman" w:hAnsi="Times New Roman"/>
          <w:sz w:val="21"/>
          <w:szCs w:val="21"/>
          <w:b w:val="1"/>
          <w:bCs w:val="1"/>
          <w:color w:val="auto"/>
        </w:rPr>
      </w:pPr>
    </w:p>
    <w:p>
      <w:pPr>
        <w:jc w:val="both"/>
        <w:ind w:firstLine="1265"/>
        <w:spacing w:after="0" w:line="258" w:lineRule="auto"/>
        <w:tabs>
          <w:tab w:leader="none" w:pos="1829"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The SARs are intended to be exempt from the requirements of Section 409A of the Internal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Revenue Code of 1986, as amended, and the Treasury Regulations promulgated and other official guidance issued thereunder (“Section 409A”). The Plan and this Agreement shall be administered and interpreted in a manner consistent with this intent. If the Company determines that the Agreement is subject to Section 409A and that it has failed to comply with the requirements of Section 409A, the Company may, in its sole discretion, and without the Participant’s consent, amend this Agreement to cause it to comply with or be exempt from Section 409A.</w:t>
      </w:r>
    </w:p>
    <w:p>
      <w:pPr>
        <w:spacing w:after="0" w:line="162" w:lineRule="exact"/>
        <w:rPr>
          <w:rFonts w:ascii="Times New Roman" w:cs="Times New Roman" w:eastAsia="Times New Roman" w:hAnsi="Times New Roman"/>
          <w:sz w:val="21"/>
          <w:szCs w:val="21"/>
          <w:b w:val="1"/>
          <w:bCs w:val="1"/>
          <w:color w:val="auto"/>
        </w:rPr>
      </w:pPr>
    </w:p>
    <w:p>
      <w:pPr>
        <w:jc w:val="both"/>
        <w:ind w:firstLine="1265"/>
        <w:spacing w:after="0" w:line="264" w:lineRule="auto"/>
        <w:tabs>
          <w:tab w:leader="none" w:pos="1807"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Beneficiary. </w:t>
      </w:r>
      <w:r>
        <w:rPr>
          <w:rFonts w:ascii="Times New Roman" w:cs="Times New Roman" w:eastAsia="Times New Roman" w:hAnsi="Times New Roman"/>
          <w:sz w:val="21"/>
          <w:szCs w:val="21"/>
          <w:color w:val="auto"/>
        </w:rPr>
        <w:t>The Participant may designate a beneficiary in accordance with Section 11 of the Plan. If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of Participant’s death, there is not an effective beneficiary designation on file or the Participant is not survived by the Participant’s designated beneficiary, Participant’s rights, if any, under the Plan and this Agreement shall be exercisable by the legal representative of Participant’s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52" w:lineRule="exact"/>
        <w:rPr>
          <w:sz w:val="20"/>
          <w:szCs w:val="20"/>
          <w:color w:val="auto"/>
        </w:rPr>
      </w:pPr>
    </w:p>
    <w:p>
      <w:pPr>
        <w:ind w:firstLine="1265"/>
        <w:spacing w:after="0" w:line="285" w:lineRule="auto"/>
        <w:tabs>
          <w:tab w:leader="none" w:pos="1768"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Agreement shall be governed by the laws of the State of West Virginia and construed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therewith without giving effect to principles of conflicts of laws.</w:t>
      </w:r>
    </w:p>
    <w:p>
      <w:pPr>
        <w:spacing w:after="0" w:line="135" w:lineRule="exact"/>
        <w:rPr>
          <w:rFonts w:ascii="Times New Roman" w:cs="Times New Roman" w:eastAsia="Times New Roman" w:hAnsi="Times New Roman"/>
          <w:sz w:val="21"/>
          <w:szCs w:val="21"/>
          <w:b w:val="1"/>
          <w:bCs w:val="1"/>
          <w:color w:val="auto"/>
        </w:rPr>
      </w:pPr>
    </w:p>
    <w:p>
      <w:pPr>
        <w:ind w:left="1740" w:hanging="475"/>
        <w:spacing w:after="0"/>
        <w:tabs>
          <w:tab w:leader="none" w:pos="1740"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Restrictive Covenant; Clawback.</w:t>
      </w:r>
    </w:p>
    <w:p>
      <w:pPr>
        <w:spacing w:after="0" w:line="235" w:lineRule="exact"/>
        <w:rPr>
          <w:rFonts w:ascii="Times New Roman" w:cs="Times New Roman" w:eastAsia="Times New Roman" w:hAnsi="Times New Roman"/>
          <w:sz w:val="21"/>
          <w:szCs w:val="21"/>
          <w:b w:val="1"/>
          <w:bCs w:val="1"/>
          <w:color w:val="auto"/>
        </w:rPr>
      </w:pPr>
    </w:p>
    <w:p>
      <w:pPr>
        <w:jc w:val="both"/>
        <w:ind w:firstLine="1896"/>
        <w:spacing w:after="0" w:line="259" w:lineRule="auto"/>
        <w:tabs>
          <w:tab w:leader="none" w:pos="251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within (A) the ten-year term of this grant; (B) two years after the termination of employment; or (C) two years after the Participant exercises any portion of this grant, whichever is the latest, the Participant, in the determination of the Committee of the Company, engages in any activity in competition with any activity of the Company, or inimical, contrary or harmful to the interests of the Company, including, but not limited to:</w:t>
      </w:r>
    </w:p>
    <w:p>
      <w:pPr>
        <w:spacing w:after="0" w:line="165" w:lineRule="exact"/>
        <w:rPr>
          <w:rFonts w:ascii="Times New Roman" w:cs="Times New Roman" w:eastAsia="Times New Roman" w:hAnsi="Times New Roman"/>
          <w:sz w:val="21"/>
          <w:szCs w:val="21"/>
          <w:color w:val="auto"/>
        </w:rPr>
      </w:pPr>
    </w:p>
    <w:p>
      <w:pPr>
        <w:ind w:left="2860" w:hanging="334"/>
        <w:spacing w:after="0"/>
        <w:tabs>
          <w:tab w:leader="none" w:pos="2860"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related to his or her employment for which either criminal or civil penalties against him or</w:t>
      </w:r>
    </w:p>
    <w:p>
      <w:pPr>
        <w:spacing w:after="0" w:line="3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 may be sought;</w:t>
      </w:r>
    </w:p>
    <w:p>
      <w:pPr>
        <w:spacing w:after="0" w:line="205" w:lineRule="exact"/>
        <w:rPr>
          <w:rFonts w:ascii="Times New Roman" w:cs="Times New Roman" w:eastAsia="Times New Roman" w:hAnsi="Times New Roman"/>
          <w:sz w:val="21"/>
          <w:szCs w:val="21"/>
          <w:color w:val="auto"/>
        </w:rPr>
      </w:pPr>
    </w:p>
    <w:p>
      <w:pPr>
        <w:ind w:left="3040" w:hanging="514"/>
        <w:spacing w:after="0"/>
        <w:tabs>
          <w:tab w:leader="none" w:pos="3040"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violation of Company policies, including, without limitation, the Company’s Insider</w:t>
      </w:r>
    </w:p>
    <w:p>
      <w:pPr>
        <w:spacing w:after="0" w:line="3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Policy;</w:t>
      </w:r>
    </w:p>
    <w:p>
      <w:pPr>
        <w:spacing w:after="0" w:line="194" w:lineRule="exact"/>
        <w:rPr>
          <w:rFonts w:ascii="Times New Roman" w:cs="Times New Roman" w:eastAsia="Times New Roman" w:hAnsi="Times New Roman"/>
          <w:sz w:val="21"/>
          <w:szCs w:val="21"/>
          <w:color w:val="auto"/>
        </w:rPr>
      </w:pPr>
    </w:p>
    <w:p>
      <w:pPr>
        <w:ind w:firstLine="2526"/>
        <w:spacing w:after="0" w:line="281" w:lineRule="auto"/>
        <w:tabs>
          <w:tab w:leader="none" w:pos="3030"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cause or induce any current contract holder or customer of Company or any affiliate to purchase services or products that compete directly or indirectly, with services or products offered by Company or any affiliate;</w:t>
      </w:r>
    </w:p>
    <w:p>
      <w:pPr>
        <w:spacing w:after="0" w:line="143" w:lineRule="exact"/>
        <w:rPr>
          <w:rFonts w:ascii="Times New Roman" w:cs="Times New Roman" w:eastAsia="Times New Roman" w:hAnsi="Times New Roman"/>
          <w:sz w:val="21"/>
          <w:szCs w:val="21"/>
          <w:color w:val="auto"/>
        </w:rPr>
      </w:pPr>
    </w:p>
    <w:p>
      <w:pPr>
        <w:ind w:firstLine="2526"/>
        <w:spacing w:after="0" w:line="294" w:lineRule="auto"/>
        <w:tabs>
          <w:tab w:leader="none" w:pos="2958"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anything to cause, persuade or encourage any contract holder or customer of Company or any affiliate to reduce, discontinue or terminate any Company policy, contract, product or service of any kind;</w:t>
      </w:r>
    </w:p>
    <w:p>
      <w:pPr>
        <w:spacing w:after="0" w:line="130" w:lineRule="exact"/>
        <w:rPr>
          <w:rFonts w:ascii="Times New Roman" w:cs="Times New Roman" w:eastAsia="Times New Roman" w:hAnsi="Times New Roman"/>
          <w:sz w:val="21"/>
          <w:szCs w:val="21"/>
          <w:color w:val="auto"/>
        </w:rPr>
      </w:pPr>
    </w:p>
    <w:p>
      <w:pPr>
        <w:ind w:firstLine="2526"/>
        <w:spacing w:after="0" w:line="281" w:lineRule="auto"/>
        <w:tabs>
          <w:tab w:leader="none" w:pos="2880"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anything to cause, persuade or encourage any employee or agent of Company or any affiliate to terminate their affiliation with Company or any affiliate;</w:t>
      </w:r>
    </w:p>
    <w:p>
      <w:pPr>
        <w:spacing w:after="0" w:line="130" w:lineRule="exact"/>
        <w:rPr>
          <w:rFonts w:ascii="Times New Roman" w:cs="Times New Roman" w:eastAsia="Times New Roman" w:hAnsi="Times New Roman"/>
          <w:sz w:val="21"/>
          <w:szCs w:val="21"/>
          <w:color w:val="auto"/>
        </w:rPr>
      </w:pPr>
    </w:p>
    <w:p>
      <w:pPr>
        <w:ind w:left="60" w:firstLine="2465"/>
        <w:spacing w:after="0" w:line="281" w:lineRule="auto"/>
        <w:tabs>
          <w:tab w:leader="none" w:pos="2983"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 or misuse any trade secret, Confidential Information or other non-public confidential or proprietary material concerning the Company or any affiliate; or</w:t>
      </w:r>
    </w:p>
    <w:p>
      <w:pPr>
        <w:spacing w:after="0" w:line="143" w:lineRule="exact"/>
        <w:rPr>
          <w:rFonts w:ascii="Times New Roman" w:cs="Times New Roman" w:eastAsia="Times New Roman" w:hAnsi="Times New Roman"/>
          <w:sz w:val="21"/>
          <w:szCs w:val="21"/>
          <w:color w:val="auto"/>
        </w:rPr>
      </w:pPr>
    </w:p>
    <w:p>
      <w:pPr>
        <w:jc w:val="both"/>
        <w:ind w:firstLine="2526"/>
        <w:spacing w:after="0" w:line="255" w:lineRule="auto"/>
        <w:tabs>
          <w:tab w:leader="none" w:pos="3016"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prior written consent of the Company, directly or indirectly, and whether as principal or investor or as an employee, officer, director, manager, partner, consultant, agent, or otherwise, alone or in association with any other person, firm, corporation, or other business organization, become involved in a competing business, as reasonably determined by the Board, within a seventy-five (75) mile radius of any office or branch owned by the Company or any of its Subsidiaries or affiliates, or engage during such period in any of the activities that comprise a competing business in said geographic area; provided, however, that the provisions of this Section shall apply solely to those activities of a competing business, with which the Participant was personally involved or for which the Participant was responsible while employed by the Company or its Subsidiaries or affiliates during the twelve (12) month period preceding termination of the Participant’s employment; then this SAR Award and all grants of stock appreciation rights under this Agreement held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Participant shall terminate effective as of the date on which the Participant enters into such activity, unless terminated sooner by operation of another term or condition of this Agreement or the Plan, and the total of the gain realized by the Participant from the exercise of all or a portion of any grant of stock appreciation rights under this Agreement shall be repaid by the Participant to the Company. Such gain shall be calculated for each date on which SARs have been exercised based on the Spread for such date multiplied by the number of Shares subject to the SARs exercised on such date, plus interest measured from the first date the Participant engaged in any of the prohibited activities set forth above at the rate of interest on judgments and decrees for the payment of money as set by the administrative office of the Supreme Court of Appeals of West Virginia on an annual basis in accordance with West Virginia Code Section 56-6-31. The total of the sum of the gain for each such date of exercise, plus the total of the sum of all such interest, shall be the amount to be repaid by the Participant to the Company.</w:t>
      </w:r>
    </w:p>
    <w:p>
      <w:pPr>
        <w:spacing w:after="0" w:line="172" w:lineRule="exact"/>
        <w:rPr>
          <w:sz w:val="20"/>
          <w:szCs w:val="20"/>
          <w:color w:val="auto"/>
        </w:rPr>
      </w:pPr>
    </w:p>
    <w:p>
      <w:pPr>
        <w:jc w:val="both"/>
        <w:ind w:firstLine="1896"/>
        <w:spacing w:after="0" w:line="253" w:lineRule="auto"/>
        <w:tabs>
          <w:tab w:leader="none" w:pos="2403"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Paragraph 20, the phrase “current contract holder or customer of Company or any affiliate” means any contract holder or customer of Company or of Summit that becomes known to Participant during his or her employment with the Company. The term “Company Information” means (i) any secret, proprietary or confidential information or data, including without limitation information received from third parties under confidential conditions; (ii) confidential customer data, including but not limited to customer names, addresses, phone numbers, insurance coverage, expiration dates, risk characteristics, premium rates, commission rates, insurance-loss data, business and personal financial statements, investment data, employee-census data, health information and the like; (iii) established business relationships with Company and its affiliates; and</w:t>
      </w:r>
    </w:p>
    <w:p>
      <w:pPr>
        <w:spacing w:after="0" w:line="1" w:lineRule="exact"/>
        <w:rPr>
          <w:rFonts w:ascii="Times New Roman" w:cs="Times New Roman" w:eastAsia="Times New Roman" w:hAnsi="Times New Roman"/>
          <w:sz w:val="21"/>
          <w:szCs w:val="21"/>
          <w:color w:val="auto"/>
        </w:rPr>
      </w:pPr>
    </w:p>
    <w:p>
      <w:pPr>
        <w:ind w:firstLine="5"/>
        <w:spacing w:after="0" w:line="257" w:lineRule="auto"/>
        <w:tabs>
          <w:tab w:leader="none" w:pos="36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software and other technical, business, or financial information, the use or disclosure of which might reasonably be construed to be contrary to the interest of Company, its affiliates or their clients.</w:t>
      </w:r>
    </w:p>
    <w:p>
      <w:pPr>
        <w:spacing w:after="0" w:line="167" w:lineRule="exact"/>
        <w:rPr>
          <w:rFonts w:ascii="Times New Roman" w:cs="Times New Roman" w:eastAsia="Times New Roman" w:hAnsi="Times New Roman"/>
          <w:sz w:val="21"/>
          <w:szCs w:val="21"/>
          <w:color w:val="auto"/>
        </w:rPr>
      </w:pPr>
    </w:p>
    <w:p>
      <w:pPr>
        <w:jc w:val="both"/>
        <w:ind w:firstLine="1896"/>
        <w:spacing w:after="0" w:line="256" w:lineRule="auto"/>
        <w:tabs>
          <w:tab w:leader="none" w:pos="2497"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Participant’s engaging in activities and behavior in violation of Paragraph 20(a) above will result in a loss to the Company which cannot reasonably or adequately be compensated in damages in an action at law, that a breach of this Agreement will result in irreparable and continuing harm to the Company and that therefore, in addition to and cumulative with any other remedy which the Company may have at law or in equity, the Company shall be entitled to injunctive relief for a breach of this Agreement by the Participant. The Participant acknowledges and agrees that the requirement in Paragraph 20(a) above that Participant disgorge and pay over to the Company any gain realized by the Participant is not a provision for liquidated damages. The Participant agrees to pay any and all costs and expenses, including reasonable attorneys’ fees, incurred by the Company in enforcing any breach of any covenant in this Agreement.</w:t>
      </w:r>
    </w:p>
    <w:p>
      <w:pPr>
        <w:spacing w:after="0" w:line="167" w:lineRule="exact"/>
        <w:rPr>
          <w:rFonts w:ascii="Times New Roman" w:cs="Times New Roman" w:eastAsia="Times New Roman" w:hAnsi="Times New Roman"/>
          <w:sz w:val="21"/>
          <w:szCs w:val="21"/>
          <w:color w:val="auto"/>
        </w:rPr>
      </w:pPr>
    </w:p>
    <w:p>
      <w:pPr>
        <w:jc w:val="both"/>
        <w:ind w:firstLine="1265"/>
        <w:spacing w:after="0" w:line="260" w:lineRule="auto"/>
        <w:tabs>
          <w:tab w:leader="none" w:pos="1789" w:val="left"/>
        </w:tabs>
        <w:numPr>
          <w:ilvl w:val="1"/>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Waiver / Unsecured. </w:t>
      </w:r>
      <w:r>
        <w:rPr>
          <w:rFonts w:ascii="Times New Roman" w:cs="Times New Roman" w:eastAsia="Times New Roman" w:hAnsi="Times New Roman"/>
          <w:sz w:val="21"/>
          <w:szCs w:val="21"/>
          <w:color w:val="auto"/>
        </w:rPr>
        <w:t>By accepting the grant of the SARs or exercising it, the Participant waives any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or damages in consequence of the termination of his or her office or employment with the Company or any Subsidiary for any reason (and whether or not such termination is lawful) insofar as those rights arise or may arise, from his or her ceasing to have rights under or be entitled to exercise any SAR under the Plan as a result of such termination or from the loss or diminution in value of such rights or entitlement.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distribution of any shares hereunder, this Grant represents an unsecured obligation, payable only from the general assets of the Company.</w:t>
      </w:r>
    </w:p>
    <w:p>
      <w:pPr>
        <w:spacing w:after="0" w:line="139" w:lineRule="exact"/>
        <w:rPr>
          <w:sz w:val="20"/>
          <w:szCs w:val="20"/>
          <w:color w:val="auto"/>
        </w:rPr>
      </w:pPr>
    </w:p>
    <w:p>
      <w:pPr>
        <w:ind w:firstLine="1265"/>
        <w:spacing w:after="0" w:line="298" w:lineRule="auto"/>
        <w:tabs>
          <w:tab w:leader="none" w:pos="1733"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Upon the occurrence of a Change in Control, as defined in the Plan, this Agreement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SARs granted hereunder shall be governed by Section 11 of the Plan.</w:t>
      </w:r>
    </w:p>
    <w:p>
      <w:pPr>
        <w:spacing w:after="0" w:line="122" w:lineRule="exact"/>
        <w:rPr>
          <w:rFonts w:ascii="Times New Roman" w:cs="Times New Roman" w:eastAsia="Times New Roman" w:hAnsi="Times New Roman"/>
          <w:sz w:val="21"/>
          <w:szCs w:val="21"/>
          <w:b w:val="1"/>
          <w:bCs w:val="1"/>
          <w:color w:val="auto"/>
        </w:rPr>
      </w:pPr>
    </w:p>
    <w:p>
      <w:pPr>
        <w:jc w:val="both"/>
        <w:ind w:firstLine="1265"/>
        <w:spacing w:after="0" w:line="260" w:lineRule="auto"/>
        <w:tabs>
          <w:tab w:leader="none" w:pos="1733"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Representations. </w:t>
      </w:r>
      <w:r>
        <w:rPr>
          <w:rFonts w:ascii="Times New Roman" w:cs="Times New Roman" w:eastAsia="Times New Roman" w:hAnsi="Times New Roman"/>
          <w:sz w:val="21"/>
          <w:szCs w:val="21"/>
          <w:color w:val="auto"/>
        </w:rPr>
        <w:t>The Participant has reviewed with his own tax advisors the applicable tax (U.S., foreign, 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local) consequences of the transactions contemplated by this Agreement. The Participant is relying solely on such advisors and not on any statements or representations of the Company or any of its agents. The Participant understands that he or she (and not the Company) shall be responsible for any tax liability that may arise as a result of the transactions contemplated by this Agreement.</w:t>
      </w:r>
    </w:p>
    <w:p>
      <w:pPr>
        <w:spacing w:after="0" w:line="174" w:lineRule="exact"/>
        <w:rPr>
          <w:rFonts w:ascii="Times New Roman" w:cs="Times New Roman" w:eastAsia="Times New Roman" w:hAnsi="Times New Roman"/>
          <w:sz w:val="21"/>
          <w:szCs w:val="21"/>
          <w:b w:val="1"/>
          <w:bCs w:val="1"/>
          <w:color w:val="auto"/>
        </w:rPr>
      </w:pPr>
    </w:p>
    <w:p>
      <w:pPr>
        <w:ind w:firstLine="1265"/>
        <w:spacing w:after="0" w:line="285" w:lineRule="auto"/>
        <w:tabs>
          <w:tab w:leader="none" w:pos="175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Binding Effect. </w:t>
      </w:r>
      <w:r>
        <w:rPr>
          <w:rFonts w:ascii="Times New Roman" w:cs="Times New Roman" w:eastAsia="Times New Roman" w:hAnsi="Times New Roman"/>
          <w:sz w:val="21"/>
          <w:szCs w:val="21"/>
          <w:color w:val="auto"/>
        </w:rPr>
        <w:t>This Agreement shall be binding upon and inure to the benefit of any successors and assigns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and all persons lawfully claiming under Participant.</w:t>
      </w:r>
    </w:p>
    <w:p>
      <w:pPr>
        <w:spacing w:after="0" w:line="135" w:lineRule="exact"/>
        <w:rPr>
          <w:sz w:val="20"/>
          <w:szCs w:val="20"/>
          <w:color w:val="auto"/>
        </w:rPr>
      </w:pPr>
    </w:p>
    <w:p>
      <w:pPr>
        <w:jc w:val="both"/>
        <w:ind w:firstLine="1260"/>
        <w:spacing w:after="0" w:line="285"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Company has executed this Agreement as of the date first above written.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 has accepted and executed this Agreement as of the date written below.</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SUMMIT FINANCIAL GROUP, INC.</w:t>
      </w:r>
    </w:p>
    <w:p>
      <w:pPr>
        <w:spacing w:after="0" w:line="2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color w:val="auto"/>
        </w:rPr>
        <w:t>______________________________</w:t>
      </w:r>
    </w:p>
    <w:p>
      <w:pPr>
        <w:spacing w:after="0" w:line="205" w:lineRule="exact"/>
        <w:rPr>
          <w:sz w:val="20"/>
          <w:szCs w:val="20"/>
          <w:color w:val="auto"/>
        </w:rPr>
      </w:pPr>
    </w:p>
    <w:p>
      <w:pPr>
        <w:ind w:left="3780"/>
        <w:spacing w:after="0"/>
        <w:tabs>
          <w:tab w:leader="none" w:pos="4280" w:val="left"/>
        </w:tabs>
        <w:rPr>
          <w:sz w:val="20"/>
          <w:szCs w:val="20"/>
          <w:color w:val="auto"/>
        </w:rPr>
      </w:pPr>
      <w:r>
        <w:rPr>
          <w:rFonts w:ascii="Times New Roman" w:cs="Times New Roman" w:eastAsia="Times New Roman" w:hAnsi="Times New Roman"/>
          <w:sz w:val="21"/>
          <w:szCs w:val="21"/>
          <w:b w:val="1"/>
          <w:bCs w:val="1"/>
          <w:color w:val="auto"/>
        </w:rPr>
        <w:t>Its:</w:t>
      </w:r>
      <w:r>
        <w:rPr>
          <w:sz w:val="20"/>
          <w:szCs w:val="20"/>
          <w:color w:val="auto"/>
        </w:rPr>
        <w:tab/>
      </w:r>
      <w:r>
        <w:rPr>
          <w:rFonts w:ascii="Times New Roman" w:cs="Times New Roman" w:eastAsia="Times New Roman" w:hAnsi="Times New Roman"/>
          <w:sz w:val="20"/>
          <w:szCs w:val="20"/>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Participant acknowledges receipt of a copy of the Plan, a copy of which is attached, and represents that he or she is familiar with the terms and provisions of the Plan. Participant hereby accepts this SAR subject to all the terms and provisions of the Plan. Participant hereby agrees to accept as binding, conclusive, and final all decisions and interpretations of the Committee, and, where applicable, the Board, upon any questions arising under the Plan.</w:t>
      </w:r>
    </w:p>
    <w:p>
      <w:pPr>
        <w:spacing w:after="0" w:line="18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Dated:</w:t>
      </w:r>
    </w:p>
    <w:p>
      <w:pPr>
        <w:spacing w:after="0" w:line="21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24765</wp:posOffset>
            </wp:positionV>
            <wp:extent cx="5196840" cy="274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5196840" cy="274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9"/>
          <w:szCs w:val="19"/>
          <w:b w:val="1"/>
          <w:bCs w:val="1"/>
          <w:color w:val="auto"/>
        </w:rPr>
        <w:t>Burke &amp; Herbert Financial Services Corp.</w:t>
      </w:r>
    </w:p>
    <w:p>
      <w:pPr>
        <w:spacing w:after="0" w:line="2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Approved this 4th day of January, 2024 by the Board of Directors.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Purpose</w:t>
      </w:r>
    </w:p>
    <w:p>
      <w:pPr>
        <w:spacing w:after="0" w:line="2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This Insider Trading Policy (the “Policy”) provides guidelines with respect to transactions in the securities of Burke &amp; Herbert Financial Services Corp. (together with its subsidiaries, unless the context requires otherwise, the “Company”)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Persons Subject to the Policy</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Policy applies to all officers of the Company, all members of the Company’s Board of Directors and all other employees of the Company. The Company may also determine that other persons should be subject to this Policy, such as contractors or consultants who have access to material nonpublic information. This Policy also applies to Family Members (as defined herein), including anyone living in the same household as a person covered by this Policy, and entities controlled by a person covered by this Policy (Controlled Entities, as defined herein), all as described further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Transactions Subject to the Policy</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This Policy applies to transactions in the Company’s securities (collectively referred to in this Policy as “Company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including, without limitation, exchange-traded put or call options or swaps relating to Company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Individual Responsibility</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Controlled Entities also comply with this Policy. In all cases, the responsibility for determining whether an individual is in possession of material nonpublic information rests with that individual, and any action on the part of the Company,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Administration of the Policy</w:t>
      </w:r>
    </w:p>
    <w:p>
      <w:pPr>
        <w:spacing w:after="0" w:line="2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Company’s Corporate Secretary, or in his or her absence, the Company’s Chief Executive Officer or another employee designated by the Corporate Secretary, shall be responsible for administration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296"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9"/>
          <w:szCs w:val="19"/>
          <w:color w:val="auto"/>
        </w:rPr>
        <w:t>Policy. All determinations and interpretations by the Corporate Secretary shall be final and not subject to further review.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Statement of Policy</w:t>
      </w:r>
    </w:p>
    <w:p>
      <w:pPr>
        <w:spacing w:after="0" w:line="2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It is the policy of the Company that no director, officer or other employee of the Company (or any other person designated by this Policy or by the Corporate Secretary as subject to this Policy) who is aware of material nonpublic information relating to the Company may, directly, or indirectly through family members or other persons or entities:</w:t>
      </w:r>
    </w:p>
    <w:p>
      <w:pPr>
        <w:spacing w:after="0" w:line="398" w:lineRule="exact"/>
        <w:rPr>
          <w:sz w:val="20"/>
          <w:szCs w:val="20"/>
          <w:color w:val="auto"/>
        </w:rPr>
      </w:pPr>
    </w:p>
    <w:p>
      <w:pPr>
        <w:ind w:left="1260" w:hanging="625"/>
        <w:spacing w:after="0" w:line="281" w:lineRule="auto"/>
        <w:tabs>
          <w:tab w:leader="none" w:pos="12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transactions in Company Securities, except as otherwise specified in this Policy under the headings “Transactions Under Company Plans,” “Transactions in Mutual Funds” and “Rule 10b5-1 Plans;”</w:t>
      </w:r>
    </w:p>
    <w:p>
      <w:pPr>
        <w:spacing w:after="0" w:line="39" w:lineRule="exact"/>
        <w:rPr>
          <w:rFonts w:ascii="Times New Roman" w:cs="Times New Roman" w:eastAsia="Times New Roman" w:hAnsi="Times New Roman"/>
          <w:sz w:val="19"/>
          <w:szCs w:val="19"/>
          <w:color w:val="auto"/>
        </w:rPr>
      </w:pPr>
    </w:p>
    <w:p>
      <w:pPr>
        <w:ind w:left="1260" w:hanging="625"/>
        <w:spacing w:after="0"/>
        <w:tabs>
          <w:tab w:leader="none" w:pos="12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Recommend the purchase or sale of any Company Securities;</w:t>
      </w:r>
    </w:p>
    <w:p>
      <w:pPr>
        <w:spacing w:after="0" w:line="122" w:lineRule="exact"/>
        <w:rPr>
          <w:rFonts w:ascii="Times New Roman" w:cs="Times New Roman" w:eastAsia="Times New Roman" w:hAnsi="Times New Roman"/>
          <w:sz w:val="19"/>
          <w:szCs w:val="19"/>
          <w:color w:val="auto"/>
        </w:rPr>
      </w:pPr>
    </w:p>
    <w:p>
      <w:pPr>
        <w:jc w:val="both"/>
        <w:ind w:left="1260" w:hanging="625"/>
        <w:spacing w:after="0" w:line="266" w:lineRule="auto"/>
        <w:tabs>
          <w:tab w:leader="none" w:pos="12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 (or “tip”)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55" w:lineRule="exact"/>
        <w:rPr>
          <w:rFonts w:ascii="Times New Roman" w:cs="Times New Roman" w:eastAsia="Times New Roman" w:hAnsi="Times New Roman"/>
          <w:sz w:val="19"/>
          <w:szCs w:val="19"/>
          <w:color w:val="auto"/>
        </w:rPr>
      </w:pPr>
    </w:p>
    <w:p>
      <w:pPr>
        <w:ind w:left="1260" w:hanging="625"/>
        <w:spacing w:after="0"/>
        <w:tabs>
          <w:tab w:leader="none" w:pos="12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Assist anyone engaged in the above activities.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but not limited to, a customer or supplier of the Company, may, directly or indirectly, trade in that company’s securities until the information becomes public or is no longer material.</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There are no exceptions to this Policy, except as specifically noted herein. Transactions that may be necessary or justifiable for independent reasons (such as the need to raise money for an emergency expenditure), or small transactions, are not exempt from this Policy. The securities laws do not recognize any mitigating circumstances, and, in any event, even the appearance of an improper transaction must be avoided to preserve the Company’s reputation for adhering to the highest standards of conduct. For purposes of this Policy, the term “transactions” includes all transactions in Company Securities, including gifts, except as specifically set forth herein.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 of Material Nonpublic Information</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Material Information. </w:t>
      </w:r>
      <w:r>
        <w:rPr>
          <w:rFonts w:ascii="Times New Roman" w:cs="Times New Roman" w:eastAsia="Times New Roman" w:hAnsi="Times New Roman"/>
          <w:sz w:val="19"/>
          <w:szCs w:val="19"/>
          <w:color w:val="auto"/>
        </w:rPr>
        <w:t>Information is considered “material” if a reasonable investor would consider that information important in making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206" w:lineRule="exact"/>
        <w:rPr>
          <w:sz w:val="20"/>
          <w:szCs w:val="20"/>
          <w:color w:val="auto"/>
        </w:rPr>
      </w:pPr>
    </w:p>
    <w:p>
      <w:pPr>
        <w:ind w:left="1060" w:hanging="377"/>
        <w:spacing w:after="0"/>
        <w:tabs>
          <w:tab w:leader="none" w:pos="10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Projections of future earnings or losses, or other earnings guidance;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40" w:lineRule="exact"/>
        <w:rPr>
          <w:rFonts w:ascii="Times New Roman" w:cs="Times New Roman" w:eastAsia="Times New Roman" w:hAnsi="Times New Roman"/>
          <w:sz w:val="21"/>
          <w:szCs w:val="21"/>
          <w:color w:val="auto"/>
        </w:rPr>
      </w:pPr>
    </w:p>
    <w:p>
      <w:pPr>
        <w:ind w:left="55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298" w:right="339" w:bottom="1440" w:gutter="0" w:footer="0" w:header="0"/>
        </w:sectPr>
      </w:pPr>
    </w:p>
    <w:bookmarkStart w:id="181" w:name="page182"/>
    <w:bookmarkEnd w:id="181"/>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Changes to previously announced earnings guidance, or the decision to suspend earnings guidance;</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Significant regulatory developments impacting the Company;</w:t>
      </w:r>
    </w:p>
    <w:p>
      <w:pPr>
        <w:spacing w:after="0" w:line="126"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pending or proposed merger, acquisition or tender offer;</w:t>
      </w:r>
    </w:p>
    <w:p>
      <w:pPr>
        <w:spacing w:after="0" w:line="126"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pending or proposed acquisition or disposition of a significant asset;</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pending or proposed joint venture;</w:t>
      </w:r>
    </w:p>
    <w:p>
      <w:pPr>
        <w:spacing w:after="0" w:line="126"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Company restructuring;</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Significant related party transactions;</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change in dividend policy, the declaration of a stock split, or an offering of additional securities;</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Borrowings or other financing transactions out of the ordinary course;</w:t>
      </w:r>
    </w:p>
    <w:p>
      <w:pPr>
        <w:spacing w:after="0" w:line="126"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establishment of a repurchase program for Company Securities;</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change in the Company’s pricing or cost structure;</w:t>
      </w:r>
    </w:p>
    <w:p>
      <w:pPr>
        <w:spacing w:after="0" w:line="126"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Major marketing changes;</w:t>
      </w:r>
    </w:p>
    <w:p>
      <w:pPr>
        <w:spacing w:after="0" w:line="126"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change in executive management;</w:t>
      </w:r>
    </w:p>
    <w:p>
      <w:pPr>
        <w:spacing w:after="0" w:line="99"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change in auditors or notification that the auditor’s reports may no longer be relied upon;</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Development of a significant new product, process, or service;</w:t>
      </w:r>
    </w:p>
    <w:p>
      <w:pPr>
        <w:spacing w:after="0" w:line="126"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Pending or threatened significant litigation, or the resolution of such litigation;</w:t>
      </w:r>
    </w:p>
    <w:p>
      <w:pPr>
        <w:spacing w:after="0" w:line="126"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Impending bankruptcy or the existence of severe liquidity problems;</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gain or loss of a significant customer or supplier;</w:t>
      </w:r>
    </w:p>
    <w:p>
      <w:pPr>
        <w:spacing w:after="0" w:line="112" w:lineRule="exact"/>
        <w:rPr>
          <w:rFonts w:ascii="Times New Roman" w:cs="Times New Roman" w:eastAsia="Times New Roman" w:hAnsi="Times New Roman"/>
          <w:sz w:val="21"/>
          <w:szCs w:val="21"/>
          <w:color w:val="auto"/>
        </w:rPr>
      </w:pPr>
    </w:p>
    <w:p>
      <w:pPr>
        <w:ind w:left="1060" w:hanging="377"/>
        <w:spacing w:after="0"/>
        <w:tabs>
          <w:tab w:leader="none" w:pos="10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imposition of a ban on trading in Company Securities or the securities of another company;</w:t>
      </w:r>
    </w:p>
    <w:p>
      <w:pPr>
        <w:spacing w:after="0" w:line="99" w:lineRule="exact"/>
        <w:rPr>
          <w:rFonts w:ascii="Times New Roman" w:cs="Times New Roman" w:eastAsia="Times New Roman" w:hAnsi="Times New Roman"/>
          <w:sz w:val="21"/>
          <w:szCs w:val="21"/>
          <w:color w:val="auto"/>
        </w:rPr>
      </w:pPr>
    </w:p>
    <w:p>
      <w:pPr>
        <w:jc w:val="both"/>
        <w:ind w:left="1060" w:hanging="377"/>
        <w:spacing w:after="0" w:line="250" w:lineRule="auto"/>
        <w:tabs>
          <w:tab w:leader="none" w:pos="105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and</w:t>
      </w:r>
    </w:p>
    <w:p>
      <w:pPr>
        <w:spacing w:after="0" w:line="81" w:lineRule="exact"/>
        <w:rPr>
          <w:rFonts w:ascii="Times New Roman" w:cs="Times New Roman" w:eastAsia="Times New Roman" w:hAnsi="Times New Roman"/>
          <w:sz w:val="21"/>
          <w:szCs w:val="21"/>
          <w:color w:val="auto"/>
        </w:rPr>
      </w:pPr>
    </w:p>
    <w:p>
      <w:pPr>
        <w:ind w:left="1060" w:hanging="377"/>
        <w:spacing w:after="0" w:line="256" w:lineRule="auto"/>
        <w:tabs>
          <w:tab w:leader="none" w:pos="105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The imposition of an event-specific restriction on trading in Company Securities or the securities of another company or the extension or termination of such restriction.</w:t>
      </w:r>
    </w:p>
    <w:p>
      <w:pPr>
        <w:spacing w:after="0" w:line="1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If you are unsure whether information is material, you should either (i) consult the Corporate Secretary before making any decision to trade in or recommend securities to which that information relates or (ii) assume that the information is material.</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When Information is Considered Public. </w:t>
      </w:r>
      <w:r>
        <w:rPr>
          <w:rFonts w:ascii="Times New Roman" w:cs="Times New Roman" w:eastAsia="Times New Roman" w:hAnsi="Times New Roman"/>
          <w:sz w:val="19"/>
          <w:szCs w:val="19"/>
          <w:color w:val="auto"/>
        </w:rPr>
        <w:t>Information that has not been disclosed to the public is generally considered to be nonpublic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information. In order to establish that the information has been disclosed to the public, it may be necessary to demonstrate that the information has been widely disseminated. Information generally would be considered widely disseminated if it has been disclosed through the newswire services, Dow Jones “broad tape,” a broadcast on widely available radio or television programs, publication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11" w:right="339" w:bottom="1440" w:gutter="0" w:footer="0" w:header="0"/>
        </w:sectPr>
      </w:pPr>
    </w:p>
    <w:bookmarkStart w:id="182" w:name="page183"/>
    <w:bookmarkEnd w:id="182"/>
    <w:p>
      <w:pPr>
        <w:jc w:val="both"/>
        <w:spacing w:after="0" w:line="295" w:lineRule="auto"/>
        <w:rPr>
          <w:sz w:val="20"/>
          <w:szCs w:val="20"/>
          <w:color w:val="auto"/>
        </w:rPr>
      </w:pPr>
      <w:r>
        <w:rPr>
          <w:rFonts w:ascii="Times New Roman" w:cs="Times New Roman" w:eastAsia="Times New Roman" w:hAnsi="Times New Roman"/>
          <w:sz w:val="19"/>
          <w:szCs w:val="19"/>
          <w:color w:val="auto"/>
        </w:rPr>
        <w:t>widely available newspaper, magazine or news website, or public disclosure documents such as an 8-K filed with the SEC that are available on the SEC’s website.</w:t>
      </w:r>
    </w:p>
    <w:p>
      <w:pPr>
        <w:spacing w:after="0" w:line="13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By contrast, information would likely not be considered widely disseminated if it is available only to the Company’s employees, or if it is only available to a select group of analysts, brokers and institutional investors.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Once information is widely disseminated, it is still necessary to afford the investing public with sufficient time to absorb the information. As a general rule, information should not be considered fully absorbed by the marketplace until after the second trading day after the day on which the information is released. If, for example, the Company were to make an announcement before the Nasdaq Stock Market opens on a Monday, you should not trade in Company Securities until Wednesday. Depending on the particular circumstances, the Company may determine that a longer or shorter period should apply to the release of specific material nonpublic information.</w:t>
      </w:r>
    </w:p>
    <w:p>
      <w:pPr>
        <w:spacing w:after="0" w:line="17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b w:val="1"/>
          <w:bCs w:val="1"/>
          <w:color w:val="auto"/>
        </w:rPr>
        <w:t>As with questions of materiality, if you are unsure whether information is considered public, you should either seek additional guidance or assume that the information is nonpublic and treat it as confidential.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Transactions by Family Members and Others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Transactions by Entities that You Influence or Control</w:t>
      </w:r>
    </w:p>
    <w:p>
      <w:pPr>
        <w:spacing w:after="0" w:line="2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This Policy applies to any entities that you influence or control, including any companies, partnerships or trusts (collectively referred to as “Controlled Entities”), and transactions by these Controlled Entities should be treated for the purposes of this Policy and applicable securities laws as if they were for your own account.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Transactions under Company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Policy does not apply in the case of the following transactions, except as specifically noted:</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Stock Option Exercises. </w:t>
      </w:r>
      <w:r>
        <w:rPr>
          <w:rFonts w:ascii="Times New Roman" w:cs="Times New Roman" w:eastAsia="Times New Roman" w:hAnsi="Times New Roman"/>
          <w:sz w:val="19"/>
          <w:szCs w:val="19"/>
          <w:color w:val="auto"/>
        </w:rPr>
        <w:t>This Policy does not apply to the exercise of stock options acquired pursuant to the Company’s incentive plans, or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exercise of a tax withholding right pursuant to which a person has elected to have the Company withhold shares subject to an option to satisfy tax withholding requirements, as long as the exercise does not involve the sale of any Company stock. This Policy does apply, however, to any sale of stock as part of a broker-assisted cashless exercise of an option, or any other market sale for the purpose of generating the cash needed to pay the exercise price of an option. In addition, this Policy applies to any subsequent sale of shares acquired pursuant to the exercise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298" w:right="339" w:bottom="1440" w:gutter="0" w:footer="0" w:header="0"/>
        </w:sectPr>
      </w:pPr>
    </w:p>
    <w:bookmarkStart w:id="183" w:name="page184"/>
    <w:bookmarkEnd w:id="183"/>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Restricted Stock and Restricted Stock Unit Awards. </w:t>
      </w:r>
      <w:r>
        <w:rPr>
          <w:rFonts w:ascii="Times New Roman" w:cs="Times New Roman" w:eastAsia="Times New Roman" w:hAnsi="Times New Roman"/>
          <w:sz w:val="19"/>
          <w:szCs w:val="19"/>
          <w:color w:val="auto"/>
        </w:rPr>
        <w:t>This Policy does not apply to the vesting of restricted stock or restricted stock units acquired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pursuant to the Company’s incentive plans, or the exercise of a tax withholding right pursuant to which you elect to have the Company withhold shares of stock to satisfy tax withholding requirements upon the vesting of any restricted stock or restricted stock unit. The Policy does apply, however, to any market sale of restricted stock and to any subsequent sale of shares acquired upon settlement of restricted stock units.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401(k) Plan. </w:t>
      </w:r>
      <w:r>
        <w:rPr>
          <w:rFonts w:ascii="Times New Roman" w:cs="Times New Roman" w:eastAsia="Times New Roman" w:hAnsi="Times New Roman"/>
          <w:sz w:val="19"/>
          <w:szCs w:val="19"/>
          <w:color w:val="auto"/>
        </w:rPr>
        <w:t>This Policy does not apply to automatic purchases of Company Securities in the Company’s 401(k) plan, to the extent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purchases are offered under the Company’s 401(k) plan, resulting from your periodic contribution of money to the plan pursuant to your payroll deduction election or pursuant to the periodic reinvestment of cash dividends allocated to the Company stock fund.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participate in, to cease participating in, or to change the level of reinvestment of cash dividends allocated to the Company stock fund, if such reinvestment is offered under the 401(k) plan on an elective basis, (d) an election to borrow money against your 401(k) plan account if the loan will result in a liquidation of some or all of your Company stock fund balance; and (e) an election to pre-pay a plan loan if the pre-payment will result in allocation of loan proceeds to the Company stock fund.</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Employee Stock Purchase Plan. </w:t>
      </w:r>
      <w:r>
        <w:rPr>
          <w:rFonts w:ascii="Times New Roman" w:cs="Times New Roman" w:eastAsia="Times New Roman" w:hAnsi="Times New Roman"/>
          <w:sz w:val="19"/>
          <w:szCs w:val="19"/>
          <w:color w:val="auto"/>
        </w:rPr>
        <w:t>This Policy does not apply to purchases of Company Securities in the Company’s Employee Stock Purchase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Plan, to the extent such a plan is established, resulting from your periodic contribution of money to the plan pursuant to the election you made at the time of your enrollment in the plan. This Policy does apply, however, to your election to participate in the plan for any enrollment period, any changes to your election, any voluntary purchases from additional contributions to the plan, to the extent such additional contributions are offered under the plan, and to your sales of Company Securities purchased pursuant to the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Transactions in Mutual Funds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Transactions in mutual funds that are invested in Company Securities are not transactions subject to this Policy.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Special and Prohibited Transactions</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in the case of standing and limit orders, should otherwise consider the Company’s preferences, as described below:</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 xml:space="preserve">Short-Term Trading. </w:t>
      </w:r>
      <w:r>
        <w:rPr>
          <w:rFonts w:ascii="Times New Roman" w:cs="Times New Roman" w:eastAsia="Times New Roman" w:hAnsi="Times New Roman"/>
          <w:sz w:val="19"/>
          <w:szCs w:val="19"/>
          <w:color w:val="auto"/>
        </w:rPr>
        <w:t>Short-term trading of Company Securities may be distracting to the person and may unduly focus the person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Short Sales. </w:t>
      </w:r>
      <w:r>
        <w:rPr>
          <w:rFonts w:ascii="Times New Roman" w:cs="Times New Roman" w:eastAsia="Times New Roman" w:hAnsi="Times New Roman"/>
          <w:sz w:val="19"/>
          <w:szCs w:val="19"/>
          <w:color w:val="auto"/>
        </w:rPr>
        <w:t>Short sales of Company Securities (</w:t>
      </w:r>
      <w:r>
        <w:rPr>
          <w:rFonts w:ascii="Times New Roman" w:cs="Times New Roman" w:eastAsia="Times New Roman" w:hAnsi="Times New Roman"/>
          <w:sz w:val="19"/>
          <w:szCs w:val="19"/>
          <w:i w:val="1"/>
          <w:iCs w:val="1"/>
          <w:color w:val="auto"/>
        </w:rPr>
        <w:t xml:space="preserve">i.e., </w:t>
      </w:r>
      <w:r>
        <w:rPr>
          <w:rFonts w:ascii="Times New Roman" w:cs="Times New Roman" w:eastAsia="Times New Roman" w:hAnsi="Times New Roman"/>
          <w:sz w:val="19"/>
          <w:szCs w:val="19"/>
          <w:color w:val="auto"/>
        </w:rPr>
        <w:t>the sale of a security that the seller does not own) may evidence an expectation on the part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seller that the securities will decline in value, and therefore have the potential to signal to the market that the seller lacks confidence in the Company’s prospects. In addition, short sales may reduce a seller’s incentive to seek to improve the Company’s performance. For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296" w:right="339" w:bottom="1440" w:gutter="0" w:footer="0" w:header="0"/>
        </w:sectPr>
      </w:pPr>
    </w:p>
    <w:bookmarkStart w:id="184" w:name="page185"/>
    <w:bookmarkEnd w:id="184"/>
    <w:p>
      <w:pPr>
        <w:jc w:val="both"/>
        <w:spacing w:after="0" w:line="266" w:lineRule="auto"/>
        <w:rPr>
          <w:sz w:val="20"/>
          <w:szCs w:val="20"/>
          <w:color w:val="auto"/>
        </w:rPr>
      </w:pPr>
      <w:r>
        <w:rPr>
          <w:rFonts w:ascii="Times New Roman" w:cs="Times New Roman" w:eastAsia="Times New Roman" w:hAnsi="Times New Roman"/>
          <w:sz w:val="19"/>
          <w:szCs w:val="19"/>
          <w:color w:val="auto"/>
        </w:rPr>
        <w:t>reasons, short sales of Company Securities by any director, officer or other employee are prohibited. In addition, to the extent directors and executive officers are subject to the reporting and other provisions of Section 16 of the Securities Exchange Act of 1934, as amended (the “Exchange Act”), Section 16(c) of the Exchange Act prohibits engaging in short sales. (Short sales arising from certain types of hedging transactions are governed by the paragraph below captioned “Hedging Transactions.”)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Publicly-Traded Options. </w:t>
      </w:r>
      <w:r>
        <w:rPr>
          <w:rFonts w:ascii="Times New Roman" w:cs="Times New Roman" w:eastAsia="Times New Roman" w:hAnsi="Times New Roman"/>
          <w:sz w:val="19"/>
          <w:szCs w:val="19"/>
          <w:color w:val="auto"/>
        </w:rPr>
        <w:t>Given the relatively short term of publicly-traded options, transactions in options may create the appearance that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director, officer or employee is trading based on material nonpublic information and focus a director’s, officer’s or other employee’s attention on short-term performance at the expense of the Company’s long-term objectives. Accordingly, transactions by any director, officer or other employee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Hedging Transactions. </w:t>
      </w:r>
      <w:r>
        <w:rPr>
          <w:rFonts w:ascii="Times New Roman" w:cs="Times New Roman" w:eastAsia="Times New Roman" w:hAnsi="Times New Roman"/>
          <w:sz w:val="19"/>
          <w:szCs w:val="19"/>
          <w:color w:val="auto"/>
        </w:rPr>
        <w:t>Hedging or monetization transactions can be accomplished through a number of possible mechanisms, including through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prohibits any director, officer or other employee from engaging in such transactions.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Margin Accounts and Pledged Securities. </w:t>
      </w:r>
      <w:r>
        <w:rPr>
          <w:rFonts w:ascii="Times New Roman" w:cs="Times New Roman" w:eastAsia="Times New Roman" w:hAnsi="Times New Roman"/>
          <w:sz w:val="19"/>
          <w:szCs w:val="19"/>
          <w:color w:val="auto"/>
        </w:rPr>
        <w:t>Securities held in a margin account as collateral for a margin loan may be sold by the broker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except in very limited circumstances where it is clearly demonstrated that the director, officer, or employee has the capacity to repay the loan without selling the pledged securities. Any person wishing to pledge Company Securities as collateral for a loan must first submit the proposed transaction for approval by the Corporate Secretary. Any request for pre-clearance of an arrangement involving the pledge of Company Securities as collateral for a loan must be submitted in writing to the Corporate Secretary at least two weeks prior to the proposed execution of documents evidencing the proposed transaction and must set forth a justification for the proposed transaction and evidence of the person’s ability to repay the loan. Pledges of Company Securities must also be submitted to the Company’s Board of Directors for approval. (Pledges of Company Securities arising from certain types of hedging transactions are governed by the paragraph above captioned “Hedging Transactions.”)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Standing and Limit Orders. </w:t>
      </w:r>
      <w:r>
        <w:rPr>
          <w:rFonts w:ascii="Times New Roman" w:cs="Times New Roman" w:eastAsia="Times New Roman" w:hAnsi="Times New Roman"/>
          <w:sz w:val="19"/>
          <w:szCs w:val="19"/>
          <w:color w:val="auto"/>
        </w:rPr>
        <w:t>Standing and limit orders (except standing and limit orders under approved Rule 10b5-1 Plans, as described below)</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 No standing or limit order may be entered into during a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298"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Additional Procedures</w:t>
      </w:r>
    </w:p>
    <w:p>
      <w:pPr>
        <w:spacing w:after="0" w:line="2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Pre-Clearance Procedures. </w:t>
      </w:r>
      <w:r>
        <w:rPr>
          <w:rFonts w:ascii="Times New Roman" w:cs="Times New Roman" w:eastAsia="Times New Roman" w:hAnsi="Times New Roman"/>
          <w:sz w:val="19"/>
          <w:szCs w:val="19"/>
          <w:color w:val="auto"/>
        </w:rPr>
        <w:t>The directors of the Company, the executive officers of the Company, and all other persons designated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Corporate Secretary as being subject to these procedures (“Restricted Persons”), as well as the Family Members and Controlled Entities of such persons, may not engage in any transaction in Company Securities without first obtaining pre-clearance of the transaction from the Corporate Secretary. A request for pre-clearance should be submitted in writing to the Corporate Secretary at least two business days in advance of the proposed transaction. A form for such purposes is attached as Exhibit A. The Corporate Secretary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When a request for pre-clearance is made, the requestor should carefully consider whether he or she may be aware of any material nonpublic information about the Company, and should describe fully those circumstances to the Corporate Secretary. To the extent Section 16 of the Exchange Act is applicable,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Quarterly Trading Restrictions. </w:t>
      </w:r>
      <w:r>
        <w:rPr>
          <w:rFonts w:ascii="Times New Roman" w:cs="Times New Roman" w:eastAsia="Times New Roman" w:hAnsi="Times New Roman"/>
          <w:sz w:val="19"/>
          <w:szCs w:val="19"/>
          <w:color w:val="auto"/>
        </w:rPr>
        <w:t>The directors of the Company, the executive officers of the Company, and all other persons designated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Corporate Secretary as subject to this restriction, as well as their Family Members or Controlled Entities, may not conduct any transactions involving the Company’s Securities (other than as specified by this Policy), during a “Blackout Period” beginning fifteen (15) days prior to the end of each fiscal quarter and ending after the second full trading day following the public release of the Company’s earnings results for that quarter. In other words, these persons may only conduct transactions in Company Securities during the “Window Period” beginning after second full trading day following the public release of the Company’s quarterly earnings and ending fifteen (15) days prior to the close of the next fiscal quarter. Even if a proposed transaction will occur outside a Blackout Period and during an open Window Period, you should not trade while aware of material nonpublic information.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Under certain very limited circumstances, a person subject to this restriction may be permitted to trade during a Blackout Period, but only if the Corporate Secretary concludes that the person does not in fact possess material nonpublic information. Persons wishing to trade pursuant to this paragraph during a Blackout Period must contact the Corporate Secretary for approval at least two business days in advance of any proposed transaction involving Company Securities.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Event-Specific Trading Restriction Periods. </w:t>
      </w:r>
      <w:r>
        <w:rPr>
          <w:rFonts w:ascii="Times New Roman" w:cs="Times New Roman" w:eastAsia="Times New Roman" w:hAnsi="Times New Roman"/>
          <w:sz w:val="19"/>
          <w:szCs w:val="19"/>
          <w:color w:val="auto"/>
        </w:rPr>
        <w:t>From time to time, an event may occur that is material to the Company and is known by only a few</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directors, officers and/or employees. So long as the event remains material and nonpublic, the persons designated by the Corporate Secretary may not trade Company Securities. In addition, the Company’s financial results may be sufficiently material in a particular fiscal quarter that, in the judgment of the Corporate Secretary, designated persons should refrain from trading in Company Securities even sooner than the typical Blackout Period described above. In that situation, the Corporate Secretary may notify these persons that they should not trade in Company Securities,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296" w:right="339" w:bottom="1440" w:gutter="0" w:footer="0" w:header="0"/>
        </w:sectPr>
      </w:pPr>
    </w:p>
    <w:bookmarkStart w:id="186" w:name="page187"/>
    <w:bookmarkEnd w:id="186"/>
    <w:p>
      <w:pPr>
        <w:jc w:val="both"/>
        <w:spacing w:after="0" w:line="266" w:lineRule="auto"/>
        <w:rPr>
          <w:sz w:val="20"/>
          <w:szCs w:val="20"/>
          <w:color w:val="auto"/>
        </w:rPr>
      </w:pPr>
      <w:r>
        <w:rPr>
          <w:rFonts w:ascii="Times New Roman" w:cs="Times New Roman" w:eastAsia="Times New Roman" w:hAnsi="Times New Roman"/>
          <w:sz w:val="19"/>
          <w:szCs w:val="19"/>
          <w:color w:val="auto"/>
        </w:rPr>
        <w:t>disclosing the reason for the restriction. The existence of an event-specific trading restriction period or extension of a Blackout Period will not be announced to the Company as a whole, and should not be communicated to any other person. Even if the Corporate Secretary has not designated you as a person who should not trade due to an event-specific restriction, you should not trade while aware of material nonpublic information. The Corporate Secretary is not authorized to, and will not grant, exceptions during an event-specific trading restriction period.</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Exceptions. </w:t>
      </w:r>
      <w:r>
        <w:rPr>
          <w:rFonts w:ascii="Times New Roman" w:cs="Times New Roman" w:eastAsia="Times New Roman" w:hAnsi="Times New Roman"/>
          <w:sz w:val="19"/>
          <w:szCs w:val="19"/>
          <w:color w:val="auto"/>
        </w:rPr>
        <w:t>The requirement for pre-clearance, quarterly trading restrictions and event-driven trading restrictions do not apply to those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transactions to which this Policy does not apply, as described above under the headings “Transactions under Company Plans” and “Transactions in Mutual Funds.” Further, the requirement for pre-clearance, the quarterly trading restrictions and event-driven trading restrictions do not apply to transactions conducted pursuant to approved Rule 10b5-1 plans, described under the heading “Rule 10b5-1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Rule 10b5-1 Plans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(including any modification to an existing Rule 10b5-1 Plan) must be approved by the Corporate Secretary and meet the requirements of Rule 10b5-1 and the Company’s “Guidelines for Rule 10b5-1 Plans,” a copy of which is included with this Policy and may also be obtained from the Corporate Secretary.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(a) either specify the amount, pricing and timing of transactions in advance, include a written formula or algorithm, or computer program, for determining the amount, price and date, or delegate exclusive discretion on these matters to an independent third party, (b) for directors and Section 16 “officers” of the Company, provide that purchases or sales under the Rule 10b5-1 Plan will not commence until the later of (i) ninety days following the date of the adoption of the Trading Plan, or (ii) two business days following the disclosure of the Company’s financial results in a Form 10-Q or Form 10-K for the completed fiscal quarter in which the Rule 10b5-1 Plan was adopted; provided that, this cooling-off period is subject to a maximum of one hundred twenty (120) days after adoption of the Rule 10b5-1 Plan, and (c) for persons other than directors and Section 16 “officers” of the Company, provide that purchases or sales under the Rule 10b5-1 Plan will not commence until thirty days following the date of the adoption of the Rule 10b5-1 Plan. The cooling-off periods described in the previous sentence also apply to any modification of a Rule 10b5-1 Plan, unless the modification does not change the prices, amounts of the contemplated trades or the timing of the contemplated trades, including due to changes in the formula, algorithm or computer program used to determine such prices, amounts, and 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Any new Rule 10b5-1 Plan, or amendment to a Rule 10b5-1 Plan, must be submitted to the Corporate Secretary for approval five business days prior to the entry into the Rule 10b5-1 Plan or amendment. Any Rule 10b5-1 Plan that was entered into prior to the effective date of this Policy must be submitted to the Corporate Secretary for approval within five business days following the effective date of this Policy. Once a Rule 10b5-1 Plan or amendment is approved by the Corporate Secretary, no further pre-approval of transactions conducted pursuant to such Rule 10b5-1 Plan will be required. A Restricted Person can only enter into or modify a Rule 10b5-1 Plan during a trading window. At the time of entering into or modifying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298" w:right="339" w:bottom="1440" w:gutter="0" w:footer="0" w:header="0"/>
        </w:sectPr>
      </w:pPr>
    </w:p>
    <w:bookmarkStart w:id="187" w:name="page188"/>
    <w:bookmarkEnd w:id="187"/>
    <w:p>
      <w:pPr>
        <w:jc w:val="both"/>
        <w:spacing w:after="0" w:line="270" w:lineRule="auto"/>
        <w:rPr>
          <w:sz w:val="20"/>
          <w:szCs w:val="20"/>
          <w:color w:val="auto"/>
        </w:rPr>
      </w:pPr>
      <w:r>
        <w:rPr>
          <w:rFonts w:ascii="Times New Roman" w:cs="Times New Roman" w:eastAsia="Times New Roman" w:hAnsi="Times New Roman"/>
          <w:sz w:val="19"/>
          <w:szCs w:val="19"/>
          <w:color w:val="auto"/>
        </w:rPr>
        <w:t>a Rule 10b5-1 Plan, a Restricted Person will be required to certify to the Company, and the Company will need to reasonably believe, that such Restricted Person is entering into the Rule 10b5-1 Plan in good faith and not as part of a plan or scheme to evade the requirements of Rule 10b5-1 and is not aware of any material nonpublic information.</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So long as the Company is and remains listed on a national exchange or is otherwise subject to public company reporting requirements under the Securities Exchange Act of 1934, as amended, the Company will publicly disclose the adoption, modification or termination of a Rule 10b5-1 Plan by a Restricted Person, as well as the material terms of the Trading Plan (including name and title, date of adoption, modification or termination of the Trading Plan, duration of the Trading Plan, the aggregate number of securities to be sold or purchased under the Trading Plan, and a description of any modification of the Trading Plan) on an individualized basis in accordance with applicable securities laws. The Company is also required to disclose certain written trading arrangements that are not designed to satisfy Rule 10b5-1. Accordingly, in additional to the other requirements set forth herein, Restricted Persons are required to promptly advise the Corporate Secretary of the termination of a Rule 10b5-1 Plan and the entry into any written trading arrangement with respect to Company Securities that is not designed to satisfy Rule 10b5-1.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Post-Termination Transactions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 The Corporate Secretary may provide a letter to a director, executive officer, or other designated employee, at the Corporate Secretary’s discretion, reminding them of their continued obligations under the Policy.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Consequences of Violations</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Transactions in securities while aware of material nonpublic information, or the disclosure of material nonpublic information to others, who then trade in the Company’s Securities, are prohibited by the federal and state laws. Insider trading violations are pursued vigorously by the SEC, U.S. Attorneys and state enforcement authorities as well as the laws of foreign jurisdictions. Punishment for insider trading violations is severe, and could include, but is not limited to, significant fines, imprisonment, and bans on employment or directorships with public companies.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In addition, an individual’s failure to comply with this Policy may subject the individual to Company 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Company Assistance</w:t>
      </w:r>
    </w:p>
    <w:p>
      <w:pPr>
        <w:spacing w:after="0" w:line="23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Any person who has a question about this Policy or its application to any proposed transaction may obtain additional guidance from the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298"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9"/>
          <w:szCs w:val="19"/>
          <w:b w:val="1"/>
          <w:bCs w:val="1"/>
          <w:u w:val="single" w:color="auto"/>
          <w:color w:val="auto"/>
        </w:rPr>
        <w:t>Review and Amendment</w:t>
      </w:r>
    </w:p>
    <w:p>
      <w:pPr>
        <w:spacing w:after="0" w:line="2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9"/>
          <w:szCs w:val="19"/>
          <w:color w:val="auto"/>
        </w:rPr>
        <w:t>This Policy will be reviewed at least annually by the Nominating &amp; Corporate Governance Committee, which will recommend appropriate amendments to the Company’s Board of Directors for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Certification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persons subject to this Policy must annually certify their understanding of, and intent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296" w:right="339" w:bottom="1440" w:gutter="0" w:footer="0" w:header="0"/>
        </w:sectPr>
      </w:pPr>
    </w:p>
    <w:bookmarkStart w:id="189" w:name="page190"/>
    <w:bookmarkEnd w:id="189"/>
    <w:p>
      <w:pPr>
        <w:spacing w:after="0" w:line="3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certify that:</w:t>
      </w:r>
    </w:p>
    <w:p>
      <w:pPr>
        <w:spacing w:after="0" w:line="241" w:lineRule="exact"/>
        <w:rPr>
          <w:sz w:val="20"/>
          <w:szCs w:val="20"/>
          <w:color w:val="auto"/>
        </w:rPr>
      </w:pPr>
    </w:p>
    <w:p>
      <w:pPr>
        <w:ind w:left="640" w:hanging="5"/>
        <w:spacing w:after="0" w:line="270" w:lineRule="auto"/>
        <w:tabs>
          <w:tab w:leader="none" w:pos="127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have read and understand Burke &amp; Herbert Financial Services Corp.’s Insider Trading Policy (the “Policy”). I understand that the Corporate Secretary is available to answer any questions I have regarding the Policy.</w:t>
      </w:r>
    </w:p>
    <w:p>
      <w:pPr>
        <w:spacing w:after="0" w:line="86" w:lineRule="exact"/>
        <w:rPr>
          <w:rFonts w:ascii="Times New Roman" w:cs="Times New Roman" w:eastAsia="Times New Roman" w:hAnsi="Times New Roman"/>
          <w:sz w:val="21"/>
          <w:szCs w:val="21"/>
          <w:color w:val="auto"/>
        </w:rPr>
      </w:pPr>
    </w:p>
    <w:p>
      <w:pPr>
        <w:ind w:left="1260" w:hanging="625"/>
        <w:spacing w:after="0"/>
        <w:tabs>
          <w:tab w:leader="none" w:pos="12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 will continue to comply with the Policy for as long as I am subject to the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Signature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-5715</wp:posOffset>
            </wp:positionV>
            <wp:extent cx="610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Print Name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-5715</wp:posOffset>
            </wp:positionV>
            <wp:extent cx="610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-5715</wp:posOffset>
            </wp:positionV>
            <wp:extent cx="610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100"/>
          </w:cols>
          <w:pgMar w:left="320" w:top="1440" w:right="479" w:bottom="1440" w:gutter="0" w:footer="0" w:header="0"/>
        </w:sectPr>
      </w:pPr>
    </w:p>
    <w:bookmarkStart w:id="190" w:name="page191"/>
    <w:bookmarkEnd w:id="190"/>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Burke &amp; Herbert Financial Services Corp.</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GUIDELINES FOR RULE 10B5-1 PLANS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Rule 10b5-1 under the Securities Exchange Act of 1934, as amended, the “Exchange Act” provides an affirmative defense from insider trading liability under Rule 10b-5. In order to be eligible to rely on this defense, a person subject to this Policy must enter into a Rule 10b5-1 plan for transactions in Company Securities (as defined in the Burke &amp; Herbert Financial Services Corp. Insider Trading Policy (the “Policy”)) that meets certain conditions specified in Rule 10b5-1 (a “Rule 10b5-1 Plan”). If the plan meets the requirements of Rule 10b5-1, Company Securities may be purchased or sold pursuant to the plan without regard to certain insider trading restrictions.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include a formula or similar method for determining the amount, price and date, or delegate discretion on these matters to an independent third party.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As specified in the Policy, a Rule 10b5-1 Plan, or amendment to a 10b5-1 Plan, must be approved by the Corporate Secretary and meet the requirements of Rule 10b5-1 and these guidelines. Any new Rule 10b5-1 Plan or amendment must be submitted to the Corporate Secretary for approval five business days prior to the entry into the Rule 10b5-1 Plan or amendment. Any Rule 10b5-1 Plan that was entered into prior to the effective date of the Policy must be submitted to the Corporate Secretary for approval within five business days following the effective date of this Policy. No further pre-approval of transactions conducted pursuant to the Rule 10b5-1 Plan or amendment will be required once such plan is approved by the Corporate Secretary.</w:t>
      </w:r>
    </w:p>
    <w:p>
      <w:pPr>
        <w:spacing w:after="0" w:line="1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following guidelines apply to all Rule 10b5-1 Plans (Note: capitalized terms used but not defined herein shall have the meanings ascribed to such terms in the Policy):</w:t>
      </w:r>
    </w:p>
    <w:p>
      <w:pPr>
        <w:spacing w:after="0" w:line="146" w:lineRule="exact"/>
        <w:rPr>
          <w:sz w:val="20"/>
          <w:szCs w:val="20"/>
          <w:color w:val="auto"/>
        </w:rPr>
      </w:pPr>
    </w:p>
    <w:p>
      <w:pPr>
        <w:ind w:left="640" w:hanging="320"/>
        <w:spacing w:after="0" w:line="267" w:lineRule="auto"/>
        <w:tabs>
          <w:tab w:leader="none" w:pos="62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may not enter into, modify or terminate a Rule 10b5-1 Plan during a blackout period or while in possession of material nonpublic information.</w:t>
      </w:r>
    </w:p>
    <w:p>
      <w:pPr>
        <w:spacing w:after="0" w:line="52" w:lineRule="exact"/>
        <w:rPr>
          <w:rFonts w:ascii="Times New Roman" w:cs="Times New Roman" w:eastAsia="Times New Roman" w:hAnsi="Times New Roman"/>
          <w:sz w:val="19"/>
          <w:szCs w:val="19"/>
          <w:color w:val="auto"/>
        </w:rPr>
      </w:pPr>
    </w:p>
    <w:p>
      <w:pPr>
        <w:ind w:left="620" w:hanging="300"/>
        <w:spacing w:after="0"/>
        <w:tabs>
          <w:tab w:leader="none" w:pos="62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Rule 10b5-1 Plans must have a duration of at least 6 months and no more than 2 years.</w:t>
      </w:r>
    </w:p>
    <w:p>
      <w:pPr>
        <w:spacing w:after="0" w:line="122" w:lineRule="exact"/>
        <w:rPr>
          <w:rFonts w:ascii="Times New Roman" w:cs="Times New Roman" w:eastAsia="Times New Roman" w:hAnsi="Times New Roman"/>
          <w:sz w:val="19"/>
          <w:szCs w:val="19"/>
          <w:color w:val="auto"/>
        </w:rPr>
      </w:pPr>
    </w:p>
    <w:p>
      <w:pPr>
        <w:ind w:left="620" w:hanging="300"/>
        <w:spacing w:after="0"/>
        <w:tabs>
          <w:tab w:leader="none" w:pos="62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Rule 10b5-1 Plan is terminated, you must wait at least 30 days before trading outside of the Rule 10b5-1 Plan.</w:t>
      </w:r>
    </w:p>
    <w:p>
      <w:pPr>
        <w:spacing w:after="0" w:line="96" w:lineRule="exact"/>
        <w:rPr>
          <w:rFonts w:ascii="Times New Roman" w:cs="Times New Roman" w:eastAsia="Times New Roman" w:hAnsi="Times New Roman"/>
          <w:sz w:val="19"/>
          <w:szCs w:val="19"/>
          <w:color w:val="auto"/>
        </w:rPr>
      </w:pPr>
    </w:p>
    <w:p>
      <w:pPr>
        <w:ind w:left="640" w:hanging="320"/>
        <w:spacing w:after="0" w:line="281" w:lineRule="auto"/>
        <w:tabs>
          <w:tab w:leader="none" w:pos="62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Rule 10b5-1 Plan is terminated, you must wait until the commencement of the next Window Period (as defined in the Policy) before a new Rule 10b5-1 Plan may be adopted.</w:t>
      </w:r>
    </w:p>
    <w:p>
      <w:pPr>
        <w:spacing w:after="0" w:line="39" w:lineRule="exact"/>
        <w:rPr>
          <w:rFonts w:ascii="Times New Roman" w:cs="Times New Roman" w:eastAsia="Times New Roman" w:hAnsi="Times New Roman"/>
          <w:sz w:val="19"/>
          <w:szCs w:val="19"/>
          <w:color w:val="auto"/>
        </w:rPr>
      </w:pPr>
    </w:p>
    <w:p>
      <w:pPr>
        <w:ind w:left="640" w:hanging="320"/>
        <w:spacing w:after="0" w:line="267" w:lineRule="auto"/>
        <w:tabs>
          <w:tab w:leader="none" w:pos="62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may not commence transactions under a Rule 10b5-1 Plan until at least 30 days following the date of establishment of a Rule 10b5-1 Plan.</w:t>
      </w:r>
    </w:p>
    <w:p>
      <w:pPr>
        <w:spacing w:after="0" w:line="52" w:lineRule="exact"/>
        <w:rPr>
          <w:rFonts w:ascii="Times New Roman" w:cs="Times New Roman" w:eastAsia="Times New Roman" w:hAnsi="Times New Roman"/>
          <w:sz w:val="19"/>
          <w:szCs w:val="19"/>
          <w:color w:val="auto"/>
        </w:rPr>
      </w:pPr>
    </w:p>
    <w:p>
      <w:pPr>
        <w:ind w:left="640" w:hanging="320"/>
        <w:spacing w:after="0" w:line="281" w:lineRule="auto"/>
        <w:tabs>
          <w:tab w:leader="none" w:pos="62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 amendment or modification of a Rule 10b5-1 Plan, the amendment or modification must not go into effect for at least 30 days after adoption of the amendment or modification.</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Each director, officer and other person who is or becomes subject to reporting under Section 16 of the Exchange Act understands that the approval or adoption of a Rule 10b5-1 Plan in no way reduces or eliminates such person’s obligations under Section 16, including such person’s disclosure and short-swing trading liabilities thereunder. If any questions arise, such person should consult with their own counsel in implementing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440"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FORM OF TRADING CLEARANCE APPLICATION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Capitalized terms used in this Trading Clearance Application are defined in the Insider Trading Policy.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-6985</wp:posOffset>
            </wp:positionV>
            <wp:extent cx="14662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-6985</wp:posOffset>
            </wp:positionV>
            <wp:extent cx="14662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Proposed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-6985</wp:posOffset>
            </wp:positionV>
            <wp:extent cx="12217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-6985</wp:posOffset>
            </wp:positionV>
            <wp:extent cx="10998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Type of Trade (Purchase/Sale/Entry into 10b5-1 Plan (</w:t>
      </w:r>
      <w:r>
        <w:rPr>
          <w:rFonts w:ascii="Times New Roman" w:cs="Times New Roman" w:eastAsia="Times New Roman" w:hAnsi="Times New Roman"/>
          <w:sz w:val="19"/>
          <w:szCs w:val="19"/>
          <w:i w:val="1"/>
          <w:iCs w:val="1"/>
          <w:color w:val="auto"/>
        </w:rPr>
        <w:t>if the latter, please attach</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-5715</wp:posOffset>
            </wp:positionV>
            <wp:extent cx="3663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Shares to be Traded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-6985</wp:posOffset>
            </wp:positionV>
            <wp:extent cx="8553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w:t>
      </w:r>
    </w:p>
    <w:p>
      <w:pPr>
        <w:spacing w:after="0" w:line="217" w:lineRule="exact"/>
        <w:rPr>
          <w:sz w:val="20"/>
          <w:szCs w:val="20"/>
          <w:color w:val="auto"/>
        </w:rPr>
      </w:pPr>
    </w:p>
    <w:p>
      <w:pPr>
        <w:jc w:val="both"/>
        <w:ind w:firstLine="630"/>
        <w:spacing w:after="0" w:line="255" w:lineRule="auto"/>
        <w:rPr>
          <w:sz w:val="20"/>
          <w:szCs w:val="20"/>
          <w:color w:val="auto"/>
        </w:rPr>
      </w:pPr>
      <w:r>
        <w:rPr>
          <w:rFonts w:ascii="Times New Roman" w:cs="Times New Roman" w:eastAsia="Times New Roman" w:hAnsi="Times New Roman"/>
          <w:sz w:val="19"/>
          <w:szCs w:val="19"/>
          <w:color w:val="auto"/>
        </w:rPr>
        <w:t>I hereby certify that I am not in possession of any material non-public information about the Company and / or its subsidiaries, including but not limited to Burke &amp; Herbert Financial Services Corp. I understand that material non-public information is information concerning the Company that (a) is not generally known to the public; and (b) if publicly known, would be likely to affect either the market price of Company securities or a person’s decision to buy, sell or hold Company securities. I understand that if I trade while in possession of material non-public information, I may be subject to severe civil or criminal penalties, and may be subject to discipline by the Company up to and including termination for cause.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-6985</wp:posOffset>
            </wp:positionV>
            <wp:extent cx="610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-6985</wp:posOffset>
            </wp:positionV>
            <wp:extent cx="610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-6985</wp:posOffset>
            </wp:positionV>
            <wp:extent cx="610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REVIEW AND DECISION</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undersigned has reviewed the foregoing application and approves / prohibits (</w:t>
      </w:r>
      <w:r>
        <w:rPr>
          <w:rFonts w:ascii="Times New Roman" w:cs="Times New Roman" w:eastAsia="Times New Roman" w:hAnsi="Times New Roman"/>
          <w:sz w:val="19"/>
          <w:szCs w:val="19"/>
          <w:i w:val="1"/>
          <w:iCs w:val="1"/>
          <w:color w:val="auto"/>
        </w:rPr>
        <w:t>circle one</w:t>
      </w:r>
      <w:r>
        <w:rPr>
          <w:rFonts w:ascii="Times New Roman" w:cs="Times New Roman" w:eastAsia="Times New Roman" w:hAnsi="Times New Roman"/>
          <w:sz w:val="19"/>
          <w:szCs w:val="19"/>
          <w:color w:val="auto"/>
        </w:rPr>
        <w:t>) the proposed trade(s).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-6985</wp:posOffset>
            </wp:positionV>
            <wp:extent cx="610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-6985</wp:posOffset>
            </wp:positionV>
            <wp:extent cx="610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-6985</wp:posOffset>
            </wp:positionV>
            <wp:extent cx="610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610870" cy="825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Registrant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Name of Subsidiary</w:t>
            </w:r>
          </w:p>
        </w:tc>
        <w:tc>
          <w:tcPr>
            <w:tcW w:w="368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Type</w:t>
            </w:r>
          </w:p>
        </w:tc>
        <w:tc>
          <w:tcPr>
            <w:tcW w:w="2680" w:type="dxa"/>
            <w:vAlign w:val="bottom"/>
          </w:tcPr>
          <w:p>
            <w:pPr>
              <w:jc w:val="center"/>
              <w:spacing w:after="0"/>
              <w:rPr>
                <w:sz w:val="20"/>
                <w:szCs w:val="20"/>
                <w:color w:val="auto"/>
              </w:rPr>
            </w:pPr>
            <w:r>
              <w:rPr>
                <w:rFonts w:ascii="Arial" w:cs="Arial" w:eastAsia="Arial" w:hAnsi="Arial"/>
                <w:sz w:val="18"/>
                <w:szCs w:val="18"/>
                <w:color w:val="auto"/>
                <w:w w:val="97"/>
              </w:rPr>
              <w:t>State of Incorporation</w:t>
            </w:r>
          </w:p>
        </w:tc>
      </w:tr>
      <w:tr>
        <w:trPr>
          <w:trHeight w:val="213"/>
        </w:trPr>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Burke &amp; Herbert Bank &amp; Trust Company</w:t>
            </w:r>
          </w:p>
        </w:tc>
        <w:tc>
          <w:tcPr>
            <w:tcW w:w="420" w:type="dxa"/>
            <w:vAlign w:val="bottom"/>
          </w:tcPr>
          <w:p>
            <w:pPr>
              <w:spacing w:after="0"/>
              <w:rPr>
                <w:sz w:val="18"/>
                <w:szCs w:val="18"/>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State banking corporation</w:t>
            </w:r>
          </w:p>
        </w:tc>
        <w:tc>
          <w:tcPr>
            <w:tcW w:w="42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Virginia</w:t>
            </w:r>
          </w:p>
        </w:tc>
      </w:tr>
      <w:tr>
        <w:trPr>
          <w:trHeight w:val="223"/>
        </w:trPr>
        <w:tc>
          <w:tcPr>
            <w:tcW w:w="48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SFG Capital Trust I</w:t>
            </w:r>
          </w:p>
        </w:tc>
        <w:tc>
          <w:tcPr>
            <w:tcW w:w="368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Statutory business trust</w:t>
            </w:r>
          </w:p>
        </w:tc>
        <w:tc>
          <w:tcPr>
            <w:tcW w:w="268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23"/>
        </w:trPr>
        <w:tc>
          <w:tcPr>
            <w:tcW w:w="488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SFG Capital Trust II</w:t>
            </w:r>
          </w:p>
        </w:tc>
        <w:tc>
          <w:tcPr>
            <w:tcW w:w="368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Statutory business trust</w:t>
            </w:r>
          </w:p>
        </w:tc>
        <w:tc>
          <w:tcPr>
            <w:tcW w:w="2680" w:type="dxa"/>
            <w:vAlign w:val="bottom"/>
          </w:tcPr>
          <w:p>
            <w:pPr>
              <w:jc w:val="center"/>
              <w:spacing w:after="0"/>
              <w:rPr>
                <w:sz w:val="20"/>
                <w:szCs w:val="20"/>
                <w:color w:val="auto"/>
              </w:rPr>
            </w:pPr>
            <w:r>
              <w:rPr>
                <w:rFonts w:ascii="Arial" w:cs="Arial" w:eastAsia="Arial" w:hAnsi="Arial"/>
                <w:sz w:val="18"/>
                <w:szCs w:val="18"/>
                <w:color w:val="auto"/>
                <w:w w:val="97"/>
              </w:rPr>
              <w:t>Delaware</w:t>
            </w:r>
          </w:p>
        </w:tc>
      </w:tr>
      <w:tr>
        <w:trPr>
          <w:trHeight w:val="230"/>
        </w:trPr>
        <w:tc>
          <w:tcPr>
            <w:tcW w:w="488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SFG Capital Trust III</w:t>
            </w:r>
          </w:p>
        </w:tc>
        <w:tc>
          <w:tcPr>
            <w:tcW w:w="368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Statutory business trust</w:t>
            </w:r>
          </w:p>
        </w:tc>
        <w:tc>
          <w:tcPr>
            <w:tcW w:w="2680" w:type="dxa"/>
            <w:vAlign w:val="bottom"/>
          </w:tcPr>
          <w:p>
            <w:pPr>
              <w:jc w:val="center"/>
              <w:spacing w:after="0"/>
              <w:rPr>
                <w:sz w:val="20"/>
                <w:szCs w:val="20"/>
                <w:color w:val="auto"/>
              </w:rPr>
            </w:pPr>
            <w:r>
              <w:rPr>
                <w:rFonts w:ascii="Arial" w:cs="Arial" w:eastAsia="Arial" w:hAnsi="Arial"/>
                <w:sz w:val="18"/>
                <w:szCs w:val="18"/>
                <w:color w:val="auto"/>
                <w:w w:val="97"/>
              </w:rPr>
              <w:t>Delaware</w:t>
            </w:r>
          </w:p>
        </w:tc>
      </w:tr>
    </w:tbl>
    <w:p>
      <w:pPr>
        <w:sectPr>
          <w:pgSz w:w="11900" w:h="16838" w:orient="portrait"/>
          <w:cols w:equalWidth="0" w:num="1">
            <w:col w:w="11240"/>
          </w:cols>
          <w:pgMar w:left="320" w:top="121"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consent to the incorporation by reference in Registration Statements No. 333-272221 and 333-279093 on Form S-8 and Registration Statement No. 333-283261 on Form S-3 of Burke &amp; Herbert Financial Services Corp. of our report dated March 17, 2025 relating to the consolidated financial statements of Burke &amp; Herbert Financial Services Corp.,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/s/ 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26035</wp:posOffset>
            </wp:positionV>
            <wp:extent cx="11753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pacing w:after="0" w:line="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Crowe LLP</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rPr>
          <w:sz w:val="20"/>
          <w:szCs w:val="20"/>
          <w:color w:val="auto"/>
        </w:rPr>
      </w:pPr>
      <w:r>
        <w:rPr>
          <w:rFonts w:ascii="Arial" w:cs="Arial" w:eastAsia="Arial" w:hAnsi="Arial"/>
          <w:sz w:val="18"/>
          <w:szCs w:val="18"/>
          <w:color w:val="auto"/>
        </w:rPr>
        <w:t>March 17, 2025</w:t>
      </w:r>
    </w:p>
    <w:p>
      <w:pPr>
        <w:sectPr>
          <w:pgSz w:w="11900" w:h="16838" w:orient="portrait"/>
          <w:cols w:equalWidth="0" w:num="1">
            <w:col w:w="11240"/>
          </w:cols>
          <w:pgMar w:left="320" w:top="108"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David P. Boyle, certify that:</w:t>
      </w:r>
    </w:p>
    <w:p>
      <w:pPr>
        <w:spacing w:after="0" w:line="241" w:lineRule="exact"/>
        <w:rPr>
          <w:sz w:val="20"/>
          <w:szCs w:val="20"/>
          <w:color w:val="auto"/>
        </w:rPr>
      </w:pPr>
    </w:p>
    <w:p>
      <w:pPr>
        <w:ind w:left="240" w:hanging="235"/>
        <w:spacing w:after="0"/>
        <w:tabs>
          <w:tab w:leader="none" w:pos="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Burke &amp; Herbert Financial Services Corp.;</w:t>
      </w:r>
    </w:p>
    <w:p>
      <w:pPr>
        <w:spacing w:after="0" w:line="94" w:lineRule="exact"/>
        <w:rPr>
          <w:rFonts w:ascii="Times New Roman" w:cs="Times New Roman" w:eastAsia="Times New Roman" w:hAnsi="Times New Roman"/>
          <w:sz w:val="18"/>
          <w:szCs w:val="18"/>
          <w:color w:val="auto"/>
        </w:rPr>
      </w:pPr>
    </w:p>
    <w:p>
      <w:pPr>
        <w:ind w:left="240" w:hanging="235"/>
        <w:spacing w:after="0" w:line="267" w:lineRule="auto"/>
        <w:tabs>
          <w:tab w:leader="none" w:pos="4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8"/>
          <w:szCs w:val="18"/>
          <w:color w:val="auto"/>
        </w:rPr>
      </w:pPr>
    </w:p>
    <w:p>
      <w:pPr>
        <w:ind w:left="240" w:hanging="235"/>
        <w:spacing w:after="0" w:line="267" w:lineRule="auto"/>
        <w:tabs>
          <w:tab w:leader="none" w:pos="3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18"/>
          <w:szCs w:val="18"/>
          <w:color w:val="auto"/>
        </w:rPr>
      </w:pPr>
    </w:p>
    <w:p>
      <w:pPr>
        <w:jc w:val="both"/>
        <w:ind w:left="240" w:hanging="235"/>
        <w:spacing w:after="0" w:line="255" w:lineRule="auto"/>
        <w:tabs>
          <w:tab w:leader="none" w:pos="33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8"/>
          <w:szCs w:val="18"/>
          <w:color w:val="auto"/>
        </w:rPr>
      </w:pPr>
    </w:p>
    <w:p>
      <w:pPr>
        <w:jc w:val="both"/>
        <w:ind w:left="880" w:hanging="245"/>
        <w:spacing w:after="0" w:line="255" w:lineRule="auto"/>
        <w:tabs>
          <w:tab w:leader="none" w:pos="82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8"/>
          <w:szCs w:val="18"/>
          <w:color w:val="auto"/>
        </w:rPr>
      </w:pPr>
    </w:p>
    <w:p>
      <w:pPr>
        <w:ind w:left="820" w:hanging="185"/>
        <w:spacing w:after="0"/>
        <w:tabs>
          <w:tab w:leader="none" w:pos="8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4" w:lineRule="exact"/>
        <w:rPr>
          <w:rFonts w:ascii="Times New Roman" w:cs="Times New Roman" w:eastAsia="Times New Roman" w:hAnsi="Times New Roman"/>
          <w:sz w:val="18"/>
          <w:szCs w:val="18"/>
          <w:color w:val="auto"/>
        </w:rPr>
      </w:pPr>
    </w:p>
    <w:p>
      <w:pPr>
        <w:jc w:val="both"/>
        <w:ind w:left="880" w:right="880" w:hanging="245"/>
        <w:spacing w:after="0" w:line="331" w:lineRule="auto"/>
        <w:tabs>
          <w:tab w:leader="none" w:pos="955"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6"/>
          <w:szCs w:val="16"/>
          <w:color w:val="auto"/>
        </w:rPr>
      </w:pPr>
    </w:p>
    <w:p>
      <w:pPr>
        <w:jc w:val="both"/>
        <w:ind w:left="880" w:hanging="245"/>
        <w:spacing w:after="0" w:line="255" w:lineRule="auto"/>
        <w:tabs>
          <w:tab w:leader="none" w:pos="102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8"/>
          <w:szCs w:val="18"/>
          <w:color w:val="auto"/>
        </w:rPr>
      </w:pPr>
    </w:p>
    <w:p>
      <w:pPr>
        <w:ind w:left="240" w:hanging="235"/>
        <w:spacing w:after="0" w:line="267" w:lineRule="auto"/>
        <w:tabs>
          <w:tab w:leader="none" w:pos="4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Times New Roman" w:cs="Times New Roman" w:eastAsia="Times New Roman" w:hAnsi="Times New Roman"/>
          <w:sz w:val="18"/>
          <w:szCs w:val="18"/>
          <w:color w:val="auto"/>
        </w:rPr>
      </w:pPr>
    </w:p>
    <w:p>
      <w:pPr>
        <w:ind w:left="880" w:hanging="245"/>
        <w:spacing w:after="0" w:line="267" w:lineRule="auto"/>
        <w:tabs>
          <w:tab w:leader="none" w:pos="84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8"/>
          <w:szCs w:val="18"/>
          <w:color w:val="auto"/>
        </w:rPr>
      </w:pPr>
    </w:p>
    <w:p>
      <w:pPr>
        <w:ind w:left="880" w:hanging="245"/>
        <w:spacing w:after="0" w:line="267" w:lineRule="auto"/>
        <w:tabs>
          <w:tab w:leader="none" w:pos="97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registrant’s internal control over financial reporting.</w:t>
      </w:r>
    </w:p>
    <w:p>
      <w:pPr>
        <w:spacing w:after="0" w:line="314" w:lineRule="exact"/>
        <w:rPr>
          <w:sz w:val="20"/>
          <w:szCs w:val="20"/>
          <w:color w:val="auto"/>
        </w:rPr>
      </w:pPr>
    </w:p>
    <w:tbl>
      <w:tblPr>
        <w:tblLayout w:type="fixed"/>
        <w:tblInd w:w="506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184"/>
        </w:trPr>
        <w:tc>
          <w:tcPr>
            <w:tcW w:w="760" w:type="dxa"/>
            <w:vAlign w:val="bottom"/>
          </w:tcPr>
          <w:p>
            <w:pPr>
              <w:spacing w:after="0"/>
              <w:rPr>
                <w:sz w:val="15"/>
                <w:szCs w:val="15"/>
                <w:color w:val="auto"/>
              </w:rPr>
            </w:pPr>
          </w:p>
        </w:tc>
        <w:tc>
          <w:tcPr>
            <w:tcW w:w="3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Chairman of the Board &amp; Chief Executive</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2025</w:t>
      </w:r>
    </w:p>
    <w:p>
      <w:pPr>
        <w:sectPr>
          <w:pgSz w:w="11900" w:h="16838" w:orient="portrait"/>
          <w:cols w:equalWidth="0" w:num="1">
            <w:col w:w="11240"/>
          </w:cols>
          <w:pgMar w:left="320" w:top="1379"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Roy E. Halyama, certify that:</w:t>
      </w:r>
    </w:p>
    <w:p>
      <w:pPr>
        <w:spacing w:after="0" w:line="241" w:lineRule="exact"/>
        <w:rPr>
          <w:sz w:val="20"/>
          <w:szCs w:val="20"/>
          <w:color w:val="auto"/>
        </w:rPr>
      </w:pPr>
    </w:p>
    <w:p>
      <w:pPr>
        <w:ind w:left="240" w:hanging="235"/>
        <w:spacing w:after="0"/>
        <w:tabs>
          <w:tab w:leader="none" w:pos="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Burke &amp; Herbert Financial Services Corp.;</w:t>
      </w:r>
    </w:p>
    <w:p>
      <w:pPr>
        <w:spacing w:after="0" w:line="94" w:lineRule="exact"/>
        <w:rPr>
          <w:rFonts w:ascii="Times New Roman" w:cs="Times New Roman" w:eastAsia="Times New Roman" w:hAnsi="Times New Roman"/>
          <w:sz w:val="18"/>
          <w:szCs w:val="18"/>
          <w:color w:val="auto"/>
        </w:rPr>
      </w:pPr>
    </w:p>
    <w:p>
      <w:pPr>
        <w:ind w:left="240" w:hanging="235"/>
        <w:spacing w:after="0" w:line="267" w:lineRule="auto"/>
        <w:tabs>
          <w:tab w:leader="none" w:pos="4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8"/>
          <w:szCs w:val="18"/>
          <w:color w:val="auto"/>
        </w:rPr>
      </w:pPr>
    </w:p>
    <w:p>
      <w:pPr>
        <w:ind w:left="240" w:hanging="235"/>
        <w:spacing w:after="0" w:line="267" w:lineRule="auto"/>
        <w:tabs>
          <w:tab w:leader="none" w:pos="3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18"/>
          <w:szCs w:val="18"/>
          <w:color w:val="auto"/>
        </w:rPr>
      </w:pPr>
    </w:p>
    <w:p>
      <w:pPr>
        <w:jc w:val="both"/>
        <w:ind w:left="240" w:hanging="235"/>
        <w:spacing w:after="0" w:line="255" w:lineRule="auto"/>
        <w:tabs>
          <w:tab w:leader="none" w:pos="3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8"/>
          <w:szCs w:val="18"/>
          <w:color w:val="auto"/>
        </w:rPr>
      </w:pPr>
    </w:p>
    <w:p>
      <w:pPr>
        <w:jc w:val="both"/>
        <w:ind w:left="880" w:hanging="245"/>
        <w:spacing w:after="0" w:line="255" w:lineRule="auto"/>
        <w:tabs>
          <w:tab w:leader="none" w:pos="82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8"/>
          <w:szCs w:val="18"/>
          <w:color w:val="auto"/>
        </w:rPr>
      </w:pPr>
    </w:p>
    <w:p>
      <w:pPr>
        <w:ind w:left="820" w:hanging="185"/>
        <w:spacing w:after="0"/>
        <w:tabs>
          <w:tab w:leader="none" w:pos="8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4" w:lineRule="exact"/>
        <w:rPr>
          <w:rFonts w:ascii="Times New Roman" w:cs="Times New Roman" w:eastAsia="Times New Roman" w:hAnsi="Times New Roman"/>
          <w:sz w:val="18"/>
          <w:szCs w:val="18"/>
          <w:color w:val="auto"/>
        </w:rPr>
      </w:pPr>
    </w:p>
    <w:p>
      <w:pPr>
        <w:jc w:val="both"/>
        <w:ind w:left="880" w:right="880" w:hanging="245"/>
        <w:spacing w:after="0" w:line="331" w:lineRule="auto"/>
        <w:tabs>
          <w:tab w:leader="none" w:pos="955"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6"/>
          <w:szCs w:val="16"/>
          <w:color w:val="auto"/>
        </w:rPr>
      </w:pPr>
    </w:p>
    <w:p>
      <w:pPr>
        <w:jc w:val="both"/>
        <w:ind w:left="880" w:hanging="245"/>
        <w:spacing w:after="0" w:line="255" w:lineRule="auto"/>
        <w:tabs>
          <w:tab w:leader="none" w:pos="102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8"/>
          <w:szCs w:val="18"/>
          <w:color w:val="auto"/>
        </w:rPr>
      </w:pPr>
    </w:p>
    <w:p>
      <w:pPr>
        <w:ind w:left="240" w:hanging="235"/>
        <w:spacing w:after="0" w:line="267" w:lineRule="auto"/>
        <w:tabs>
          <w:tab w:leader="none" w:pos="4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Times New Roman" w:cs="Times New Roman" w:eastAsia="Times New Roman" w:hAnsi="Times New Roman"/>
          <w:sz w:val="18"/>
          <w:szCs w:val="18"/>
          <w:color w:val="auto"/>
        </w:rPr>
      </w:pPr>
    </w:p>
    <w:p>
      <w:pPr>
        <w:ind w:left="880" w:hanging="245"/>
        <w:spacing w:after="0" w:line="267" w:lineRule="auto"/>
        <w:tabs>
          <w:tab w:leader="none" w:pos="84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8"/>
          <w:szCs w:val="18"/>
          <w:color w:val="auto"/>
        </w:rPr>
      </w:pPr>
    </w:p>
    <w:p>
      <w:pPr>
        <w:ind w:left="880" w:hanging="245"/>
        <w:spacing w:after="0" w:line="267" w:lineRule="auto"/>
        <w:tabs>
          <w:tab w:leader="none" w:pos="97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registrant’s internal control over financial reporting.</w:t>
      </w:r>
    </w:p>
    <w:p>
      <w:pPr>
        <w:spacing w:after="0" w:line="314" w:lineRule="exact"/>
        <w:rPr>
          <w:sz w:val="20"/>
          <w:szCs w:val="20"/>
          <w:color w:val="auto"/>
        </w:rPr>
      </w:pPr>
    </w:p>
    <w:tbl>
      <w:tblPr>
        <w:tblLayout w:type="fixed"/>
        <w:tblInd w:w="506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Roy E. Halyama</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E. Halyama</w:t>
            </w:r>
          </w:p>
        </w:tc>
      </w:tr>
      <w:tr>
        <w:trPr>
          <w:trHeight w:val="184"/>
        </w:trPr>
        <w:tc>
          <w:tcPr>
            <w:tcW w:w="760" w:type="dxa"/>
            <w:vAlign w:val="bottom"/>
          </w:tcPr>
          <w:p>
            <w:pPr>
              <w:spacing w:after="0"/>
              <w:rPr>
                <w:sz w:val="15"/>
                <w:szCs w:val="15"/>
                <w:color w:val="auto"/>
              </w:rPr>
            </w:pPr>
          </w:p>
        </w:tc>
        <w:tc>
          <w:tcPr>
            <w:tcW w:w="3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2025</w:t>
      </w:r>
    </w:p>
    <w:p>
      <w:pPr>
        <w:sectPr>
          <w:pgSz w:w="11900" w:h="16838" w:orient="portrait"/>
          <w:cols w:equalWidth="0" w:num="1">
            <w:col w:w="11240"/>
          </w:cols>
          <w:pgMar w:left="320" w:top="1379" w:right="339" w:bottom="1440" w:gutter="0" w:footer="0" w:header="0"/>
        </w:sectPr>
      </w:pPr>
    </w:p>
    <w:bookmarkStart w:id="196" w:name="page197"/>
    <w:bookmarkEnd w:id="196"/>
    <w:p>
      <w:pPr>
        <w:jc w:val="center"/>
        <w:spacing w:after="0" w:line="270"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this Annual Report of Burke &amp; Herbert Financial Services Corp. (“Burke &amp; Herbert”) on Form 10-K for the year ending December 31, 2024 as filed with the Securities and Exchange Commission on the date hereof, I, David P. Boyle, Chairman of the Board &amp; Chief Executive Officer of Burke &amp; Herbert, certify pursuant to 18 U.S.C. § 1350, as adopted pursuant to § 906 of the Sarbanes-Oxley Act of 2002, that:</w:t>
      </w:r>
    </w:p>
    <w:p>
      <w:pPr>
        <w:spacing w:after="0" w:line="299" w:lineRule="exact"/>
        <w:rPr>
          <w:sz w:val="20"/>
          <w:szCs w:val="20"/>
          <w:color w:val="auto"/>
        </w:rPr>
      </w:pPr>
    </w:p>
    <w:p>
      <w:pPr>
        <w:ind w:left="260" w:hanging="255"/>
        <w:spacing w:after="0"/>
        <w:tabs>
          <w:tab w:leader="none" w:pos="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Form 10-K fairly presents, in all material respects, the financial condition and results of operations of Burke &amp; Herbert.</w:t>
      </w:r>
    </w:p>
    <w:p>
      <w:pPr>
        <w:spacing w:after="0" w:line="302" w:lineRule="exact"/>
        <w:rPr>
          <w:sz w:val="20"/>
          <w:szCs w:val="20"/>
          <w:color w:val="auto"/>
        </w:rPr>
      </w:pPr>
    </w:p>
    <w:tbl>
      <w:tblPr>
        <w:tblLayout w:type="fixed"/>
        <w:tblInd w:w="506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P. Boyle</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Boyle</w:t>
            </w:r>
          </w:p>
        </w:tc>
      </w:tr>
      <w:tr>
        <w:trPr>
          <w:trHeight w:val="176"/>
        </w:trPr>
        <w:tc>
          <w:tcPr>
            <w:tcW w:w="760" w:type="dxa"/>
            <w:vAlign w:val="bottom"/>
          </w:tcPr>
          <w:p>
            <w:pPr>
              <w:spacing w:after="0"/>
              <w:rPr>
                <w:sz w:val="15"/>
                <w:szCs w:val="15"/>
                <w:color w:val="auto"/>
              </w:rPr>
            </w:pPr>
          </w:p>
        </w:tc>
        <w:tc>
          <w:tcPr>
            <w:tcW w:w="3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Chairman of the Board &amp; Chief Executive</w:t>
            </w: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2025</w:t>
      </w:r>
    </w:p>
    <w:p>
      <w:pPr>
        <w:sectPr>
          <w:pgSz w:w="11900" w:h="16838" w:orient="portrait"/>
          <w:cols w:equalWidth="0" w:num="1">
            <w:col w:w="11240"/>
          </w:cols>
          <w:pgMar w:left="320" w:top="1379" w:right="339" w:bottom="1440" w:gutter="0" w:footer="0" w:header="0"/>
        </w:sectPr>
      </w:pPr>
    </w:p>
    <w:bookmarkStart w:id="197" w:name="page198"/>
    <w:bookmarkEnd w:id="197"/>
    <w:p>
      <w:pPr>
        <w:jc w:val="center"/>
        <w:spacing w:after="0" w:line="270"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this Annual Report of Burke &amp; Herbert Financial Services Corp. (“Burke &amp; Herbert”) on Form 10-K for the year ending December 31, 2024 as filed with the Securities and Exchange Commission on the date hereof, I, Roy E. Halyama, Executive Vice President and Chief Financial Officer of Burke &amp; Herbert, certify pursuant to 18 U.S.C. § 1350, as adopted pursuant to § 906 of the Sarbanes-Oxley Act of 2002, that:</w:t>
      </w:r>
    </w:p>
    <w:p>
      <w:pPr>
        <w:spacing w:after="0" w:line="299" w:lineRule="exact"/>
        <w:rPr>
          <w:sz w:val="20"/>
          <w:szCs w:val="20"/>
          <w:color w:val="auto"/>
        </w:rPr>
      </w:pPr>
    </w:p>
    <w:p>
      <w:pPr>
        <w:ind w:left="260" w:hanging="255"/>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Form 10-K fairly presents, in all material respects, the financial condition and results of operations of Burke &amp; Herbert.</w:t>
      </w:r>
    </w:p>
    <w:p>
      <w:pPr>
        <w:spacing w:after="0" w:line="302" w:lineRule="exact"/>
        <w:rPr>
          <w:sz w:val="20"/>
          <w:szCs w:val="20"/>
          <w:color w:val="auto"/>
        </w:rPr>
      </w:pPr>
    </w:p>
    <w:tbl>
      <w:tblPr>
        <w:tblLayout w:type="fixed"/>
        <w:tblInd w:w="506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Roy E. Halyama</w:t>
            </w: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 E. Halyama</w:t>
            </w:r>
          </w:p>
        </w:tc>
      </w:tr>
      <w:tr>
        <w:trPr>
          <w:trHeight w:val="176"/>
        </w:trPr>
        <w:tc>
          <w:tcPr>
            <w:tcW w:w="760" w:type="dxa"/>
            <w:vAlign w:val="bottom"/>
          </w:tcPr>
          <w:p>
            <w:pPr>
              <w:spacing w:after="0"/>
              <w:rPr>
                <w:sz w:val="15"/>
                <w:szCs w:val="15"/>
                <w:color w:val="auto"/>
              </w:rPr>
            </w:pPr>
          </w:p>
        </w:tc>
        <w:tc>
          <w:tcPr>
            <w:tcW w:w="3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17, 2025</w:t>
      </w:r>
    </w:p>
    <w:sectPr>
      <w:pgSz w:w="11900" w:h="16838" w:orient="portrait"/>
      <w:cols w:equalWidth="0" w:num="1">
        <w:col w:w="11240"/>
      </w:cols>
      <w:pgMar w:left="320" w:top="13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o"/>
      <w:numFmt w:val="bullet"/>
      <w:start w:val="1"/>
    </w:lvl>
    <w:lvl w:ilvl="1">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o"/>
      <w:numFmt w:val="bullet"/>
      <w:start w:val="1"/>
    </w:lvl>
    <w:lvl w:ilvl="1">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amp;"/>
      <w:numFmt w:val="bullet"/>
      <w:start w:val="1"/>
    </w:lvl>
  </w:abstractNum>
  <w:abstractNum w:abstractNumId="8">
    <w:nsid w:val="5072367"/>
    <w:multiLevelType w:val="hybridMultilevel"/>
    <w:lvl w:ilvl="0">
      <w:lvlJc w:val="left"/>
      <w:lvlText w:val="•"/>
      <w:numFmt w:val="bullet"/>
      <w:start w:val="1"/>
    </w:lvl>
    <w:lvl w:ilvl="1">
      <w:lvlJc w:val="left"/>
      <w:lvlText w:val="◦"/>
      <w:numFmt w:val="bullet"/>
      <w:start w:val="1"/>
    </w:lvl>
  </w:abstractNum>
  <w:abstractNum w:abstractNumId="9">
    <w:nsid w:val="3804823E"/>
    <w:multiLevelType w:val="hybridMultilevel"/>
    <w:lvl w:ilvl="0">
      <w:lvlJc w:val="left"/>
      <w:lvlText w:val="•"/>
      <w:numFmt w:val="bullet"/>
      <w:start w:val="1"/>
    </w:lvl>
    <w:lvl w:ilvl="1">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emdash "/>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3"/>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2"/>
    </w:lvl>
  </w:abstractNum>
  <w:abstractNum w:abstractNumId="28">
    <w:nsid w:val="4B588F54"/>
    <w:multiLevelType w:val="hybridMultilevel"/>
    <w:lvl w:ilvl="0">
      <w:lvlJc w:val="left"/>
      <w:lvlText w:val="%1"/>
      <w:numFmt w:val="decimal"/>
      <w:start w:val="101"/>
    </w:lvl>
  </w:abstractNum>
  <w:abstractNum w:abstractNumId="29">
    <w:nsid w:val="542289EC"/>
    <w:multiLevelType w:val="hybridMultilevel"/>
    <w:lvl w:ilvl="0">
      <w:lvlJc w:val="left"/>
      <w:lvlText w:val="%1"/>
      <w:numFmt w:val="decimal"/>
      <w:start w:val="104"/>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lowerLetter"/>
      <w:start w:val="3"/>
    </w:lvl>
  </w:abstractNum>
  <w:abstractNum w:abstractNumId="33">
    <w:nsid w:val="32FFF90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lvl w:ilvl="4">
      <w:lvlJc w:val="left"/>
      <w:lvlText w:val="%5."/>
      <w:numFmt w:val="lowerLetter"/>
      <w:start w:val="1"/>
    </w:lvl>
  </w:abstractNum>
  <w:abstractNum w:abstractNumId="34">
    <w:nsid w:val="684A481A"/>
    <w:multiLevelType w:val="hybridMultilevel"/>
    <w:lvl w:ilvl="0">
      <w:lvlJc w:val="left"/>
      <w:lvlText w:val="%1"/>
      <w:numFmt w:val="lowerLetter"/>
      <w:start w:val="1"/>
    </w:lvl>
    <w:lvl w:ilvl="1">
      <w:lvlJc w:val="left"/>
      <w:lvlText w:val="%2."/>
      <w:numFmt w:val="lowerLetter"/>
      <w:start w:val="1"/>
    </w:lvl>
  </w:abstractNum>
  <w:abstractNum w:abstractNumId="35">
    <w:nsid w:val="579478FE"/>
    <w:multiLevelType w:val="hybridMultilevel"/>
    <w:lvl w:ilvl="0">
      <w:lvlJc w:val="left"/>
      <w:lvlText w:val="%1."/>
      <w:numFmt w:val="lowerLetter"/>
      <w:start w:val="3"/>
    </w:lvl>
    <w:lvl w:ilvl="1">
      <w:lvlJc w:val="left"/>
      <w:lvlText w:val="%2"/>
      <w:numFmt w:val="lowerLetter"/>
      <w:start w:val="1"/>
    </w:lvl>
  </w:abstractNum>
  <w:abstractNum w:abstractNumId="36">
    <w:nsid w:val="749ABB4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4"/>
    </w:lvl>
  </w:abstractNum>
  <w:abstractNum w:abstractNumId="37">
    <w:nsid w:val="3DC240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38">
    <w:nsid w:val="1BA026FA"/>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39">
    <w:nsid w:val="79A1DEA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2"/>
    </w:lvl>
  </w:abstractNum>
  <w:abstractNum w:abstractNumId="40">
    <w:nsid w:val="75C6C33A"/>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lowerLetter"/>
      <w:start w:val="1"/>
    </w:lvl>
  </w:abstractNum>
  <w:abstractNum w:abstractNumId="41">
    <w:nsid w:val="12E685FB"/>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lvl w:ilvl="3">
      <w:lvlJc w:val="left"/>
      <w:lvlText w:val="%4"/>
      <w:numFmt w:val="lowerLetter"/>
      <w:start w:val="1"/>
    </w:lvl>
  </w:abstractNum>
  <w:abstractNum w:abstractNumId="42">
    <w:nsid w:val="70C6A529"/>
    <w:multiLevelType w:val="hybridMultilevel"/>
    <w:lvl w:ilvl="0">
      <w:lvlJc w:val="left"/>
      <w:lvlText w:val="%1."/>
      <w:numFmt w:val="decimal"/>
      <w:start w:val="9"/>
    </w:lvl>
  </w:abstractNum>
  <w:abstractNum w:abstractNumId="43">
    <w:nsid w:val="520EEDD1"/>
    <w:multiLevelType w:val="hybridMultilevel"/>
    <w:lvl w:ilvl="0">
      <w:lvlJc w:val="left"/>
      <w:lvlText w:val="%1."/>
      <w:numFmt w:val="decimal"/>
      <w:start w:val="1"/>
    </w:lvl>
    <w:lvl w:ilvl="1">
      <w:lvlJc w:val="left"/>
      <w:lvlText w:val="(%2)"/>
      <w:numFmt w:val="lowerLetter"/>
      <w:start w:val="1"/>
    </w:lvl>
  </w:abstractNum>
  <w:abstractNum w:abstractNumId="44">
    <w:nsid w:val="374A3FE6"/>
    <w:multiLevelType w:val="hybridMultilevel"/>
    <w:lvl w:ilvl="0">
      <w:lvlJc w:val="left"/>
      <w:lvlText w:val="%1."/>
      <w:numFmt w:val="decimal"/>
      <w:start w:val="2"/>
    </w:lvl>
    <w:lvl w:ilvl="1">
      <w:lvlJc w:val="left"/>
      <w:lvlText w:val="(%2)"/>
      <w:numFmt w:val="lowerLetter"/>
      <w:start w:val="1"/>
    </w:lvl>
  </w:abstractNum>
  <w:abstractNum w:abstractNumId="45">
    <w:nsid w:val="4F4EF005"/>
    <w:multiLevelType w:val="hybridMultilevel"/>
    <w:lvl w:ilvl="0">
      <w:lvlJc w:val="left"/>
      <w:lvlText w:val="%1"/>
      <w:numFmt w:val="decimal"/>
      <w:start w:val="1"/>
    </w:lvl>
    <w:lvl w:ilvl="1">
      <w:lvlJc w:val="left"/>
      <w:lvlText w:val="(%2)"/>
      <w:numFmt w:val="lowerLetter"/>
      <w:start w:val="3"/>
    </w:lvl>
  </w:abstractNum>
  <w:abstractNum w:abstractNumId="46">
    <w:nsid w:val="23F9C13C"/>
    <w:multiLevelType w:val="hybridMultilevel"/>
    <w:lvl w:ilvl="0">
      <w:lvlJc w:val="left"/>
      <w:lvlText w:val="%1."/>
      <w:numFmt w:val="decimal"/>
      <w:start w:val="6"/>
    </w:lvl>
    <w:lvl w:ilvl="1">
      <w:lvlJc w:val="left"/>
      <w:lvlText w:val="%2"/>
      <w:numFmt w:val="lowerLetter"/>
      <w:start w:val="1"/>
    </w:lvl>
  </w:abstractNum>
  <w:abstractNum w:abstractNumId="47">
    <w:nsid w:val="649BB77C"/>
    <w:multiLevelType w:val="hybridMultilevel"/>
    <w:lvl w:ilvl="0">
      <w:lvlJc w:val="left"/>
      <w:lvlText w:val="%1"/>
      <w:numFmt w:val="decimal"/>
      <w:start w:val="1"/>
    </w:lvl>
    <w:lvl w:ilvl="1">
      <w:lvlJc w:val="left"/>
      <w:lvlText w:val="(%2)"/>
      <w:numFmt w:val="lowerLetter"/>
      <w:start w:val="1"/>
    </w:lvl>
  </w:abstractNum>
  <w:abstractNum w:abstractNumId="48">
    <w:nsid w:val="275AC794"/>
    <w:multiLevelType w:val="hybridMultilevel"/>
    <w:lvl w:ilvl="0">
      <w:lvlJc w:val="left"/>
      <w:lvlText w:val="%1."/>
      <w:numFmt w:val="decimal"/>
      <w:start w:val="10"/>
    </w:lvl>
    <w:lvl w:ilvl="1">
      <w:lvlJc w:val="left"/>
      <w:lvlText w:val="%2"/>
      <w:numFmt w:val="lowerLetter"/>
      <w:start w:val="1"/>
    </w:lvl>
  </w:abstractNum>
  <w:abstractNum w:abstractNumId="49">
    <w:nsid w:val="39386575"/>
    <w:multiLevelType w:val="hybridMultilevel"/>
    <w:lvl w:ilvl="0">
      <w:lvlJc w:val="left"/>
      <w:lvlText w:val="%1."/>
      <w:numFmt w:val="decimal"/>
      <w:start w:val="14"/>
    </w:lvl>
  </w:abstractNum>
  <w:abstractNum w:abstractNumId="50">
    <w:nsid w:val="1CF10FD8"/>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51">
    <w:nsid w:val="180115B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52">
    <w:nsid w:val="235BA861"/>
    <w:multiLevelType w:val="hybridMultilevel"/>
    <w:lvl w:ilvl="0">
      <w:lvlJc w:val="left"/>
      <w:lvlText w:val="(%1)"/>
      <w:numFmt w:val="lowerRoman"/>
      <w:start w:val="4"/>
    </w:lvl>
    <w:lvl w:ilvl="1">
      <w:lvlJc w:val="left"/>
      <w:lvlText w:val="%2."/>
      <w:numFmt w:val="decimal"/>
      <w:start w:val="20"/>
    </w:lvl>
    <w:lvl w:ilvl="2">
      <w:lvlJc w:val="left"/>
      <w:lvlText w:val="(%3)"/>
      <w:numFmt w:val="lowerLetter"/>
      <w:start w:val="3"/>
    </w:lvl>
  </w:abstractNum>
  <w:abstractNum w:abstractNumId="53">
    <w:nsid w:val="47398C89"/>
    <w:multiLevelType w:val="hybridMultilevel"/>
    <w:lvl w:ilvl="0">
      <w:lvlJc w:val="left"/>
      <w:lvlText w:val="%1."/>
      <w:numFmt w:val="decimal"/>
      <w:start w:val="22"/>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93"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jpe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182" Type="http://schemas.openxmlformats.org/officeDocument/2006/relationships/hyperlink" Target="https://www.sec.gov/Archives/edgar/data/1964333/000196433323000170/mergeragreement.htm" TargetMode="External"/><Relationship Id="rId183" Type="http://schemas.openxmlformats.org/officeDocument/2006/relationships/hyperlink" Target="https://www.sec.gov/Archives/edgar/data/1964333/000196433324000316/bhrb-compiledarticlesofinc.htm" TargetMode="External"/><Relationship Id="rId184" Type="http://schemas.openxmlformats.org/officeDocument/2006/relationships/hyperlink" Target="https://www.sec.gov/Archives/edgar/data/1964333/000196433324000219/bhrb-ex341q202410xq.htm" TargetMode="External"/><Relationship Id="rId185" Type="http://schemas.openxmlformats.org/officeDocument/2006/relationships/hyperlink" Target="https://www.sec.gov/Archives/edgar/data/1964333/000162828023005393/exhibit41-form10.htm" TargetMode="External"/><Relationship Id="rId186" Type="http://schemas.openxmlformats.org/officeDocument/2006/relationships/hyperlink" Target="https://www.sec.gov/Archives/edgar/data/1964333/000196433324000368/exhibit41-descriptionofthe.htm" TargetMode="External"/><Relationship Id="rId187" Type="http://schemas.openxmlformats.org/officeDocument/2006/relationships/hyperlink" Target="https://www.sec.gov/Archives/edgar/data/811808/000081180820000040/exhibit101.htm" TargetMode="External"/><Relationship Id="rId188" Type="http://schemas.openxmlformats.org/officeDocument/2006/relationships/hyperlink" Target="https://www.sec.gov/Archives/edgar/data/811808/000081180821000045/exhibit41.htm" TargetMode="External"/><Relationship Id="rId189" Type="http://schemas.openxmlformats.org/officeDocument/2006/relationships/hyperlink" Target="https://www.sec.gov/Archives/edgar/data/1964333/000162828023005393/exhibit102-form10.htm" TargetMode="External"/><Relationship Id="rId190" Type="http://schemas.openxmlformats.org/officeDocument/2006/relationships/hyperlink" Target="https://www.sec.gov/Archives/edgar/data/1964333/000162828023005393/exhibit103-form10.htm" TargetMode="External"/><Relationship Id="rId191" Type="http://schemas.openxmlformats.org/officeDocument/2006/relationships/hyperlink" Target="https://www.sec.gov/Archives/edgar/data/1964333/000162828023005393/exhibit104-form10.htm" TargetMode="External"/><Relationship Id="rId192" Type="http://schemas.openxmlformats.org/officeDocument/2006/relationships/hyperlink" Target="https://www.sec.gov/Archives/edgar/data/1964333/000162828023005393/exhibit105-form10.htm" TargetMode="External"/><Relationship Id="rId194" Type="http://schemas.openxmlformats.org/officeDocument/2006/relationships/hyperlink" Target="https://www.sec.gov/Archives/edgar/data/1964333/000162828023005393/exhibit106-form10.htm" TargetMode="External"/><Relationship Id="rId195" Type="http://schemas.openxmlformats.org/officeDocument/2006/relationships/hyperlink" Target="https://www.sec.gov/Archives/edgar/data/1964333/000162828023005393/exhibit107-form10.htm" TargetMode="External"/><Relationship Id="rId196" Type="http://schemas.openxmlformats.org/officeDocument/2006/relationships/hyperlink" Target="https://www.sec.gov/Archives/edgar/data/1964333/000162828023005393/exhibit108-form10.htm" TargetMode="External"/><Relationship Id="rId197" Type="http://schemas.openxmlformats.org/officeDocument/2006/relationships/hyperlink" Target="https://www.sec.gov/Archives/edgar/data/1964333/000162828023005393/exhibit109-form10.htm" TargetMode="External"/><Relationship Id="rId198" Type="http://schemas.openxmlformats.org/officeDocument/2006/relationships/hyperlink" Target="https://www.sec.gov/Archives/edgar/data/1964333/000196433323000133/burkeherbertfinancialservi.htm" TargetMode="External"/><Relationship Id="rId199" Type="http://schemas.openxmlformats.org/officeDocument/2006/relationships/hyperlink" Target="https://www.sec.gov/Archives/edgar/data/1964333/000196433323000133/burkeherbertfinancialservia.htm" TargetMode="External"/><Relationship Id="rId200" Type="http://schemas.openxmlformats.org/officeDocument/2006/relationships/hyperlink" Target="https://www.sec.gov/Archives/edgar/data/1964333/000196433324000129/bhrbemploymentagreementcha.htm" TargetMode="External"/><Relationship Id="rId201" Type="http://schemas.openxmlformats.org/officeDocument/2006/relationships/hyperlink" Target="https://www.sec.gov/Archives/edgar/data/1964333/000196433324000129/a2024-2025mergerincentivep.htm" TargetMode="External"/><Relationship Id="rId202" Type="http://schemas.openxmlformats.org/officeDocument/2006/relationships/hyperlink" Target="https://www.sec.gov/Archives/edgar/data/1964333/000196433324000129/bhrb-formofeps2024prsuawar.htm" TargetMode="External"/><Relationship Id="rId203" Type="http://schemas.openxmlformats.org/officeDocument/2006/relationships/hyperlink" Target="https://www.sec.gov/Archives/edgar/data/811808/000081180814000024/ex4sfg2014ltiplan.htm" TargetMode="External"/><Relationship Id="rId204" Type="http://schemas.openxmlformats.org/officeDocument/2006/relationships/hyperlink" Target="https://www.sec.gov/Archives/edgar/data/811808/000081180815000028/exhibit101summitfinancialg.htm" TargetMode="External"/><Relationship Id="rId205" Type="http://schemas.openxmlformats.org/officeDocument/2006/relationships/hyperlink" Target="https://www.sec.gov/Archives/edgar/data/811808/000081180817000010/exhibit103noticeofstockset.htm" TargetMode="External"/><Relationship Id="rId206" Type="http://schemas.openxmlformats.org/officeDocument/2006/relationships/hyperlink" Target="https://www.sec.gov/Archives/edgar/data/811808/000081180819000004/exhibit103noticeofstock-se.htm" TargetMode="External"/><Relationship Id="rId207" Type="http://schemas.openxmlformats.org/officeDocument/2006/relationships/hyperlink" Target="https://www.sec.gov/Archives/edgar/data/811808/000081180821000034/exhibit10220210715.htm" TargetMode="External"/><Relationship Id="rId208" Type="http://schemas.openxmlformats.org/officeDocument/2006/relationships/hyperlink" Target="https://www.sec.gov/Archives/edgar/data/1964333/000196433324000079/bhrb-doddxfrankclawback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2025-03-17T11:19:20Z</dcterms:created>
  <dcterms:modified xsi:type="dcterms:W3CDTF">2025-03-17T11:19:20Z</dcterms:modified>
</cp:coreProperties>
</file>