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ind w:left="580" w:right="2420" w:hanging="554"/>
        <w:spacing w:after="0" w:line="389" w:lineRule="auto"/>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2025</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58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Pr>
          <w:p>
            <w:pPr>
              <w:jc w:val="right"/>
              <w:ind w:right="1568"/>
              <w:spacing w:after="0"/>
              <w:rPr>
                <w:sz w:val="20"/>
                <w:szCs w:val="20"/>
                <w:color w:val="auto"/>
              </w:rPr>
            </w:pPr>
            <w:r>
              <w:rPr>
                <w:rFonts w:ascii="Times New Roman" w:cs="Times New Roman" w:eastAsia="Times New Roman" w:hAnsi="Times New Roman"/>
                <w:sz w:val="14"/>
                <w:szCs w:val="14"/>
                <w:b w:val="1"/>
                <w:bCs w:val="1"/>
                <w:color w:val="auto"/>
              </w:rPr>
              <w:t>92-0289417</w:t>
            </w:r>
          </w:p>
        </w:tc>
      </w:tr>
      <w:tr>
        <w:trPr>
          <w:trHeight w:val="203"/>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100 S. Fairfax Street, Alexandria, Virginia</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22314</w:t>
            </w:r>
          </w:p>
        </w:tc>
      </w:tr>
      <w:tr>
        <w:trPr>
          <w:trHeight w:val="203"/>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297"/>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703-666-3555</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60" w:type="dxa"/>
            <w:vAlign w:val="bottom"/>
          </w:tcPr>
          <w:p>
            <w:pPr>
              <w:spacing w:after="0"/>
              <w:rPr>
                <w:sz w:val="17"/>
                <w:szCs w:val="17"/>
                <w:color w:val="auto"/>
              </w:rPr>
            </w:pPr>
          </w:p>
        </w:tc>
      </w:tr>
      <w:tr>
        <w:trPr>
          <w:trHeight w:val="445"/>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78"/>
        </w:trPr>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$0.50 per share</w:t>
            </w:r>
          </w:p>
        </w:tc>
        <w:tc>
          <w:tcPr>
            <w:tcW w:w="8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BHRB</w:t>
            </w:r>
          </w:p>
        </w:tc>
        <w:tc>
          <w:tcPr>
            <w:tcW w:w="10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33" w:lineRule="exact"/>
        <w:rPr>
          <w:sz w:val="24"/>
          <w:szCs w:val="24"/>
          <w:color w:val="auto"/>
        </w:r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2"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4, 2025, there were 15,028,524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32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220" w:type="dxa"/>
            <w:vAlign w:val="bottom"/>
            <w:gridSpan w:val="6"/>
            <w:shd w:val="clear" w:color="auto" w:fill="CCEEFF"/>
          </w:tcPr>
          <w:p>
            <w:pPr>
              <w:spacing w:after="0"/>
              <w:rPr>
                <w:sz w:val="15"/>
                <w:szCs w:val="15"/>
                <w:color w:val="auto"/>
              </w:rPr>
            </w:pPr>
          </w:p>
        </w:tc>
        <w:tc>
          <w:tcPr>
            <w:tcW w:w="420" w:type="dxa"/>
            <w:vAlign w:val="bottom"/>
            <w:gridSpan w:val="4"/>
            <w:shd w:val="clear" w:color="auto" w:fill="CCEEFF"/>
          </w:tcPr>
          <w:p>
            <w:pPr>
              <w:jc w:val="center"/>
              <w:ind w:left="172"/>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420" w:type="dxa"/>
            <w:vAlign w:val="bottom"/>
            <w:gridSpan w:val="4"/>
          </w:tcPr>
          <w:p>
            <w:pPr>
              <w:jc w:val="center"/>
              <w:ind w:left="172"/>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47</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0" w:type="dxa"/>
            <w:vAlign w:val="bottom"/>
            <w:tcBorders>
              <w:top w:val="single" w:sz="8" w:color="0000FF"/>
            </w:tcBorders>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81</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26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620" w:type="dxa"/>
            <w:vAlign w:val="bottom"/>
            <w:tcBorders>
              <w:bottom w:val="single" w:sz="8" w:color="CCEEFF"/>
            </w:tcBorders>
            <w:gridSpan w:val="10"/>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9680" w:type="dxa"/>
            <w:vAlign w:val="bottom"/>
            <w:gridSpan w:val="1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2340" w:type="dxa"/>
            <w:vAlign w:val="bottom"/>
            <w:tcBorders>
              <w:top w:val="single" w:sz="8" w:color="0000FF"/>
            </w:tcBorders>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34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tcBorders>
              <w:bottom w:val="single" w:sz="8" w:color="0000FF"/>
            </w:tcBorders>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tcBorders>
              <w:bottom w:val="single" w:sz="8" w:color="CCEEFF"/>
            </w:tcBorders>
            <w:gridSpan w:val="8"/>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968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85</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86</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&amp; Herbert Financial Services Corp.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7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 as of September 30, 2025 (Unaudited), and December 31, 2024</w:t>
            </w:r>
          </w:p>
        </w:tc>
        <w:tc>
          <w:tcPr>
            <w:tcW w:w="3700" w:type="dxa"/>
            <w:vAlign w:val="bottom"/>
            <w:gridSpan w:val="5"/>
            <w:shd w:val="clear" w:color="auto" w:fill="CCEEFF"/>
          </w:tcPr>
          <w:p>
            <w:pPr>
              <w:spacing w:after="0"/>
              <w:rPr>
                <w:sz w:val="15"/>
                <w:szCs w:val="15"/>
                <w:color w:val="auto"/>
              </w:rPr>
            </w:pPr>
          </w:p>
        </w:tc>
        <w:tc>
          <w:tcPr>
            <w:tcW w:w="82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and Nine Months Ended September 30, 2025, and September 30, 2024 (Unaudited)</w:t>
            </w: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and Nine Months Ended September 30, 2025, and September 30, 2024</w:t>
            </w:r>
          </w:p>
        </w:tc>
        <w:tc>
          <w:tcPr>
            <w:tcW w:w="8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0000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980" w:type="dxa"/>
            <w:vAlign w:val="bottom"/>
            <w:tcBorders>
              <w:top w:val="single" w:sz="8" w:color="0000FF"/>
            </w:tcBorders>
            <w:gridSpan w:val="6"/>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400" w:type="dxa"/>
            <w:vAlign w:val="bottom"/>
            <w:gridSpan w:val="9"/>
          </w:tcPr>
          <w:p>
            <w:pPr>
              <w:spacing w:after="0" w:line="183"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Three and Nine Months Ended September 30, 2025, and September 30,</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2024 (Unaudited)</w:t>
            </w:r>
          </w:p>
        </w:tc>
        <w:tc>
          <w:tcPr>
            <w:tcW w:w="3060" w:type="dxa"/>
            <w:vAlign w:val="bottom"/>
            <w:tcBorders>
              <w:top w:val="single" w:sz="8" w:color="0000FF"/>
            </w:tcBorders>
          </w:tcPr>
          <w:p>
            <w:pPr>
              <w:spacing w:after="0"/>
              <w:rPr>
                <w:sz w:val="13"/>
                <w:szCs w:val="13"/>
                <w:color w:val="auto"/>
              </w:rPr>
            </w:pPr>
          </w:p>
        </w:tc>
        <w:tc>
          <w:tcPr>
            <w:tcW w:w="4800" w:type="dxa"/>
            <w:vAlign w:val="bottom"/>
            <w:tcBorders>
              <w:top w:val="single" w:sz="8" w:color="0000FF"/>
            </w:tcBorders>
            <w:gridSpan w:val="2"/>
          </w:tcPr>
          <w:p>
            <w:pPr>
              <w:spacing w:after="0"/>
              <w:rPr>
                <w:sz w:val="13"/>
                <w:szCs w:val="13"/>
                <w:color w:val="auto"/>
              </w:rPr>
            </w:pPr>
          </w:p>
        </w:tc>
        <w:tc>
          <w:tcPr>
            <w:tcW w:w="960" w:type="dxa"/>
            <w:vAlign w:val="bottom"/>
            <w:tcBorders>
              <w:top w:val="single" w:sz="8" w:color="0000FF"/>
            </w:tcBorders>
            <w:gridSpan w:val="3"/>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14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2025, and September 30, 2024 (Unaudited)</w:t>
            </w:r>
          </w:p>
        </w:tc>
        <w:tc>
          <w:tcPr>
            <w:tcW w:w="1260" w:type="dxa"/>
            <w:vAlign w:val="bottom"/>
            <w:gridSpan w:val="4"/>
            <w:shd w:val="clear" w:color="auto" w:fill="CCEEFF"/>
          </w:tcPr>
          <w:p>
            <w:pPr>
              <w:spacing w:after="0"/>
              <w:rPr>
                <w:sz w:val="17"/>
                <w:szCs w:val="17"/>
                <w:color w:val="auto"/>
              </w:rPr>
            </w:pPr>
          </w:p>
        </w:tc>
        <w:tc>
          <w:tcPr>
            <w:tcW w:w="820" w:type="dxa"/>
            <w:vAlign w:val="bottom"/>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the Consolidated Financial Statements (Unaudited)</w:t>
            </w:r>
          </w:p>
        </w:tc>
        <w:tc>
          <w:tcPr>
            <w:tcW w:w="4800" w:type="dxa"/>
            <w:vAlign w:val="bottom"/>
            <w:gridSpan w:val="2"/>
          </w:tcPr>
          <w:p>
            <w:pPr>
              <w:spacing w:after="0"/>
              <w:rPr>
                <w:sz w:val="16"/>
                <w:szCs w:val="16"/>
                <w:color w:val="auto"/>
              </w:rPr>
            </w:pPr>
          </w:p>
        </w:tc>
        <w:tc>
          <w:tcPr>
            <w:tcW w:w="1260" w:type="dxa"/>
            <w:vAlign w:val="bottom"/>
            <w:gridSpan w:val="4"/>
          </w:tcPr>
          <w:p>
            <w:pPr>
              <w:spacing w:after="0"/>
              <w:rPr>
                <w:sz w:val="16"/>
                <w:szCs w:val="16"/>
                <w:color w:val="auto"/>
              </w:rPr>
            </w:pP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340" w:type="dxa"/>
            <w:vAlign w:val="bottom"/>
            <w:tcBorders>
              <w:top w:val="single" w:sz="8" w:color="0000FF"/>
            </w:tcBorders>
            <w:gridSpan w:val="3"/>
          </w:tcPr>
          <w:p>
            <w:pPr>
              <w:spacing w:after="0"/>
              <w:rPr>
                <w:sz w:val="24"/>
                <w:szCs w:val="24"/>
                <w:color w:val="auto"/>
              </w:rPr>
            </w:pPr>
          </w:p>
        </w:tc>
        <w:tc>
          <w:tcPr>
            <w:tcW w:w="23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w:t>
            </w:r>
          </w:p>
        </w:tc>
        <w:tc>
          <w:tcPr>
            <w:tcW w:w="2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6"/>
                <w:szCs w:val="16"/>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19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deposits with banks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135,314</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1,432,371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at 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held-for-sale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5,559,479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5,672,236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5,491,875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5,604,196</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132,270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34,454</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32,783</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7,889,037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7,812,185</w:t>
            </w: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1,358,250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1,379,940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5,053,802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5,135,299</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6,412,052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6,515,239</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94,872</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interest and other liabilities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89,904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7,066,806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7,082,028</w:t>
            </w:r>
          </w:p>
        </w:tc>
        <w:tc>
          <w:tcPr>
            <w:tcW w:w="0" w:type="dxa"/>
            <w:vAlign w:val="bottom"/>
          </w:tcPr>
          <w:p>
            <w:pPr>
              <w:spacing w:after="0"/>
              <w:rPr>
                <w:sz w:val="1"/>
                <w:szCs w:val="1"/>
                <w:color w:val="auto"/>
              </w:rPr>
            </w:pPr>
          </w:p>
        </w:tc>
      </w:tr>
      <w:tr>
        <w:trPr>
          <w:trHeight w:val="145"/>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(see Note 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8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Preferred stock and related surplus, $1.00 par value per share; 2,000,000 shares authorized; 1,500 shares issued and</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at September 30, 2025; 1,500 shares issued and outstanding at December 31, 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$0.50 par value; 40,000,000 shares authorized, 15,599,814 shares issued and 15,028,524 shares outstanding at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September 30, 2025; 40,000,000 shares authorized, 15,540,394 shares issued and 14,969,104 shares outstanding at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additional paid-in capital</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401,172</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434,106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(95,720)</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571,290 shares, at cost, at September 30, 2025, and 571,290 shares, at cost, at December 31, 2024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822,231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730,157</w:t>
            </w:r>
          </w:p>
        </w:tc>
        <w:tc>
          <w:tcPr>
            <w:tcW w:w="0" w:type="dxa"/>
            <w:vAlign w:val="bottom"/>
          </w:tcPr>
          <w:p>
            <w:pPr>
              <w:spacing w:after="0"/>
              <w:rPr>
                <w:sz w:val="1"/>
                <w:szCs w:val="1"/>
                <w:color w:val="auto"/>
              </w:rPr>
            </w:pP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7,889,037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7,812,185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loans, including fees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95,132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103,682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288,966</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213,400</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loans, including fees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29,949</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7,052</w:t>
            </w: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income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333,853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253,368</w:t>
            </w:r>
          </w:p>
        </w:tc>
      </w:tr>
      <w:tr>
        <w:trPr>
          <w:trHeight w:val="19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82,745</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10,806</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w:t>
            </w: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112,863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98,293</w:t>
            </w:r>
          </w:p>
        </w:tc>
      </w:tr>
      <w:tr>
        <w:trPr>
          <w:trHeight w:val="207"/>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73,770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73,179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220,990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155,075</w:t>
            </w:r>
          </w:p>
        </w:tc>
      </w:tr>
      <w:tr>
        <w:trPr>
          <w:trHeight w:val="77"/>
        </w:trPr>
        <w:tc>
          <w:tcPr>
            <w:tcW w:w="52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loss expense - loans and available-for-sale securities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19,515</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expense (recapture) - off-balance sheet credit exposures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r>
      <w:tr>
        <w:trPr>
          <w:trHeight w:val="207"/>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provision for credit losses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23,387</w:t>
            </w: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credit loss expense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73,032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219,603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131,688</w:t>
            </w:r>
          </w:p>
        </w:tc>
      </w:tr>
      <w:tr>
        <w:trPr>
          <w:trHeight w:val="77"/>
        </w:trPr>
        <w:tc>
          <w:tcPr>
            <w:tcW w:w="5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gains on securities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6,708</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r>
      <w:tr>
        <w:trPr>
          <w:trHeight w:val="207"/>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34,485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24,375</w:t>
            </w:r>
          </w:p>
        </w:tc>
      </w:tr>
      <w:tr>
        <w:trPr>
          <w:trHeight w:val="77"/>
        </w:trPr>
        <w:tc>
          <w:tcPr>
            <w:tcW w:w="52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51,271</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12,346</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7,947</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18,643</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ATM, card and network expense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and other regulatory assessments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33,255</w:t>
            </w: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147,061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136,423</w:t>
            </w:r>
          </w:p>
        </w:tc>
      </w:tr>
      <w:tr>
        <w:trPr>
          <w:trHeight w:val="77"/>
        </w:trPr>
        <w:tc>
          <w:tcPr>
            <w:tcW w:w="5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19,640</w:t>
            </w: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3,725</w:t>
            </w:r>
          </w:p>
        </w:tc>
      </w:tr>
      <w:tr>
        <w:trPr>
          <w:trHeight w:val="77"/>
        </w:trPr>
        <w:tc>
          <w:tcPr>
            <w:tcW w:w="52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15,915</w:t>
            </w: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08"/>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applicable to common shares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86,387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15,465</w:t>
            </w:r>
          </w:p>
        </w:tc>
      </w:tr>
      <w:tr>
        <w:trPr>
          <w:trHeight w:val="76"/>
        </w:trPr>
        <w:tc>
          <w:tcPr>
            <w:tcW w:w="52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0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29,964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auto"/>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gains (losses) on securities: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gain (loss) arising during period, net of tax of ($5,965) and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($7,610) for the three months ended September 30, 2025, and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September 30, 2024, respectively, net of tax of ($8,525) and ($7,714) for</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the nine months ended September 30, 2025, and September 30, 2024,</w:t>
            </w:r>
          </w:p>
        </w:tc>
        <w:tc>
          <w:tcPr>
            <w:tcW w:w="8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19,970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28,628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260" w:type="dxa"/>
            <w:vAlign w:val="bottom"/>
            <w:gridSpan w:val="4"/>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loss (gain) on securities, net of tax of $49</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4"/>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and $0 for the three months ended September 30, 2025, and</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4"/>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September 30, 2024, respectively, net of tax of $58 and $129 for the nine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4"/>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months ended September 30, 2025, and September 30, 2024,</w:t>
            </w:r>
          </w:p>
        </w:tc>
        <w:tc>
          <w:tcPr>
            <w:tcW w:w="8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 for loss (gain) on fair value hedge, net of tax of</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$9 and $9 for the three months ended September 30, 2025, and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September 30, 2024, respectively, net of tax of $27 and $25 for the nine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months ended September 30, 2025, and September 30, 2024,</w:t>
            </w:r>
          </w:p>
        </w:tc>
        <w:tc>
          <w:tcPr>
            <w:tcW w:w="8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5260" w:type="dxa"/>
            <w:vAlign w:val="bottom"/>
            <w:gridSpan w:val="4"/>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Defined benefit pension plans: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Changes in pension plan benefits, net of tax of $— and $— for the three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months ended September 30, 2025, and September 30, 2024,</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respectively, net of tax of $8 and — for the nine months ended</w:t>
            </w:r>
          </w:p>
        </w:tc>
        <w:tc>
          <w:tcPr>
            <w:tcW w:w="88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September 30, 2025, and September 30, 2024, respectively</w:t>
            </w:r>
          </w:p>
        </w:tc>
        <w:tc>
          <w:tcPr>
            <w:tcW w:w="8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auto"/>
            </w:tcBorders>
            <w:gridSpan w:val="3"/>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 (loss) on cash flow hedge:</w:t>
            </w:r>
          </w:p>
        </w:tc>
        <w:tc>
          <w:tcPr>
            <w:tcW w:w="2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holding gain (loss) on cash flow hedge, net of tax of ($51) and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$816 for the three months ended September 30, 2025, and September 30,</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2024, respectively, net of tax of ($142) and ($128) for the nine months</w:t>
            </w:r>
          </w:p>
        </w:tc>
        <w:tc>
          <w:tcPr>
            <w:tcW w:w="8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ended September 30, 2025, and September 30, 2024, respectively</w:t>
            </w:r>
          </w:p>
        </w:tc>
        <w:tc>
          <w:tcPr>
            <w:tcW w:w="8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260" w:type="dxa"/>
            <w:vAlign w:val="bottom"/>
            <w:gridSpan w:val="4"/>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losses (gains) included in net income, net of</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4"/>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tax $163 and $227 for the three months ended September 30, 2025, and</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4"/>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September 30, 2024, respectively, net of tax of $430 and $315 for the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4"/>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nine months ended September 30, 2025, and September 30, 2024,</w:t>
            </w:r>
          </w:p>
        </w:tc>
        <w:tc>
          <w:tcPr>
            <w:tcW w:w="8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19,400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27,736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49,364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0"/>
                <w:szCs w:val="10"/>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Surplus</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15,007,712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7,790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474,019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780,018</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29,964</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(8,262)</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0" w:type="dxa"/>
            <w:vAlign w:val="bottom"/>
          </w:tcPr>
          <w:p>
            <w:pPr>
              <w:spacing w:after="0"/>
              <w:rPr>
                <w:sz w:val="1"/>
                <w:szCs w:val="1"/>
                <w:color w:val="auto"/>
              </w:rPr>
            </w:pPr>
          </w:p>
        </w:tc>
      </w:tr>
      <w:tr>
        <w:trPr>
          <w:trHeight w:val="19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15,028,524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7,800</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404,656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495,400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(68,454)</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822,231</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14,932,169</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7,752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399,553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(100,430)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693,126</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27,622</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24,672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24,672</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(7,921)</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6"/>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14,963,003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7,767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422,844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(75,758)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738,059</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0"/>
                <w:szCs w:val="10"/>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Surplus</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2"/>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14,969,104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7,770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(95,720)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730,157</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87,062</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27,266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27,266</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(24,753)</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0" w:type="dxa"/>
            <w:vAlign w:val="bottom"/>
          </w:tcPr>
          <w:p>
            <w:pPr>
              <w:spacing w:after="0"/>
              <w:rPr>
                <w:sz w:val="1"/>
                <w:szCs w:val="1"/>
                <w:color w:val="auto"/>
              </w:rPr>
            </w:pPr>
          </w:p>
        </w:tc>
      </w:tr>
      <w:tr>
        <w:trPr>
          <w:trHeight w:val="19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15,028,524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7,800</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404,656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495,400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(68,454)</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822,231</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314,750</w:t>
            </w:r>
          </w:p>
        </w:tc>
        <w:tc>
          <w:tcPr>
            <w:tcW w:w="0" w:type="dxa"/>
            <w:vAlign w:val="bottom"/>
          </w:tcPr>
          <w:p>
            <w:pPr>
              <w:spacing w:after="0"/>
              <w:rPr>
                <w:sz w:val="1"/>
                <w:szCs w:val="1"/>
                <w:color w:val="auto"/>
              </w:rPr>
            </w:pPr>
          </w:p>
        </w:tc>
      </w:tr>
      <w:tr>
        <w:trPr>
          <w:trHeight w:val="145"/>
        </w:trPr>
        <w:tc>
          <w:tcPr>
            <w:tcW w:w="262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Acquisition of Summit Financial Group,</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7,405,772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397,445</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w:t>
            </w: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27,736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27,736</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(19,729)</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14,963,003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7,767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400,377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422,844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(75,758)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738,059</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on assumed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income related to acquired loans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(28,836)</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housing tax credits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Realized (gain) on sales of available-for-sale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Realized (gain) loss on sales of OREO property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from company-owned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(41,052)</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of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7,072</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Repayment of operating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loans held-for-sale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loans held-for-sale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28,002</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fair value of loans held-for-sale</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Originations of loans held-for-sale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(30,452)</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 accrued interest receivable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in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 accrued interest payable and other liabilities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61,882</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76,990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8,918</w:t>
            </w:r>
          </w:p>
        </w:tc>
      </w:tr>
      <w:tr>
        <w:trPr>
          <w:trHeight w:val="257"/>
        </w:trPr>
        <w:tc>
          <w:tcPr>
            <w:tcW w:w="8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available-for-sale,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190,224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securities available-for-sale,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365,990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securities available-for-sale,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(530,863)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(paid) from merger, net</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Sales of restricted stock</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restricted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 net of disposals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company-owned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sale of OREO property</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Decrease in loans made to customers, net</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190,979</w:t>
            </w:r>
          </w:p>
        </w:tc>
      </w:tr>
      <w:tr>
        <w:trPr>
          <w:trHeight w:val="196"/>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flows provided by (used in) investing activities</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202,653</w:t>
            </w:r>
          </w:p>
        </w:tc>
      </w:tr>
      <w:tr>
        <w:trPr>
          <w:trHeight w:val="257"/>
        </w:trPr>
        <w:tc>
          <w:tcPr>
            <w:tcW w:w="8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(decrease) in non-interest-bearing accounts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(decrease) in interest-bearing accounts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(85,295)</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in other short-term borrowings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158,485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Payment for call of subordinated debt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Repayment of finance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dividends paid</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(20,179)</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employee stock purchase program</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3"/>
        </w:trPr>
        <w:tc>
          <w:tcPr>
            <w:tcW w:w="8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Issuance of common stock</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w:t>
            </w:r>
          </w:p>
        </w:tc>
      </w:tr>
      <w:tr>
        <w:trPr>
          <w:trHeight w:val="196"/>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Sale of treasury stock</w:t>
            </w:r>
          </w:p>
        </w:tc>
        <w:tc>
          <w:tcPr>
            <w:tcW w:w="5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1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flows provided by (used in) financing activities</w:t>
            </w:r>
          </w:p>
        </w:tc>
        <w:tc>
          <w:tcPr>
            <w:tcW w:w="52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(74,199)</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35,696</w:t>
            </w:r>
          </w:p>
        </w:tc>
      </w:tr>
      <w:tr>
        <w:trPr>
          <w:trHeight w:val="189"/>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247,267</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Beginning of period</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135,314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44,498</w:t>
            </w:r>
          </w:p>
        </w:tc>
      </w:tr>
      <w:tr>
        <w:trPr>
          <w:trHeight w:val="196"/>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End of period</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131,713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291,765</w:t>
            </w:r>
          </w:p>
        </w:tc>
      </w:tr>
      <w:tr>
        <w:trPr>
          <w:trHeight w:val="257"/>
        </w:trPr>
        <w:tc>
          <w:tcPr>
            <w:tcW w:w="8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payments for:</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to depositors</w:t>
            </w: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94,434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78,835</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on short-term borrowings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19,157</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on subordinated debt and trust preferred securities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on finance leases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taxes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unrealized gains on available-for-sale securities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36,265</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arising from obtaining right-of-use assets</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11,130</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transferred to other real estate owned</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for merger, net</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387,032</w:t>
            </w: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issued for merger, net</w:t>
            </w:r>
          </w:p>
        </w:tc>
        <w:tc>
          <w:tcPr>
            <w:tcW w:w="5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10,413</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560"/>
        <w:spacing w:after="0" w:line="440" w:lineRule="auto"/>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Nature of operations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Burke &amp; Herbert Financial Services Corp. (“Burke &amp; Herbert”) and its wholly-owned subsidiary Burke &amp; Herbert Bank &amp; Trust Company (“the Bank”), together referred to as “the Company” for purposes of the Notes to the Financial Statements.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the Bank. Burke &amp; Herbert became a bank holding company when it commenced operations on October 1, 2022, following a reorganization transaction in which it acquired control of the Bank under the Bank Holding Company Act of 1956 (“BHCA”). This transaction was treated as an internal reorganization as all shareholders of the Bank became shareholders of the Company. The Company has no material operations other than owning the Bank. In September 2023, the Company elected to become a financial holding company under the BHCA. As a financial holding company of a Virginia state bank, the Company is subject to regulation, supervision, and examination by the Board of Governors of the Federal Reserve System (the “Federal Reserve”) and the Bureau of Financial Institutions of the Virginia State Corporation Commission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Summit Financial Group, Inc.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May 3, 2024 (the “Closing Date”), the Company completed its merger (the “Merger”) with Summit Financial Group, Inc., a West Virginia corporation (“Summit”), pursuant to the Agreement and Plan of Reorganization and accompanying Plan of Merger dated August 24, 2023 between the Company and Summit (the “Merger Agreement”).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the Company with the Company as the surviving entity, and (ii) immediately following the Merger, Summit Community Bank, Inc., a West Virginia chartered bank and wholly-owned subsidiary of Summit (“SCB”) merged with and into the Bank, with the Bank as the surviving bank.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the Company’s Common Stock for each share of Summit common stock they owned, subject to the payment of cash in lieu of fractional shares. The total aggregate consideration payable in the Merger was approximately 7,405,772 shares of the Company’s Common Stock. Additionally, each share of the 6.0% Fixed Rate Non-Cumulative Perpetual Preferred Stock, Series 2021 of Summit (the “Summit Series 2021 Preferred Stock”) issued and outstanding was converted into the right to receive a share of a newly created series of preferred stock of the Company, the Burke &amp; Herbert Series 2021 Preferred Stock (the “Burke &amp; Herbert Series 2021 Preferred Stock”). Summit’s results of operations are included from the Closing Date forward.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Burke &amp; Herbert Financial Services Corp. and its wholly 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 policies of the Company conform to GAAP and reflect practices of the banking industry. They do not include all of the information and notes required by GAAP for complete financial statements. As such, these unaudited financial statements should be read in conjunction with the consolidated financial statements and notes thereto as of and for the year ending December 31, 2024, included in the Company’s Annual Report on Form 10-K filed with the SEC on March 17,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the Bank (as its wholly-owned subsidiary). All significant intercompany accounts and transactions between the Company and the Bank have been eliminated. In preparing financial statements in conformity with GAAP, management is required to make estimates and assumptions that affect the reported amounts of assets and liabilities as of the date of the balance sheet and reported amounts of revenues and expenses during the reporting period. Actual results could differ from those estimates.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which are necessary for a fair presentation of the results of operations in these financial statements, have been made. The results of operations for the three and nine months ended September 30, 2025, are not necessarily indicative of the results to be expected for any other interim period or for the full year. All December 31, 2024, amounts and disclosures included in this quarterly report were derived from the Company’s audited consolidated financial statements. Certain items in the prior period have been reclassified to conform to the current presentation. These reclassifications had no effect on prior year net income or on shareholders’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issued not yet adopted accounting standards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ASU seeks to improve the disclosures about a public business entity’s expenses and addresses requests from investors for more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the types of expenses in commonly presented expense captions. The amendments in this update are effective for annual reporting periods beginning after December 15, 2026, and interim reporting periods beginning after December 15, 2027. Early adoption is permitted. This ASU is not expected to have a material impact on our consolidated financial statements.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incorporates certain amendments to SEC disclosure requirements into the FASB Accounting Standards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the related disclosure requirement becomes effective. For all other entities, the effective date will be two years after the date of such removal.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available-for-sale (“AFS”) securities and their approximate fair values at September 30, 2025, and December 31, 2024, are summarized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154,234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876,973</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225,870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130,082</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1,682,026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1,598,407</w:t>
            </w:r>
          </w:p>
        </w:tc>
        <w:tc>
          <w:tcPr>
            <w:tcW w:w="0" w:type="dxa"/>
            <w:vAlign w:val="bottom"/>
          </w:tcPr>
          <w:p>
            <w:pPr>
              <w:spacing w:after="0"/>
              <w:rPr>
                <w:sz w:val="1"/>
                <w:szCs w:val="1"/>
                <w:color w:val="auto"/>
              </w:rPr>
            </w:pPr>
          </w:p>
        </w:tc>
      </w:tr>
      <w:tr>
        <w:trPr>
          <w:trHeight w:val="898"/>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698,724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1,549,589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1,432,371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and December 31, 2024, AFS securities with amortized costs of $1.2 billion and $1.2 billion, respectively, and with estimated fair values of $1.1 billion and $1.1 billion, respectively, were pledged to serve as collateral for secured borrowings, derivative exposures, or to secure public deposits as required or permitted by law.</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from sales, calls, and maturities of debt securities available-for-sale, including principal payments received, and the related gross gains and losses realized, for the nine months ended September 30, 2025, and September 30, 2024,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Proceeds from</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Gross realized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gridSpan w:val="2"/>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Calls and maturities</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152,087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benefit (provision) related to these net realized gains and losses for September 30, 2025, and September 30, 2024, was ($57.7) thousand, and ($128.7) thousand, respectively.</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maturities of AFS securities at September 30, 2025,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8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164,474</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939,381</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58,072</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230,700</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76,326</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131,498</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54,457</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55,138</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629,093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281,266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1,682,026</w:t>
            </w:r>
          </w:p>
        </w:tc>
      </w:tr>
      <w:tr>
        <w:trPr>
          <w:trHeight w:val="898"/>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7"/>
        </w:trPr>
        <w:tc>
          <w:tcPr>
            <w:tcW w:w="4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154,234</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876,973</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55,475</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225,870</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75,658</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130,082</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53,966</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258,405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1,598,407</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there were no holdings of securities of any one issuer, other than the U.S. Government and its agencies, in any amount greater than 10% of shareholders’ equity.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securities with unrealized losses aggregated by investment category and length of time that individual securities have been in a continuous unrealized loss position at September 30, 2025, and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AFS securities in a continuous unrealized loss position for less than twelve months and more than twelve months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right"/>
              <w:ind w:right="93"/>
              <w:spacing w:after="0" w:line="135"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80" w:type="dxa"/>
            <w:vAlign w:val="bottom"/>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65,716</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278,019</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872,239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89,207</w:t>
            </w:r>
          </w:p>
        </w:tc>
        <w:tc>
          <w:tcPr>
            <w:tcW w:w="0" w:type="dxa"/>
            <w:vAlign w:val="bottom"/>
          </w:tcPr>
          <w:p>
            <w:pPr>
              <w:spacing w:after="0"/>
              <w:rPr>
                <w:sz w:val="1"/>
                <w:szCs w:val="1"/>
                <w:color w:val="auto"/>
              </w:rPr>
            </w:pPr>
          </w:p>
        </w:tc>
      </w:tr>
      <w:tr>
        <w:trPr>
          <w:trHeight w:val="885"/>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40" w:type="dxa"/>
            <w:vAlign w:val="bottom"/>
          </w:tcPr>
          <w:p>
            <w:pPr>
              <w:spacing w:after="0"/>
              <w:rPr>
                <w:sz w:val="16"/>
                <w:szCs w:val="16"/>
                <w:color w:val="auto"/>
              </w:rPr>
            </w:pPr>
          </w:p>
        </w:tc>
        <w:tc>
          <w:tcPr>
            <w:tcW w:w="26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53"/>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right"/>
              <w:ind w:right="93"/>
              <w:spacing w:after="0" w:line="137"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344,160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934,759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allowance for credit losses (“ACL”) is recorded for the credit loss, limited by the amount that the fair value is less than the amortized cost basis under the current expected credit loss (“CECL”) standard, and declines due to non-credit factors are recorded in accumulated 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Balance Sheets.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record an ACL on the AFS securities as of September 30, 2025, or December 31, 2024. The Company considers the unrealized losses on the AFS securities to be related to fluctuations in market conditions, primarily interest rates, and not reflective of deterioration in credit. The Company had 441 securities in an unrealized loss position as of September 30, 2025. The Company has evaluated AFS securities in an unrealized loss position for credit-related impairment at September 30, 2025,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September 30,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the unrealized losses associated with 11 U.S. Treasuries and Government Agency securities, 12 Residential Mortgage Backed – Agency securities, and 13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September 30,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States and Municipalities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2025, the unrealized losses associated with 311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September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&amp; Commercial Mortgage Backed – Non-Agency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2025, the unrealized losses associated with 57 Residential Mortgage Backed – Non-Agency securities and 13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September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the unrealized losses associated with 17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September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the unrealized losses associated with 7 securities were primarily driven by interest rates and not the credit quality of the securities. These investments were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September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at cost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in Federal Home Loan Bank (“FHLB”) stock totaled $26.8 million and $18.2 million at September 30, 2025, and December 31, 2024, respectively. The Company’s investment in Federal Reserve Bank stock totaled $14.8 million and $14.8 million at September 30, 2025, and December 31, 2024, respectively. FHLB and Federal Reserve stock are generally viewed as long-term investments and as restricted investment securities, which are carried at cost, because there is no market for the stocks other than member institutions. Therefore, when evaluating FHLB and Federal Reserve stock for impairment, their values are based on the ultimate recoverability of the par value rather than by recognizing temporary declines in value. The Company does not consider these investments to be impaired at September 30, 2025, and no impairment has been recognized. FHLB stock and Federal Reserve stock are included in a separate line item, restricted stock, at cost on the Consolidated Balance Sheets and are not part of the Company’s AFS securities portfolio.</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restricted stock line item on the Consolidated Balance Sheets also includes an investment in Community Bankers’ Bank, totaling $111 thousand at September 30, 2025, and $111 thousand at December 31, 2024, which is carried at cost and is not impaired at September 30, 2025. The Company also has other restricted investments including Independent Community Bancorp, Inc. and WV Bankers Title which are included in restricted stock on the Consolidated Balance Sheets as of September 30, 2025 and December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w:t>
      </w:r>
    </w:p>
    <w:p>
      <w:pPr>
        <w:spacing w:after="0" w:line="126"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Owner-occupied commercial real estate loans carry risk associated with the operations of the business that occupies the property and the value of the collateral.</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construction &amp; development loans carry risk associated with the credit-worthiness of the borrower, project completion within budget including the potential impact of volatile construction costs, sale after completion,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loans carry the risk associated with the operations of the business and the value of the collateral, if 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non-real estate and other loans, which includes overdrafts, carry risk associated with the credit-worthiness of the borrower and the value of the collateral, if 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as of September 30, 2025, and December 31, 2024, by portfolio segment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2,637,802</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614,362</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465,537</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613,085</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1,173,749</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167,701</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5,672,236</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(68,040)</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5,491,875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5,604,196</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deferred loan fees included in the above loan categories totaled $4.8 million and $4.4 million at September 30, 2025, and December 31,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ACL is calculated quarterly, with any adjustment recorded to the provision for credit losses in the Consolidated Statement of Income. Management calculates the quantitative portion of collectively evaluated loans for all loan categories using the weighted average remaining maturity (“WARM”) method. For purposes of estimating the Company’s ACL, management generally evaluates collectively evaluated loans by federal call code in order to group loans with similar risk characteristics.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loan basis and are excluded from the collective evaluation for the ACL. Loans identified to be individually evaluated under CECL include loans on non-accrual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 forecast. These qualitative risk factors considered by management are largely comparable to legacy factors prior to the adoption of CECL.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activity in the ACL for the three and nine months ended September 30, 2025, and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including the impact of the allowance established for Purchase Credit Deteriorated (“PCD”) loans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commercial real</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240" w:type="dxa"/>
            <w:vAlign w:val="bottom"/>
          </w:tcPr>
          <w:p>
            <w:pPr>
              <w:spacing w:after="0"/>
              <w:rPr>
                <w:sz w:val="15"/>
                <w:szCs w:val="15"/>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67,256</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67,604</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27,304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68,017</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25,791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21,723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67,817</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commercial real</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240" w:type="dxa"/>
            <w:vAlign w:val="bottom"/>
          </w:tcPr>
          <w:p>
            <w:pPr>
              <w:spacing w:after="0"/>
              <w:rPr>
                <w:sz w:val="15"/>
                <w:szCs w:val="15"/>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68,040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(3,483)</w:t>
            </w:r>
          </w:p>
        </w:tc>
        <w:tc>
          <w:tcPr>
            <w:tcW w:w="0" w:type="dxa"/>
            <w:vAlign w:val="bottom"/>
          </w:tcPr>
          <w:p>
            <w:pPr>
              <w:spacing w:after="0"/>
              <w:rPr>
                <w:sz w:val="1"/>
                <w:szCs w:val="1"/>
                <w:color w:val="auto"/>
              </w:rPr>
            </w:pPr>
          </w:p>
        </w:tc>
      </w:tr>
      <w:tr>
        <w:trPr>
          <w:trHeight w:val="17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0" w:type="dxa"/>
            <w:vAlign w:val="bottom"/>
          </w:tcPr>
          <w:p>
            <w:pPr>
              <w:spacing w:after="0"/>
              <w:rPr>
                <w:sz w:val="1"/>
                <w:szCs w:val="1"/>
                <w:color w:val="auto"/>
              </w:rPr>
            </w:pPr>
          </w:p>
        </w:tc>
      </w:tr>
      <w:tr>
        <w:trPr>
          <w:trHeight w:val="16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12,509</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67,604</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20,633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25,301</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Allowance established for acquired PCD loans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19,515</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25,791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21,723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recorded investment in loans excludes accrued interest receivable due to immateriality. The following table presents the aging of the recorded investment in past due loans as of September 30, 2025, and December 31, 2024, by portfolio segment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September 30, 2025</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Non-accrual</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or More &amp; Still</w:t>
            </w: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Accruing</w:t>
            </w:r>
          </w:p>
        </w:tc>
        <w:tc>
          <w:tcPr>
            <w:tcW w:w="12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loans</w:t>
            </w:r>
          </w:p>
        </w:tc>
        <w:tc>
          <w:tcPr>
            <w:tcW w:w="0" w:type="dxa"/>
            <w:vAlign w:val="bottom"/>
          </w:tcPr>
          <w:p>
            <w:pPr>
              <w:spacing w:after="0"/>
              <w:rPr>
                <w:sz w:val="1"/>
                <w:szCs w:val="1"/>
                <w:color w:val="auto"/>
              </w:rPr>
            </w:pPr>
          </w:p>
        </w:tc>
      </w:tr>
      <w:tr>
        <w:trPr>
          <w:trHeight w:val="17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2,766,149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2,804,175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52,704</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605,421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612,560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8,399</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365,863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11,995</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525,104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534,731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4,658</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1,114,882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1,127,952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7,368</w:t>
            </w:r>
          </w:p>
        </w:tc>
        <w:tc>
          <w:tcPr>
            <w:tcW w:w="0" w:type="dxa"/>
            <w:vAlign w:val="bottom"/>
          </w:tcPr>
          <w:p>
            <w:pPr>
              <w:spacing w:after="0"/>
              <w:rPr>
                <w:sz w:val="1"/>
                <w:szCs w:val="1"/>
                <w:color w:val="auto"/>
              </w:rPr>
            </w:pPr>
          </w:p>
        </w:tc>
      </w:tr>
      <w:tr>
        <w:trPr>
          <w:trHeight w:val="17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104,075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105,034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37,525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77,985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5,481,494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5,559,479</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85,517</w:t>
            </w:r>
          </w:p>
        </w:tc>
        <w:tc>
          <w:tcPr>
            <w:tcW w:w="0" w:type="dxa"/>
            <w:vAlign w:val="bottom"/>
          </w:tcPr>
          <w:p>
            <w:pPr>
              <w:spacing w:after="0"/>
              <w:rPr>
                <w:sz w:val="1"/>
                <w:szCs w:val="1"/>
                <w:color w:val="auto"/>
              </w:rPr>
            </w:pPr>
          </w:p>
        </w:tc>
      </w:tr>
      <w:tr>
        <w:trPr>
          <w:trHeight w:val="425"/>
        </w:trPr>
        <w:tc>
          <w:tcPr>
            <w:tcW w:w="2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Non-accrual</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or More &amp; Still</w:t>
            </w: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Accruing</w:t>
            </w:r>
          </w:p>
        </w:tc>
        <w:tc>
          <w:tcPr>
            <w:tcW w:w="12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loans</w:t>
            </w:r>
          </w:p>
        </w:tc>
        <w:tc>
          <w:tcPr>
            <w:tcW w:w="0" w:type="dxa"/>
            <w:vAlign w:val="bottom"/>
          </w:tcPr>
          <w:p>
            <w:pPr>
              <w:spacing w:after="0"/>
              <w:rPr>
                <w:sz w:val="1"/>
                <w:szCs w:val="1"/>
                <w:color w:val="auto"/>
              </w:rPr>
            </w:pPr>
          </w:p>
        </w:tc>
      </w:tr>
      <w:tr>
        <w:trPr>
          <w:trHeight w:val="176"/>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2,618,388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2,637,802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19,183</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5,760</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459,046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613,085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1,145,226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7,857</w:t>
            </w:r>
          </w:p>
        </w:tc>
        <w:tc>
          <w:tcPr>
            <w:tcW w:w="0" w:type="dxa"/>
            <w:vAlign w:val="bottom"/>
          </w:tcPr>
          <w:p>
            <w:pPr>
              <w:spacing w:after="0"/>
              <w:rPr>
                <w:sz w:val="1"/>
                <w:szCs w:val="1"/>
                <w:color w:val="auto"/>
              </w:rPr>
            </w:pPr>
          </w:p>
        </w:tc>
      </w:tr>
      <w:tr>
        <w:trPr>
          <w:trHeight w:val="17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166,569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167,701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68,313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5,603,923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5,672,236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35,871</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at least 50% of the Bank’s commercial credit exposure. The Company uses the following definitions for credit risk classifications: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w:t>
      </w:r>
      <w:r>
        <w:rPr>
          <w:rFonts w:ascii="Times New Roman" w:cs="Times New Roman" w:eastAsia="Times New Roman" w:hAnsi="Times New Roman"/>
          <w:sz w:val="18"/>
          <w:szCs w:val="18"/>
          <w:color w:val="auto"/>
        </w:rPr>
        <w:t>: These include satisfactory loans that have acceptable levels of risk.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classified as special mention have a potential credit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Substandard</w:t>
      </w:r>
      <w:r>
        <w:rPr>
          <w:rFonts w:ascii="Times New Roman" w:cs="Times New Roman" w:eastAsia="Times New Roman" w:hAnsi="Times New Roman"/>
          <w:sz w:val="18"/>
          <w:szCs w:val="18"/>
          <w:color w:val="auto"/>
        </w:rPr>
        <w:t>: Loans classified as substandard have a well-defined weakness or weaknesses that jeopardize the orderly liquidation of debt. Loans classified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on the basis of currently existing facts, conditions, and values, highly questionable and unlikely.</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Loans classified as a loss are considered to be uncollectible and cannot be justified to continue as viable assets. While there may be the possibility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recovery in the future, it is not practical or desirable to defer writing off these loans at the present time.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September 30, 2025, and December 31, 2024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169,052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249,876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427,514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448,795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360,970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657,179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118,403</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2,431,789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27,134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66,664</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300,527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4,985</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169,052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249,876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446,641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532,237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474,570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781,160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150,639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2,804,175</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55,671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59,191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65,745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87,555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118,573</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174,578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31,460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592,773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4,043</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7,070</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55,671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59,191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66,269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92,879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121,566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185,452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31,532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612,560</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1"/>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23,981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130,991</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61,775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68,361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37,492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361,118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3,656</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22,963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131,387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66,103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71,868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37,837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375,027</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41,527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72,353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31,742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30,047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276,886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499,375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17,105</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42,791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72,650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32,917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44,011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291,741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534,731</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86,778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140,415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188,340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128,771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376,344</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165,504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1,120,270</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34,118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86,778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142,029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189,158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129,497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380,390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165,982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1,127,952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r>
      <w:tr>
        <w:trPr>
          <w:trHeight w:val="142"/>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6,526</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71,257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104,936</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71,257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105,034</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w:t>
            </w:r>
          </w:p>
        </w:tc>
      </w:tr>
      <w:tr>
        <w:trPr>
          <w:trHeight w:val="188"/>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332,818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505,096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825,802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927,732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816,750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1,402,293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748,988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5,559,479</w:t>
            </w:r>
          </w:p>
        </w:tc>
      </w:tr>
      <w:tr>
        <w:trPr>
          <w:trHeight w:val="452"/>
        </w:trPr>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248,023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378,322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482,195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337,136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153,187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588,490</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96,914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2,284,267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182,671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170,864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248,023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387,702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561,965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163,340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698,485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148,630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2,637,802</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72,571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93,941</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126,700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170,809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594,103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4,247</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72,571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99,133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128,439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44,425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175,827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32,534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614,362</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1"/>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109,751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90,652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147,702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408,549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2,783</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53,907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122,866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95,119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153,669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465,537</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108,206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57,280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47,828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237,852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529,483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64,861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108,608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57,565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87,547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29,050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266,473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613,085</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88,857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152,438</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201,410</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142,719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77,783</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332,025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170,077</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1,165,309</w:t>
            </w:r>
          </w:p>
        </w:tc>
      </w:tr>
      <w:tr>
        <w:trPr>
          <w:trHeight w:val="183"/>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88,950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153,932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202,210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143,305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78,388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336,175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170,789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1,173,749</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10,796</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123,148</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166,890</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123,148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167,701</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r>
      <w:tr>
        <w:trPr>
          <w:trHeight w:val="188"/>
        </w:trPr>
        <w:tc>
          <w:tcPr>
            <w:tcW w:w="2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554,237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805,534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1,052,113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903,616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329,467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1,258,726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768,543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5,672,236</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collateral-dependent loans that were individually evaluated for purposes of determining the ACL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December 31, 2024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w:t>
            </w:r>
          </w:p>
        </w:tc>
        <w:tc>
          <w:tcPr>
            <w:tcW w:w="10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3,213</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43,629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53,738</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20,007</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8,133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63,769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83,776</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8,133</w:t>
            </w:r>
          </w:p>
        </w:tc>
        <w:tc>
          <w:tcPr>
            <w:tcW w:w="0" w:type="dxa"/>
            <w:vAlign w:val="bottom"/>
          </w:tcPr>
          <w:p>
            <w:pPr>
              <w:spacing w:after="0"/>
              <w:rPr>
                <w:sz w:val="1"/>
                <w:szCs w:val="1"/>
                <w:color w:val="auto"/>
              </w:rPr>
            </w:pPr>
          </w:p>
        </w:tc>
      </w:tr>
      <w:tr>
        <w:trPr>
          <w:trHeight w:val="449"/>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jc w:val="center"/>
              <w:ind w:right="34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0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4,791</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19,898</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5,854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28,272</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Credit Deteriorated Loans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purchased loans for which there was, at acquisition, evidence of more than insignificant deterioration of credit quality since origination.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those loans, at acquisition,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9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price of loans at acquisition</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380,795</w:t>
            </w:r>
          </w:p>
        </w:tc>
      </w:tr>
      <w:tr>
        <w:trPr>
          <w:trHeight w:val="195"/>
        </w:trPr>
        <w:tc>
          <w:tcPr>
            <w:tcW w:w="9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at acquisition</w:t>
            </w: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23,910</w:t>
            </w:r>
          </w:p>
        </w:tc>
      </w:tr>
      <w:tr>
        <w:trPr>
          <w:trHeight w:val="203"/>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Non-credit discount/(premium) at acquisition</w:t>
            </w:r>
          </w:p>
        </w:tc>
        <w:tc>
          <w:tcPr>
            <w:tcW w:w="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37,640</w:t>
            </w:r>
          </w:p>
        </w:tc>
      </w:tr>
      <w:tr>
        <w:trPr>
          <w:trHeight w:val="257"/>
        </w:trPr>
        <w:tc>
          <w:tcPr>
            <w:tcW w:w="9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value of acquired loans at acquisition</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442,345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2022-02 on a modified retrospective basis. ASU 2022-02 eliminates the troubled debt restructuring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w:t>
      </w:r>
      <w:r>
        <w:rPr>
          <w:rFonts w:ascii="Times New Roman" w:cs="Times New Roman" w:eastAsia="Times New Roman" w:hAnsi="Times New Roman"/>
          <w:sz w:val="18"/>
          <w:szCs w:val="18"/>
          <w:i w:val="1"/>
          <w:iCs w:val="1"/>
          <w:color w:val="auto"/>
        </w:rPr>
        <w:t>Receivables — Nonrefundable Fees and Other Costs</w:t>
      </w:r>
      <w:r>
        <w:rPr>
          <w:rFonts w:ascii="Times New Roman" w:cs="Times New Roman" w:eastAsia="Times New Roman" w:hAnsi="Times New Roman"/>
          <w:sz w:val="18"/>
          <w:szCs w:val="18"/>
          <w:color w:val="auto"/>
        </w:rPr>
        <w:t>, and subjects entities to new disclosure requirements on loan modifications to borrowers experiencing financial difficulty.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 off against the ACL. The Company may also provide multiple types of modifications on an individual loan. For the nine months ended September 30, 2025, and for the year ended, December 31, 2024, the Company did not extend any modifications to borrowers experiencing financial difficulty that had a more-than-insignificant direct change in the contractual cash flows of the loan.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owned activity was as follows for the nine months ended September 30, 2025, and for the year ended, December 31,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Beginning balance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acquired/transferred to real estate owned</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 write-downs</w:t>
            </w:r>
          </w:p>
        </w:tc>
        <w:tc>
          <w:tcPr>
            <w:tcW w:w="2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real estate owned</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257"/>
        </w:trPr>
        <w:tc>
          <w:tcPr>
            <w:tcW w:w="7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End of period balance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Deposits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time deposits that meet or exceed the FDIC Insurance Limit of $250,000, was approximately $295.9 million and $284.4 million on September 30, 2025, and December 31, 2024, respectively. Brokered time deposits, which are fully insured, totaled $124.4 million and $244.8 million as of September 30, 2025, and December 31, 2024, respectively. Time deposits through the Certificate of Deposit Account Registry Service (“CDARS”) program totaled $22.8 million at September 30, 2025, compared to $35.7 million at December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Deposits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time deposits as of September 30, 2025 are as follows (in thousands):</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three months ending, December 31, 2025</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553,403</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528,180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22,913</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1,129,916</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amounts included in time deposits for individual retirement accounts totaled $114.6 million and $118.9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Overdrafts of $657.4 thousand and $1.6 million were reclassified to loans as of September 30, 2025, and the year ended December 31,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borrowings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had borrowings of $450.0 million and $365.0 million at September 30, 2025, and December 31, 2024, respectively. At September 30, 2025, the interest rate on this debt was 4.24%. At December 31, 2024, the interest rate on this debt ranged from 4.43% to 4.57%. The average balance outstanding during the nine months ending September 30, 2025, and the year ending December 31, 2024, was $412.7 million and $422.5 million, respectively. The Company has a finance lease liability that is not included in these balances - see </w:t>
      </w:r>
      <w:r>
        <w:rPr>
          <w:rFonts w:ascii="Times New Roman" w:cs="Times New Roman" w:eastAsia="Times New Roman" w:hAnsi="Times New Roman"/>
          <w:sz w:val="18"/>
          <w:szCs w:val="18"/>
          <w:u w:val="single" w:color="auto"/>
          <w:color w:val="0000FF"/>
        </w:rPr>
        <w:t>Note 7 - Leased Property</w:t>
      </w:r>
      <w:r>
        <w:rPr>
          <w:rFonts w:ascii="Times New Roman" w:cs="Times New Roman" w:eastAsia="Times New Roman" w:hAnsi="Times New Roman"/>
          <w:sz w:val="18"/>
          <w:szCs w:val="18"/>
          <w:color w:val="auto"/>
        </w:rPr>
        <w:t xml:space="preserve"> for a discussion of this liability that is included in the accrued interest and other liabilities line in the Consolidated Balance Sheets.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available secured lines of credit with the Federal Reserve Bank of Richmond, such as the Borrower-In-Custody program, the FHLB of Atlanta, and unsecured federal funds lines of credit from correspondent banking relationships. Through these sources, the Company has unused capacity of $4.2 billion in remaining borrowing capacity as of September 30, 2025. The advances on credit lines are secured by both securities and loans. The lendable collateral value of securities and loans pledged against available lines of credit as of September 30, 2025, and December 31, 2024, was $3.2 billion and $3.1 billion, respectively. As of September 30, 2025, all of the Company’s borrowings will mature within one calendar year.</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contractual maturities of these borrowings, which all occur within one year of the reporting date, are as follows as of September 30, 2025,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2025</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borrowings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Merger, Burke &amp; Herbert assumed $75.0 million of subordinated debentures, that were fair valued at $61.5 million with a $13.5 million discount being amortized into interest expense over the stated maturity. As of September 30, 2025, the net balance was $68.9 million. The subordinated debt qualifies as Tier 2 capital under Federal Reserve Board guidelines, until the debt is within 5 years of its maturity; thereafter, the amount qualifying as Tier 2 capital is reduced 20% each year until maturity. The subordinated debentures were issued in the fourth quarter of 2021. This subordinated debt bears interest at a fixed rate of 3.25% per year, from acquisition date to, but excluding, December 1, 2026, payable semi-annually in arrears. From and including, December 1, 2026 to, but excluding, the maturity date or earlier redemption date, the interest rate will reset quarterly at a variable rate equal to the then current three-month term Secured Overnight Financing Rate (“SOFR”), as published by the Federal Reserve Bank of New York, plus 230 basis points, payable quarterly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arrears. This debt has a 10-year term, and generally, is not prepayable by us within the first 5 years from issuance, which was fourth quarter 2021.</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Merger, Burke &amp; Herbert also assumed $30 million of subordinated debentures that were fair valued at $29.8 million with a $0.2 million discount being amortized into interest expense over the stated maturity. This subordinated debt qualified as Tier 2 capital under Federal Reserve Board guidelines, until the debt was within 5 years of its maturity; thereafter, the amount qualifying as Tier 2 capital would have been reduced by 20% each year until its maturity. The subordinated debentures were issued on September 22, 2020, had a 10-year term, and generally, were not prepayable by us within the first 5 years from issuance, absent specific events. This subordinated debt bore interest at a fixed rate of 5.00% per year from the date of assumption to, but excluding, September 30, 2025, payable quarterly in arrears. On September 30, 2025, the Company redeemed all $30 million aggregate principal amount of this subordinated debt. The redemption was made pursuant to the optional redemption provisions set forth in the indenture, at a redemption price equal to 100% of the principal amount plus accrued and unpaid interest to the redemption date. The redemption was funded with available cash in the form of a dividend from the Company’s Bank subsidiary.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 Owed to Unconsolidated Subsidiary Trusts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Merger, Burke &amp; Herbert became the sponsor for SFG Capital Trust I, SFG Capital Trust II, and SFG Capital Trust III. For each of these trusts, 100% of the common equity is owned by us. SFG Capital Trust I issued $3.5 million in capital securities and $109 thousand in common securities and invested the proceeds in $3.6 million of debentures, which were assumed by Burke &amp; Herbert in the Merger. SFG Capital Trust II issued $7.5 million in capital securities and $232 thousand in common securities and invested the proceeds in $7.7 million of debentures, which were assumed by Burke &amp; Herbert in the Merger. SFG Capital Trust III issued $8.0 million in capital securities and $248 thousand in common securities and invested the proceeds in $8.3 million of debentures, which were assumed by Burke &amp; Herbert in the Merger. Distributions on the capital securities issued by the trusts are payable quarterly at a variable rate equal to three-month term SOFR, plus 345 basis points for SFG Capital Trust I, three-month term SOFR, plus 280 basis points for SFG Capital Trust II, and three-month term SOFR, plus 145 basis points for SFG Capital Trust III, and equals the interest rate earned on the debentures held by the trusts and is recorded as interest expense by us. The capital securities are subject to mandatory redemption in whole, or in part, upon repayment of the debentures. We have entered into agreements which, taken collectively, fully and unconditionally guarantee the capital securities subject to the terms of the guarantee. The debentures of each Capital Trust are redeemable by us quarterly.</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securities issued by SFG Capital Trust I, SFG Capital Trust II, and SFG Capital Trust III qualify as Tier 1 capital under the Federal Reserve guidelines. In accordance with these Guidelines, trust preferred securities are limited to 25% of Tier 1 capital elements, net of goodwill. The amount of trust preferred securities and certain other elements in excess of the limit can be included in Tier 2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subordinated debentures as of September 30, 2025,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Subordinated debentures</w:t>
            </w:r>
          </w:p>
        </w:tc>
        <w:tc>
          <w:tcPr>
            <w:tcW w:w="140" w:type="dxa"/>
            <w:vAlign w:val="bottom"/>
          </w:tcPr>
          <w:p>
            <w:pPr>
              <w:spacing w:after="0"/>
              <w:rPr>
                <w:sz w:val="13"/>
                <w:szCs w:val="13"/>
                <w:color w:val="auto"/>
              </w:rPr>
            </w:pPr>
          </w:p>
        </w:tc>
        <w:tc>
          <w:tcPr>
            <w:tcW w:w="22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Subordinated debentures owed to</w:t>
            </w:r>
          </w:p>
        </w:tc>
        <w:tc>
          <w:tcPr>
            <w:tcW w:w="0" w:type="dxa"/>
            <w:vAlign w:val="bottom"/>
          </w:tcPr>
          <w:p>
            <w:pPr>
              <w:spacing w:after="0"/>
              <w:rPr>
                <w:sz w:val="1"/>
                <w:szCs w:val="1"/>
                <w:color w:val="auto"/>
              </w:rPr>
            </w:pPr>
          </w:p>
        </w:tc>
      </w:tr>
      <w:tr>
        <w:trPr>
          <w:trHeight w:val="195"/>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unconsolidated subsidiary trusts</w:t>
            </w:r>
          </w:p>
        </w:tc>
        <w:tc>
          <w:tcPr>
            <w:tcW w:w="0" w:type="dxa"/>
            <w:vAlign w:val="bottom"/>
          </w:tcPr>
          <w:p>
            <w:pPr>
              <w:spacing w:after="0"/>
              <w:rPr>
                <w:sz w:val="1"/>
                <w:szCs w:val="1"/>
                <w:color w:val="auto"/>
              </w:rPr>
            </w:pPr>
          </w:p>
        </w:tc>
      </w:tr>
      <w:tr>
        <w:trPr>
          <w:trHeight w:val="214"/>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three months ending, December 31, 2025</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one year to around ten years and may contain renewal options. The components of lease income, which were included in non-interest expense on the Consolidated Statements of Income, were as follows (in thousands):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5"/>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2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466"/>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remaining maturities of operating lease receivables as of September 30, 2025, are as follows (in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8"/>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three months ending, December 31, 2025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approximately thirteen years. The lease agreements do not provide for residual value guarantees and have no restrictions or covenants that would impact dividends or require incurring additional financial obligations.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and liabilities by lease type, and the associated balance sheet classifications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Pr>
          <w:p>
            <w:pPr>
              <w:spacing w:after="0"/>
              <w:rPr>
                <w:sz w:val="19"/>
                <w:szCs w:val="19"/>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r>
      <w:tr>
        <w:trPr>
          <w:trHeight w:val="230"/>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23"/>
        </w:trPr>
        <w:tc>
          <w:tcPr>
            <w:tcW w:w="5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3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16,515</w:t>
            </w: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tcPr>
          <w:p>
            <w:pPr>
              <w:spacing w:after="0"/>
              <w:rPr>
                <w:sz w:val="19"/>
                <w:szCs w:val="19"/>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14,806</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r>
      <w:tr>
        <w:trPr>
          <w:trHeight w:val="229"/>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2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18,255</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w:t>
            </w:r>
          </w:p>
        </w:tc>
      </w:tr>
      <w:tr>
        <w:trPr>
          <w:trHeight w:val="46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total lease cost were as follows (in thousands):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8"/>
        </w:trPr>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71</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23"/>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898"/>
        </w:trPr>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7"/>
        </w:trPr>
        <w:tc>
          <w:tcPr>
            <w:tcW w:w="5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future undiscounted lease payments for finance and operating leases with initial terms of one year or more as of September 30, 2025,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7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three months ending, December 31, 2025</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6,444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29"/>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liabilities</w:t>
            </w:r>
          </w:p>
        </w:tc>
        <w:tc>
          <w:tcPr>
            <w:tcW w:w="6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466"/>
        </w:trPr>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Company’s leases as of September 30, 2025, and December 31, 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lease information (dollars in thousands)</w:t>
            </w:r>
          </w:p>
        </w:tc>
        <w:tc>
          <w:tcPr>
            <w:tcW w:w="16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remaining lease term (years)</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discount rate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r>
      <w:tr>
        <w:trPr>
          <w:trHeight w:val="270"/>
        </w:trPr>
        <w:tc>
          <w:tcPr>
            <w:tcW w:w="7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gridSpan w:val="4"/>
            <w:shd w:val="clear" w:color="auto" w:fill="CCEEFF"/>
          </w:tcPr>
          <w:p>
            <w:pPr>
              <w:spacing w:after="0"/>
              <w:rPr>
                <w:sz w:val="23"/>
                <w:szCs w:val="23"/>
                <w:color w:val="auto"/>
              </w:rPr>
            </w:pPr>
          </w:p>
        </w:tc>
      </w:tr>
      <w:tr>
        <w:trPr>
          <w:trHeight w:val="196"/>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7"/>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6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2,230</w:t>
            </w:r>
          </w:p>
        </w:tc>
      </w:tr>
      <w:tr>
        <w:trPr>
          <w:trHeight w:val="230"/>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11,130</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Banks and financial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III Framework, an entity must hold a capital conservation buffer above the adequately capitalized risk-based capital ratios. The net unrealized gain or loss on AFS securities is not included in computing regulatory capital. Management believes as of September 30, 2025, the Company and the Bank meet all capital adequacy requirements to which they are subject.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September 30, 2025, and December 31, 2024, the most recent notification from the FDIC categorized the Bank as “well capitalized” under the regulatory framework for “prompt corrective action.”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actual and required capital amounts and ratios for the Company and the Bank at September 30, 2025, and December 31, 2024 (in thousands except for ratios):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Minimum Required Capital - Basel III</w:t>
            </w:r>
          </w:p>
        </w:tc>
        <w:tc>
          <w:tcPr>
            <w:tcW w:w="220" w:type="dxa"/>
            <w:vAlign w:val="bottom"/>
          </w:tcPr>
          <w:p>
            <w:pPr>
              <w:spacing w:after="0"/>
              <w:rPr>
                <w:sz w:val="13"/>
                <w:szCs w:val="13"/>
                <w:color w:val="auto"/>
              </w:rPr>
            </w:pPr>
          </w:p>
        </w:tc>
        <w:tc>
          <w:tcPr>
            <w:tcW w:w="232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Minimum Required to be Well</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664,953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633,289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960,208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663,166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631,587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538,296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506,631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536,849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505,270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810,238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443,302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411,638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889,409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442,111</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410,532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312,836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391,045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312,172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390,215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930,753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670,590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638,658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670,028</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638,122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763,842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542,859</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510,926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542,404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510,498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415,127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446,686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414,779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311,904</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389,880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389,520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source of funds for dividend payments is dividends received from the Bank. Banking regulations limit the amount of dividends that may be paid without prior approval of regulatory agencies. As of September 30, 2025, approximately $297.0 million of retained earnings was available for dividend declaration consistent with the Company’s capital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 in using interest rate derivatives is to add stability to net interest income and to manage its exposure to interest rate movements. To accomplish this objective, the Company primarily uses interest rate swaps, caps, and floors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As of September 30, 2025, such derivatives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were used to hedge the variable cash flows associated with variable-rate liabilities. As of September 30, 2024, such derivatives were used to hedge the variable cash flows associated with variable-rate debt and variable-rate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the next twelve months, the Company estimates that an additional $6.5 thousand will be reclassified as an increase in interest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accrued interest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which includes accrued interest, as well as their classification on the Consolidated Balance Sheets as of September 30, 2025, and December 31, 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00" w:type="dxa"/>
            <w:vAlign w:val="bottom"/>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0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tcPr>
          <w:p>
            <w:pPr>
              <w:spacing w:after="0"/>
              <w:rPr>
                <w:sz w:val="19"/>
                <w:szCs w:val="19"/>
                <w:color w:val="auto"/>
              </w:rPr>
            </w:pPr>
          </w:p>
        </w:tc>
        <w:tc>
          <w:tcPr>
            <w:tcW w:w="210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shd w:val="clear" w:color="auto" w:fill="CCEEFF"/>
          </w:tcPr>
          <w:p>
            <w:pPr>
              <w:spacing w:after="0"/>
              <w:rPr>
                <w:sz w:val="19"/>
                <w:szCs w:val="19"/>
                <w:color w:val="auto"/>
              </w:rPr>
            </w:pPr>
          </w:p>
        </w:tc>
        <w:tc>
          <w:tcPr>
            <w:tcW w:w="210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0"/>
        </w:trPr>
        <w:tc>
          <w:tcPr>
            <w:tcW w:w="4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0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tcPr>
          <w:p>
            <w:pPr>
              <w:spacing w:after="0"/>
              <w:rPr>
                <w:sz w:val="19"/>
                <w:szCs w:val="19"/>
                <w:color w:val="auto"/>
              </w:rPr>
            </w:pPr>
          </w:p>
        </w:tc>
        <w:tc>
          <w:tcPr>
            <w:tcW w:w="210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184,943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shd w:val="clear" w:color="auto" w:fill="CCEEFF"/>
          </w:tcPr>
          <w:p>
            <w:pPr>
              <w:spacing w:after="0"/>
              <w:rPr>
                <w:sz w:val="19"/>
                <w:szCs w:val="19"/>
                <w:color w:val="auto"/>
              </w:rPr>
            </w:pPr>
          </w:p>
        </w:tc>
        <w:tc>
          <w:tcPr>
            <w:tcW w:w="210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463"/>
        </w:trPr>
        <w:tc>
          <w:tcPr>
            <w:tcW w:w="4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00" w:type="dxa"/>
            <w:vAlign w:val="bottom"/>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0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tcPr>
          <w:p>
            <w:pPr>
              <w:spacing w:after="0"/>
              <w:rPr>
                <w:sz w:val="19"/>
                <w:szCs w:val="19"/>
                <w:color w:val="auto"/>
              </w:rPr>
            </w:pPr>
          </w:p>
        </w:tc>
        <w:tc>
          <w:tcPr>
            <w:tcW w:w="210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shd w:val="clear" w:color="auto" w:fill="CCEEFF"/>
          </w:tcPr>
          <w:p>
            <w:pPr>
              <w:spacing w:after="0"/>
              <w:rPr>
                <w:sz w:val="19"/>
                <w:szCs w:val="19"/>
                <w:color w:val="auto"/>
              </w:rPr>
            </w:pPr>
          </w:p>
        </w:tc>
        <w:tc>
          <w:tcPr>
            <w:tcW w:w="210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0"/>
        </w:trPr>
        <w:tc>
          <w:tcPr>
            <w:tcW w:w="4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0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tcPr>
          <w:p>
            <w:pPr>
              <w:spacing w:after="0"/>
              <w:rPr>
                <w:sz w:val="19"/>
                <w:szCs w:val="19"/>
                <w:color w:val="auto"/>
              </w:rPr>
            </w:pPr>
          </w:p>
        </w:tc>
        <w:tc>
          <w:tcPr>
            <w:tcW w:w="210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shd w:val="clear" w:color="auto" w:fill="CCEEFF"/>
          </w:tcPr>
          <w:p>
            <w:pPr>
              <w:spacing w:after="0"/>
              <w:rPr>
                <w:sz w:val="19"/>
                <w:szCs w:val="19"/>
                <w:color w:val="auto"/>
              </w:rPr>
            </w:pPr>
          </w:p>
        </w:tc>
        <w:tc>
          <w:tcPr>
            <w:tcW w:w="210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891"/>
        </w:trPr>
        <w:tc>
          <w:tcPr>
            <w:tcW w:w="4560" w:type="dxa"/>
            <w:vAlign w:val="bottom"/>
          </w:tcPr>
          <w:p>
            <w:pPr>
              <w:spacing w:after="0"/>
              <w:rPr>
                <w:sz w:val="24"/>
                <w:szCs w:val="24"/>
                <w:color w:val="auto"/>
              </w:rPr>
            </w:pPr>
          </w:p>
        </w:tc>
        <w:tc>
          <w:tcPr>
            <w:tcW w:w="3120" w:type="dxa"/>
            <w:vAlign w:val="bottom"/>
            <w:gridSpan w:val="2"/>
          </w:tcPr>
          <w:p>
            <w:pPr>
              <w:jc w:val="right"/>
              <w:ind w:right="1874"/>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7"/>
        </w:trPr>
        <w:tc>
          <w:tcPr>
            <w:tcW w:w="4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three months ended September 30, 2025, and September 30, 2024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8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88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8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9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8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8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88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8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9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8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nine months ended September 30, 2025, and September 30,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8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88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8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9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8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617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617</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8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88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8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9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8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631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for the three and nine months ended September 30, 2025, and September 30, 2024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right="100" w:hanging="161"/>
        <w:spacing w:after="0" w:line="245" w:lineRule="auto"/>
        <w:rPr>
          <w:sz w:val="20"/>
          <w:szCs w:val="20"/>
          <w:color w:val="auto"/>
        </w:rPr>
      </w:pPr>
      <w:r>
        <w:rPr>
          <w:rFonts w:ascii="Times New Roman" w:cs="Times New Roman" w:eastAsia="Times New Roman" w:hAnsi="Times New Roman"/>
          <w:sz w:val="16"/>
          <w:szCs w:val="16"/>
          <w:color w:val="auto"/>
        </w:rPr>
        <w:t>Total amounts of income and expense line items presented in the consolidated statements of income in which the effects of fair value or cash flow hedges are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p>
      <w:pPr>
        <w:spacing w:after="0" w:line="32" w:lineRule="exact"/>
        <w:rPr>
          <w:sz w:val="20"/>
          <w:szCs w:val="20"/>
          <w:color w:val="auto"/>
        </w:rPr>
      </w:pPr>
    </w:p>
    <w:p>
      <w:pPr>
        <w:ind w:left="20" w:right="860" w:firstLine="32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Gain or (loss) on fair value hedging relationships in Subtopic 815-20 </w:t>
      </w:r>
      <w:r>
        <w:rPr>
          <w:rFonts w:ascii="Times New Roman" w:cs="Times New Roman" w:eastAsia="Times New Roman" w:hAnsi="Times New Roman"/>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line="232" w:lineRule="auto"/>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Interest contracts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00" w:hanging="161"/>
        <w:spacing w:after="0" w:line="245" w:lineRule="auto"/>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 transaction is no longer probable of occurring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right="100" w:hanging="161"/>
        <w:spacing w:after="0" w:line="245" w:lineRule="auto"/>
        <w:rPr>
          <w:sz w:val="20"/>
          <w:szCs w:val="20"/>
          <w:color w:val="auto"/>
        </w:rPr>
      </w:pPr>
      <w:r>
        <w:rPr>
          <w:rFonts w:ascii="Times New Roman" w:cs="Times New Roman" w:eastAsia="Times New Roman" w:hAnsi="Times New Roman"/>
          <w:sz w:val="16"/>
          <w:szCs w:val="16"/>
          <w:color w:val="auto"/>
        </w:rPr>
        <w:t>Total amounts of income and expense line items presented in the consolidated statements of income in which the effects of fair value or cash flow hedges are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p>
      <w:pPr>
        <w:spacing w:after="0" w:line="32" w:lineRule="exact"/>
        <w:rPr>
          <w:sz w:val="20"/>
          <w:szCs w:val="20"/>
          <w:color w:val="auto"/>
        </w:rPr>
      </w:pPr>
    </w:p>
    <w:p>
      <w:pPr>
        <w:ind w:left="20" w:right="860" w:firstLine="324"/>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Gain or (loss) on fair value hedging relationships in Subtopic 815-20 </w:t>
      </w:r>
      <w:r>
        <w:rPr>
          <w:rFonts w:ascii="Times New Roman" w:cs="Times New Roman" w:eastAsia="Times New Roman" w:hAnsi="Times New Roman"/>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line="238" w:lineRule="auto"/>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Interest contracts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00" w:hanging="161"/>
        <w:spacing w:after="0" w:line="245" w:lineRule="auto"/>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 transaction is no longer probable of occurring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left="-19" w:right="200"/>
        <w:spacing w:after="0" w:line="248" w:lineRule="auto"/>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3343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520" w:type="dxa"/>
            <w:vAlign w:val="bottom"/>
            <w:tcBorders>
              <w:top w:val="single" w:sz="8" w:color="auto"/>
              <w:bottom w:val="single" w:sz="8" w:color="auto"/>
            </w:tcBorders>
          </w:tcPr>
          <w:p>
            <w:pPr>
              <w:spacing w:after="0"/>
              <w:rPr>
                <w:sz w:val="18"/>
                <w:szCs w:val="18"/>
                <w:color w:val="auto"/>
              </w:rPr>
            </w:pPr>
          </w:p>
        </w:tc>
      </w:tr>
      <w:tr>
        <w:trPr>
          <w:trHeight w:val="209"/>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r>
      <w:tr>
        <w:trPr>
          <w:trHeight w:val="354"/>
        </w:trPr>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864"/>
        </w:trPr>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48"/>
        </w:trPr>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378"/>
        </w:trPr>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87" w:lineRule="exact"/>
        <w:rPr>
          <w:sz w:val="20"/>
          <w:szCs w:val="20"/>
          <w:color w:val="auto"/>
        </w:rPr>
      </w:pPr>
    </w:p>
    <w:p>
      <w:pPr>
        <w:jc w:val="center"/>
        <w:ind w:left="-19" w:right="200"/>
        <w:spacing w:after="0" w:line="248" w:lineRule="auto"/>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3343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520" w:type="dxa"/>
            <w:vAlign w:val="bottom"/>
            <w:tcBorders>
              <w:top w:val="single" w:sz="8" w:color="auto"/>
              <w:bottom w:val="single" w:sz="8" w:color="auto"/>
            </w:tcBorders>
          </w:tcPr>
          <w:p>
            <w:pPr>
              <w:spacing w:after="0"/>
              <w:rPr>
                <w:sz w:val="18"/>
                <w:szCs w:val="18"/>
                <w:color w:val="auto"/>
              </w:rPr>
            </w:pPr>
          </w:p>
        </w:tc>
      </w:tr>
      <w:tr>
        <w:trPr>
          <w:trHeight w:val="209"/>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Expense</w:t>
            </w:r>
          </w:p>
        </w:tc>
      </w:tr>
      <w:tr>
        <w:trPr>
          <w:trHeight w:val="354"/>
        </w:trPr>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24"/>
                <w:szCs w:val="24"/>
                <w:color w:val="auto"/>
              </w:rPr>
            </w:pPr>
          </w:p>
        </w:tc>
        <w:tc>
          <w:tcPr>
            <w:tcW w:w="7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24"/>
                <w:szCs w:val="24"/>
                <w:color w:val="auto"/>
              </w:rPr>
            </w:pPr>
          </w:p>
        </w:tc>
        <w:tc>
          <w:tcPr>
            <w:tcW w:w="7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864"/>
        </w:trPr>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48"/>
        </w:trPr>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378"/>
        </w:trPr>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2">
            <w:col w:w="5900" w:space="80"/>
            <w:col w:w="5260"/>
          </w:cols>
          <w:pgMar w:left="320" w:top="121" w:right="339" w:bottom="1440" w:gutter="0" w:footer="0" w:header="0"/>
          <w:type w:val="continuous"/>
        </w:sectPr>
      </w:pPr>
    </w:p>
    <w:p>
      <w:pPr>
        <w:spacing w:after="0" w:line="26" w:lineRule="exact"/>
        <w:rPr>
          <w:sz w:val="20"/>
          <w:szCs w:val="20"/>
          <w:color w:val="auto"/>
        </w:rPr>
      </w:pPr>
    </w:p>
    <w:p>
      <w:pPr>
        <w:ind w:right="460" w:firstLine="8"/>
        <w:spacing w:after="0" w:line="281" w:lineRule="auto"/>
        <w:tabs>
          <w:tab w:leader="none" w:pos="20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amortization of other discounts or premiums on the assets.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the fair value of derivatives in a liability position, which includes accrued interest but excludes any adjustment for non-performance risk related to these agreements, was $174.2 thousand. As of December 31, 2024, the fair value of derivatives in a net liability position, which includes accrued interest but excludes any adjustment for non-performance risk related to these agreements, was $200.0 thousand. As of September 30, 2025, and as of December 31, 2024, the Company has posted the full amount of collateral related to these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extension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contractual amounts of the Company’s financial instruments outstanding at September 30, 2025, and December 31, 2024,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969,317</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off-balance-sheet credit exposures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a recapture of credit losses on unfunded commitments of $312.0 thousand and provision for credit losses of $62.0 thousand on unfunded commitments for the three months ended September 30, 2025 and September 30, 2024, respectively. The Company recorded a recapture of credit losses on unfunded commitments of $804.0 thousand and a provision for credit losses of $3.9 million for the nine months ended September 30, 2025 and September 30, 2024, respectively. The ACL on off-balance-sheet credit totaled $3.2 million and $4.0 million as of September 30, 2025, and December 31, 2024, and is included in accrued interest and other liabilities on the accompanying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 as of September 30, 2025, and December 31, 2024,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for identical assets or liabilities in active markets that the entity has the ability to access as of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inputs that reflect our own assumptions that market participants would use in pricing an asset or liability.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investments are recorded at fair value on a recurring basis, with changes in fair value reported in net income. Through the Merger we acquired an investment in an S&amp;P 500 index mutual fund that is traded on an exchange, and we classify it as Level 2 as of September 30, 2025.</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the Merger, we acquired perpetual preferred stock of a bank holding company issued in October 2022 in a private offering. The perpetual preferred stock does not trade on an exchange or in an active over-the-counter market; therefore, we estimate its fair value using the present value of its future cash flows using observed discount rates of similar publicly-traded securities, adjusted for a liquidity premium. We classify the perpetual preferred stock as Level 2.</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are carried at cost, minus impairment, if any, plus or minus changes resulting from observable price changes in orderly transactions for an identical or similar investment. Such equity securities are included in other assets on the accompanying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held-for-sale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gridSpan w:val="9"/>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2025,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154,234</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876,973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876,973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55,475</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225,870</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75,658</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130,082</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53,966</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26,149</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154,234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1,444,173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1,598,407</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0" w:type="dxa"/>
            <w:vAlign w:val="bottom"/>
          </w:tcPr>
          <w:p>
            <w:pPr>
              <w:spacing w:after="0"/>
              <w:rPr>
                <w:sz w:val="1"/>
                <w:szCs w:val="1"/>
                <w:color w:val="auto"/>
              </w:rPr>
            </w:pPr>
          </w:p>
        </w:tc>
      </w:tr>
      <w:tr>
        <w:trPr>
          <w:trHeight w:val="47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698,724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53,186</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247,876</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33,071</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1,283,244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1,432,371</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certain assets recorded at fair value on a non-recurring basis in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dependent loans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for which the borrower is experiencing financial difficulty and repayment is dependent upon the operation or sale of collateral, are considered collateral-dependent. For collateral-dependent loans, the fair value is measured based on the value of the collateral securing the loans, less estimated costs of disposal. Collateral may be in the form of real estate or business assets, including equipment, inventory, and accounts receivable. The vast majority of the collateral underlying collateral-dependent loans is real estate, the fair value of which is measured through an appraisal. The appraisals of the collateral supporting collateral-dependent loans may utilize a single valuation approach or a combination of approaches, including comparable sales and the income approach. Any fair value adjustments are recorded in the period incurred as provision for (recapture of) credit losses on the Consolidated Statements of Income.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less costs to sell when acquired, establishing a new cost basis. The fair value of foreclosed properties is determined on a nonrecurring basis generally utilizing current appraisals performed by an independent, licensed appraiser applying an income or market value approach using observable market data. Updated appraisals of foreclosed properties are generally obtained if the existing appraisal is more than 18 months old or more frequently if there is a known deterioration in value. However, if a current appraisal is not available, the original appraised value is discounted, as appropriate, to compensate for the estimated depreciation in the value of the real estate since the date of its original appraisal. Such discounts are generally estimated based upon management’s knowledge of sales of similar property within the applicable market area and its knowledge of other real estate market-related data as well as general economic trends. Upon foreclosure, any fair value adjustment is charged against the allowance for credit losses on loans. Subsequent fair value adjustments are recorded in the period incurred and included in other noninterest expense in the Consolidated Statements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that were measured at fair value on a non-recurring basis during the period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gridSpan w:val="9"/>
          </w:tcPr>
          <w:p>
            <w:pPr>
              <w:ind w:left="12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2025, Using:</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5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52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   $</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56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20" w:type="dxa"/>
            <w:vAlign w:val="bottom"/>
          </w:tcPr>
          <w:p>
            <w:pPr>
              <w:spacing w:after="0"/>
              <w:rPr>
                <w:sz w:val="16"/>
                <w:szCs w:val="16"/>
                <w:color w:val="auto"/>
              </w:rPr>
            </w:pPr>
          </w:p>
        </w:tc>
        <w:tc>
          <w:tcPr>
            <w:tcW w:w="156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20" w:type="dxa"/>
            <w:vAlign w:val="bottom"/>
          </w:tcPr>
          <w:p>
            <w:pPr>
              <w:spacing w:after="0"/>
              <w:rPr>
                <w:sz w:val="16"/>
                <w:szCs w:val="16"/>
                <w:color w:val="auto"/>
              </w:rPr>
            </w:pPr>
          </w:p>
        </w:tc>
        <w:tc>
          <w:tcPr>
            <w:tcW w:w="156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gridSpan w:val="9"/>
          </w:tcPr>
          <w:p>
            <w:pPr>
              <w:ind w:left="12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5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54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Level 3 Fair Value Measurements for assets measured at fair value on a non-recurring basis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December 31, 2024 (in thousands except for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11,874</w:t>
            </w:r>
          </w:p>
        </w:tc>
        <w:tc>
          <w:tcPr>
            <w:tcW w:w="10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203"/>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5"/>
        </w:trPr>
        <w:tc>
          <w:tcPr>
            <w:tcW w:w="2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277"/>
        </w:trPr>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10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203"/>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88"/>
        </w:trPr>
        <w:tc>
          <w:tcPr>
            <w:tcW w:w="2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financial instruments not carried at fair value, at September 30, 2025, and December 31, 2024,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gridSpan w:val="9"/>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2025,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Interest-earning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76,489</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5,491,875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5,428,718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5,428,718</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35,444</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1,358,250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1,358,250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1,358,250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5,053,802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5,048,177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5,048,177</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450,035</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69,473</w:t>
            </w:r>
          </w:p>
        </w:tc>
        <w:tc>
          <w:tcPr>
            <w:tcW w:w="0" w:type="dxa"/>
            <w:vAlign w:val="bottom"/>
          </w:tcPr>
          <w:p>
            <w:pPr>
              <w:spacing w:after="0"/>
              <w:rPr>
                <w:sz w:val="1"/>
                <w:szCs w:val="1"/>
                <w:color w:val="auto"/>
              </w:rPr>
            </w:pPr>
          </w:p>
        </w:tc>
      </w:tr>
      <w:tr>
        <w:trPr>
          <w:trHeight w:val="139"/>
        </w:trPr>
        <w:tc>
          <w:tcPr>
            <w:tcW w:w="35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16,476</w:t>
            </w:r>
          </w:p>
        </w:tc>
        <w:tc>
          <w:tcPr>
            <w:tcW w:w="0" w:type="dxa"/>
            <w:vAlign w:val="bottom"/>
          </w:tcPr>
          <w:p>
            <w:pPr>
              <w:spacing w:after="0"/>
              <w:rPr>
                <w:sz w:val="1"/>
                <w:szCs w:val="1"/>
                <w:color w:val="auto"/>
              </w:rPr>
            </w:pPr>
          </w:p>
        </w:tc>
      </w:tr>
      <w:tr>
        <w:trPr>
          <w:trHeight w:val="193"/>
        </w:trPr>
        <w:tc>
          <w:tcPr>
            <w:tcW w:w="3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gridSpan w:val="9"/>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5,604,196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5,465,722</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5,126,423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5,126,423</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364,985</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91,760</w:t>
            </w:r>
          </w:p>
        </w:tc>
        <w:tc>
          <w:tcPr>
            <w:tcW w:w="0" w:type="dxa"/>
            <w:vAlign w:val="bottom"/>
          </w:tcPr>
          <w:p>
            <w:pPr>
              <w:spacing w:after="0"/>
              <w:rPr>
                <w:sz w:val="1"/>
                <w:szCs w:val="1"/>
                <w:color w:val="auto"/>
              </w:rPr>
            </w:pPr>
          </w:p>
        </w:tc>
      </w:tr>
      <w:tr>
        <w:trPr>
          <w:trHeight w:val="139"/>
        </w:trPr>
        <w:tc>
          <w:tcPr>
            <w:tcW w:w="35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0" w:type="dxa"/>
            <w:vAlign w:val="bottom"/>
          </w:tcPr>
          <w:p>
            <w:pPr>
              <w:spacing w:after="0"/>
              <w:rPr>
                <w:sz w:val="1"/>
                <w:szCs w:val="1"/>
                <w:color w:val="auto"/>
              </w:rPr>
            </w:pPr>
          </w:p>
        </w:tc>
      </w:tr>
      <w:tr>
        <w:trPr>
          <w:trHeight w:val="193"/>
        </w:trPr>
        <w:tc>
          <w:tcPr>
            <w:tcW w:w="3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by component, net of tax,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September 30,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(4,602)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(87,854)</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(4,602)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(68,454)</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(100,430)</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6"/>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60" w:type="dxa"/>
            <w:vAlign w:val="bottom"/>
          </w:tcPr>
          <w:p>
            <w:pPr>
              <w:spacing w:after="0"/>
              <w:rPr>
                <w:sz w:val="18"/>
                <w:szCs w:val="18"/>
                <w:color w:val="auto"/>
              </w:rPr>
            </w:pPr>
          </w:p>
        </w:tc>
        <w:tc>
          <w:tcPr>
            <w:tcW w:w="13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(95,720)</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29,015</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(68,454)</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6"/>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60" w:type="dxa"/>
            <w:vAlign w:val="bottom"/>
          </w:tcPr>
          <w:p>
            <w:pPr>
              <w:spacing w:after="0"/>
              <w:rPr>
                <w:sz w:val="18"/>
                <w:szCs w:val="18"/>
                <w:color w:val="auto"/>
              </w:rPr>
            </w:pPr>
          </w:p>
        </w:tc>
        <w:tc>
          <w:tcPr>
            <w:tcW w:w="13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2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29,502</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(75,758)</w:t>
            </w:r>
          </w:p>
        </w:tc>
        <w:tc>
          <w:tcPr>
            <w:tcW w:w="0" w:type="dxa"/>
            <w:vAlign w:val="bottom"/>
          </w:tcPr>
          <w:p>
            <w:pPr>
              <w:spacing w:after="0"/>
              <w:rPr>
                <w:sz w:val="1"/>
                <w:szCs w:val="1"/>
                <w:color w:val="auto"/>
              </w:rPr>
            </w:pPr>
          </w:p>
        </w:tc>
      </w:tr>
      <w:tr>
        <w:trPr>
          <w:trHeight w:val="898"/>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each component of accumulated other comprehensive income (loss) for the three and nine months ended September 30, 2025, and September 30, 2024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gridSpan w:val="9"/>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 Comprehensive Income</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1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Details about Accumulated Other</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2"/>
                <w:szCs w:val="12"/>
                <w:color w:val="auto"/>
              </w:rPr>
            </w:pPr>
          </w:p>
        </w:tc>
        <w:tc>
          <w:tcPr>
            <w:tcW w:w="180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Affected Line Item in the</w:t>
            </w:r>
          </w:p>
        </w:tc>
        <w:tc>
          <w:tcPr>
            <w:tcW w:w="0" w:type="dxa"/>
            <w:vAlign w:val="bottom"/>
          </w:tcPr>
          <w:p>
            <w:pPr>
              <w:spacing w:after="0"/>
              <w:rPr>
                <w:sz w:val="1"/>
                <w:szCs w:val="1"/>
                <w:color w:val="auto"/>
              </w:rPr>
            </w:pPr>
          </w:p>
        </w:tc>
      </w:tr>
      <w:tr>
        <w:trPr>
          <w:trHeight w:val="21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Components</w:t>
            </w:r>
          </w:p>
        </w:tc>
        <w:tc>
          <w:tcPr>
            <w:tcW w:w="1560" w:type="dxa"/>
            <w:vAlign w:val="bottom"/>
            <w:gridSpan w:val="3"/>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0" w:type="dxa"/>
            <w:vAlign w:val="bottom"/>
          </w:tcPr>
          <w:p>
            <w:pPr>
              <w:spacing w:after="0"/>
              <w:rPr>
                <w:sz w:val="1"/>
                <w:szCs w:val="1"/>
                <w:color w:val="auto"/>
              </w:rPr>
            </w:pPr>
          </w:p>
        </w:tc>
      </w:tr>
      <w:tr>
        <w:trPr>
          <w:trHeight w:val="211"/>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9"/>
        </w:trPr>
        <w:tc>
          <w:tcPr>
            <w:tcW w:w="3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162"/>
        </w:trPr>
        <w:tc>
          <w:tcPr>
            <w:tcW w:w="3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gridSpan w:val="2"/>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Realized gains (losses) on securities</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4"/>
                <w:szCs w:val="14"/>
                <w:color w:val="auto"/>
              </w:rPr>
            </w:pPr>
          </w:p>
        </w:tc>
        <w:tc>
          <w:tcPr>
            <w:tcW w:w="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4"/>
                <w:szCs w:val="14"/>
                <w:color w:val="auto"/>
              </w:rPr>
            </w:pPr>
          </w:p>
        </w:tc>
        <w:tc>
          <w:tcPr>
            <w:tcW w:w="96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Net gains/(losses) on</w:t>
            </w:r>
          </w:p>
        </w:tc>
        <w:tc>
          <w:tcPr>
            <w:tcW w:w="0" w:type="dxa"/>
            <w:vAlign w:val="bottom"/>
          </w:tcPr>
          <w:p>
            <w:pPr>
              <w:spacing w:after="0"/>
              <w:rPr>
                <w:sz w:val="1"/>
                <w:szCs w:val="1"/>
                <w:color w:val="auto"/>
              </w:rPr>
            </w:pPr>
          </w:p>
        </w:tc>
      </w:tr>
      <w:tr>
        <w:trPr>
          <w:trHeight w:val="213"/>
        </w:trPr>
        <w:tc>
          <w:tcPr>
            <w:tcW w:w="31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securities</w:t>
            </w:r>
          </w:p>
        </w:tc>
        <w:tc>
          <w:tcPr>
            <w:tcW w:w="0" w:type="dxa"/>
            <w:vAlign w:val="bottom"/>
          </w:tcPr>
          <w:p>
            <w:pPr>
              <w:spacing w:after="0"/>
              <w:rPr>
                <w:sz w:val="1"/>
                <w:szCs w:val="1"/>
                <w:color w:val="auto"/>
              </w:rPr>
            </w:pPr>
          </w:p>
        </w:tc>
      </w:tr>
      <w:tr>
        <w:trPr>
          <w:trHeight w:val="165"/>
        </w:trPr>
        <w:tc>
          <w:tcPr>
            <w:tcW w:w="318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Realized gains (losses) on basis adjustment</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for fair value hedges</w:t>
            </w: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gridSpan w:val="2"/>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Defined benefit pension plan:</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Amortization of actuarial gain / (loss)</w:t>
            </w:r>
          </w:p>
        </w:tc>
        <w:tc>
          <w:tcPr>
            <w:tcW w:w="36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Pension and other</w:t>
            </w:r>
          </w:p>
        </w:tc>
        <w:tc>
          <w:tcPr>
            <w:tcW w:w="0" w:type="dxa"/>
            <w:vAlign w:val="bottom"/>
          </w:tcPr>
          <w:p>
            <w:pPr>
              <w:spacing w:after="0"/>
              <w:rPr>
                <w:sz w:val="1"/>
                <w:szCs w:val="1"/>
                <w:color w:val="auto"/>
              </w:rPr>
            </w:pPr>
          </w:p>
        </w:tc>
      </w:tr>
      <w:tr>
        <w:trPr>
          <w:trHeight w:val="213"/>
        </w:trPr>
        <w:tc>
          <w:tcPr>
            <w:tcW w:w="31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employee benefits</w:t>
            </w:r>
          </w:p>
        </w:tc>
        <w:tc>
          <w:tcPr>
            <w:tcW w:w="0" w:type="dxa"/>
            <w:vAlign w:val="bottom"/>
          </w:tcPr>
          <w:p>
            <w:pPr>
              <w:spacing w:after="0"/>
              <w:rPr>
                <w:sz w:val="1"/>
                <w:szCs w:val="1"/>
                <w:color w:val="auto"/>
              </w:rPr>
            </w:pPr>
          </w:p>
        </w:tc>
      </w:tr>
      <w:tr>
        <w:trPr>
          <w:trHeight w:val="165"/>
        </w:trPr>
        <w:tc>
          <w:tcPr>
            <w:tcW w:w="31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3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6"/>
        </w:trPr>
        <w:tc>
          <w:tcPr>
            <w:tcW w:w="318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reclassifications, net of tax</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10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Operating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from the Consolidated Statements of Income for the three and nine months ended September 30, 2025, and September 30, 2024,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0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 tax credit amortization</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related</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Consultant fees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fees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expense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franchise tax</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Donation expense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10,551</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33,255</w:t>
            </w:r>
          </w:p>
        </w:tc>
      </w:tr>
      <w:tr>
        <w:trPr>
          <w:trHeight w:val="884"/>
        </w:trPr>
        <w:tc>
          <w:tcPr>
            <w:tcW w:w="5060" w:type="dxa"/>
            <w:vAlign w:val="bottom"/>
          </w:tcPr>
          <w:p>
            <w:pPr>
              <w:spacing w:after="0"/>
              <w:rPr>
                <w:sz w:val="24"/>
                <w:szCs w:val="24"/>
                <w:color w:val="auto"/>
              </w:rPr>
            </w:pPr>
          </w:p>
        </w:tc>
        <w:tc>
          <w:tcPr>
            <w:tcW w:w="9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50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Operating Expense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Merger-related expenses of zero and $11.3 million for the nine months ended September 30, 2025 and September 30, 2024, respectively. These expenses are included in the consultant fees, audit fees, legal expense, donation, and other line items detailed in other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share-based incentive plan described below that allows it to offer a variety of equity compensation awards subject to approval. Total compensation cost that has been charged against income for restricted stock unit awards granted was $1.1 million and $566.9 thousand for the three months ended September 30, 2025, and September 30, 2024, respectively. The total income tax benefit was $242.9 thousand and $119.0 thousand for the three months ended September 30, 2025, and September 30, 2024,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compensation cost that has been charged against income for restricted stock unit awards granted was $3.5 million and $2.0 million for the nine months ended September 30, 2025, and September 30, 2024, respectively. The total income tax benefit was $806.1 thousand and $410.5 thousand for the nine months ended September 30, 2025, and September 30, 2024,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Stock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the Company’s Stock Incentive Plan (“2019 SIP”) was approved by the Bank’s Board of Directors (the “Bank Board”). The 2019 SIP provides for the issuance of share-based awards to directors and employees of the Company. The 2019 SIP authorized 240,000 units to be issued, and the Company’s practice is using authorized unissued shares to satisfy these share-based awards. Each unit represents a contingent right to receive one common share or an equivalent amount of cash, or a combination of the two, at the discretion of the Company. Currently, we have a sufficient number of authorized unissued shares to satisfy all outstanding equity awards.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Stock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a new stock incentive plan (“2023 SIP”) was approved by the Company’s Board of Directors (the “Board”) and shareholders. Upon the plan’s shareholder approval date of March 30, 2023, no further share-based awards will be issued under the 2019 SIP. The 2023 SIP provides for the issuance of share-based awards to directors and employees of the Company. The 2023 SIP authorized the issuance of 250,000 shares, subject to an annual increase in available shares and shares and shares recycled from the 2019 SIP that were cancelled. Based on our shares outstanding as of September 30, 2025, and awards that were recycled from the 2019 SIP, the total shares authorized for issuance under the plan as of September 30, 2025 was 324,887.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95,587 and 64,365 shares were issued during the nine months ended September 30, 2025, and September 30, 2024, respectively.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time-based RSUs, the fair value was determined by using the closing stock price on the date prior to the grant date. These RSUs vest over three to five years.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from time to time, approves performance-based RSU awards that may be earned between a three to five year performance period. Whether or not units are earned at the end of the performance period will be determined based on the achievement of performance and/or market targets (e.g., market capitalization target) over the performance period. If the conditions are achieved, the grant recipient will receive 100% of the units granted as these awards do not provide for a multiplier effect. The performance/market targets are determined by the Board.</w:t>
      </w:r>
    </w:p>
    <w:p>
      <w:pPr>
        <w:spacing w:after="0" w:line="2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w:t>
      </w:r>
    </w:p>
    <w:p>
      <w:pPr>
        <w:spacing w:after="0" w:line="1" w:lineRule="exact"/>
        <w:rPr>
          <w:sz w:val="20"/>
          <w:szCs w:val="20"/>
          <w:color w:val="auto"/>
        </w:rPr>
      </w:pPr>
    </w:p>
    <w:p>
      <w:pPr>
        <w:jc w:val="both"/>
        <w:ind w:firstLine="8"/>
        <w:spacing w:after="0" w:line="255"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all the Company’s RSU awards issued under both the 2019 SIP and 2023 SIP: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$6.8 million of total unrecognized compensation costs related to non-vested shares granted under both the 2019 SIP and 2023 SIP. The cost is expected to be recognized over a weighted average period of 1.36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Employee Stock Purchase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an employee stock purchase plan (“2023 ESPP”) was approved by the Board and shareholders. Upon the 2023 ESPP’s shareholder approval date of March 30, 2023, the 2023 ESPP reserved 250,000 shares of common stock for issuance to employees, subject to an annual increase in reserved shares. At September 30, 2025, 299,391 shares were available to be issued. Whole shares are sold to participants in the 2023 ESPP at 85% of the lower of the stock price at the beginning or end of each semi-annual offering period. The first semi-annual offering period began on September 1, 2023, and the current semi-annual offering period began on September 1, 2025. Eligible employees may purchase shares in an amount that does not exceed the lesser of the IRS limit of $25,000 or 15% of their annual salary.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for the 2023 ESPP for the nine months ended September 30,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9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rPr>
              <w:t>12,839</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price of shares purchased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center"/>
              <w:ind w:left="875"/>
              <w:spacing w:after="0"/>
              <w:rPr>
                <w:sz w:val="20"/>
                <w:szCs w:val="20"/>
                <w:color w:val="auto"/>
              </w:rPr>
            </w:pPr>
            <w:r>
              <w:rPr>
                <w:rFonts w:ascii="Times New Roman" w:cs="Times New Roman" w:eastAsia="Times New Roman" w:hAnsi="Times New Roman"/>
                <w:sz w:val="18"/>
                <w:szCs w:val="18"/>
                <w:color w:val="auto"/>
                <w:w w:val="98"/>
              </w:rPr>
              <w:t>53.01</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recognized (in 000's)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875"/>
              <w:spacing w:after="0"/>
              <w:rPr>
                <w:sz w:val="20"/>
                <w:szCs w:val="20"/>
                <w:color w:val="auto"/>
              </w:rPr>
            </w:pPr>
            <w:r>
              <w:rPr>
                <w:rFonts w:ascii="Times New Roman" w:cs="Times New Roman" w:eastAsia="Times New Roman" w:hAnsi="Times New Roman"/>
                <w:sz w:val="18"/>
                <w:szCs w:val="18"/>
                <w:color w:val="auto"/>
                <w:w w:val="98"/>
              </w:rPr>
              <w:t>137.5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 (“SARs”)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Upon completion of the Merger and as a part of the Merger Agreement, Burke &amp; Herbert assumed SAR awards that had been issued to existing employees that would continue with the same terms and conditions adjusted for the exchange ratio of 0.5043. As part of the Merger, a significant portion of SAR awards accelerated their vesting and thus did not require any future service component. Management used the Black-Scholes option-pricing model to fair value these accelerated SAR awards and included this value as part of the purchase price consideration discussed in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used the Black-Scholes option-pricing model to fair value the non-accelerated SAR awards that were not fully vested. The SAR awards that have been assumed by the Company, were issued in 2019, 2021, and 2023, and these SAR awards become exercisable ratably over seven years (14.3% per year) and contractually expire ten years after the grant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Merger, the Company determined the fair value per SAR using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2019 SAR</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2021 SAR</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 SAR</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years to full vesting</w:t>
            </w:r>
          </w:p>
        </w:tc>
        <w:tc>
          <w:tcPr>
            <w:tcW w:w="16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7 years</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7 years</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7 years</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14.56</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common stock volatility</w:t>
            </w: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contractual life (in years)</w:t>
            </w:r>
          </w:p>
        </w:tc>
        <w:tc>
          <w:tcPr>
            <w:tcW w:w="1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900"/>
        </w:trPr>
        <w:tc>
          <w:tcPr>
            <w:tcW w:w="4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7"/>
        </w:trPr>
        <w:tc>
          <w:tcPr>
            <w:tcW w:w="4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SAR and option activity during the nine months ended September 30, 2025,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69"/>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expect per share</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19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9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220" w:type="dxa"/>
            <w:vAlign w:val="bottom"/>
          </w:tcPr>
          <w:p>
            <w:pPr>
              <w:spacing w:after="0"/>
              <w:rPr>
                <w:sz w:val="15"/>
                <w:szCs w:val="15"/>
                <w:color w:val="auto"/>
              </w:rPr>
            </w:pPr>
          </w:p>
        </w:tc>
        <w:tc>
          <w:tcPr>
            <w:tcW w:w="15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information</w:t>
            </w:r>
          </w:p>
        </w:tc>
        <w:tc>
          <w:tcPr>
            <w:tcW w:w="10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(Yrs.)</w:t>
            </w:r>
          </w:p>
        </w:tc>
        <w:tc>
          <w:tcPr>
            <w:tcW w:w="22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(or acquired)</w:t>
            </w:r>
          </w:p>
        </w:tc>
        <w:tc>
          <w:tcPr>
            <w:tcW w:w="10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September 30, 2025</w:t>
            </w:r>
          </w:p>
        </w:tc>
        <w:tc>
          <w:tcPr>
            <w:tcW w:w="10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186,009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SARs:</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September 30, 2025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fair value of SARs exercised was $731.1 thousand during the nine months ended September 30, 2025. The total fair value of SARs vested was $126.1 thousand during the nine months ended September 30, 2025. As of September 30, 2025, there was $354.8 thousand of total unrecognized compensation costs related to non-vested SARs acquired through the Merger. The cost is expected to be recognized over a weighted average period of 2.09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Basic earnings per share excludes dilution and is computed by dividing net income applicable to common shares by the weighted average number of common shares outstanding for the period. Diluted earnings per share reflects the potential impact of contingently issuable shares. The Company uses the treasury stock method as described by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each dilutive instrument when computing diluted earnings per share.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shares (in thousands)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r>
      <w:tr>
        <w:trPr>
          <w:trHeight w:val="270"/>
        </w:trPr>
        <w:tc>
          <w:tcPr>
            <w:tcW w:w="5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15,021,852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11,529,953</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effect of dilutive shares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61,830</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15,112,413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15,040,145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15,036,905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11,591,783</w:t>
            </w:r>
          </w:p>
        </w:tc>
      </w:tr>
      <w:tr>
        <w:trPr>
          <w:trHeight w:val="250"/>
        </w:trPr>
        <w:tc>
          <w:tcPr>
            <w:tcW w:w="5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bl>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awards equivalent to 23,303 and 27,418 shares of common stock were not considered in computing diluted earnings per common share for the three months ended September 30, 2025, and September 30, 2024, respectively, because they are antidilutive. Stock awards equivalent to 31,173 and 51,094 shares of common stock were not considered in computing diluted earnings per share for the nine months ended September 30, 2025 and September 30, 2024, respectively, because they are antidilutive.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May 3, 2024, Burke &amp; Herbert completed the Merger with Summit, pursuant to the Merger Agreement.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Summit’s 6.0% Fixed Rate Non-Cumulative Perpetual Preferred Stock, Series 2021 issued and outstanding was converted into the right to receive a share of Burke &amp; Herbert Series 2021 Preferred Stock.</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accounted for the Merger using the acquisition method of accounting in accordance with ASC 805, Business Combinations, and accordingly, the assets and liabilities of Summit were recorded at their respective fair values on the date of completion of the Merger. We recognized goodwill of $34.1 million in connection with the acquisition, which is not amortized for financial reporting purposes, but is subject to annual impairment testing. The goodwill arising from the transaction is not deductible for tax purposes and consisted largely of synergies and the cost savings resulting from the combining of the operations of the companies. The fair values of assets and liabilities are subject to refinement for up to one year after the acquisition date if any additional information relative to the acquisition date fair values becomes available. This one year period expired during the quarter ending June 30, 2025. The following table summarizes adjustments to goodwill subsequent to December 31, 2024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to goodwill acquired in conjunction with the acquisition of Summit</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34,149</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adjustment to goodwill resulted in additional review of deferred tax asset and other compensation plan estimates that were established during the Merger and disclosed in the tables below.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deposit intangible represents the value of long-term deposit relationships acquired in this transaction and will be amortized over an estimated weighted average life of 7 years using an accelerated method which approximates the estimated run-off of the acquired deposits. The fair value of intangible assets related to core deposits was $68.8 million on the date of acquisition.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purchased financial assets with credit deterioration was $380.8 million on the date of the acquisition. The gross contractual amounts receivable relating to the purchased financial assets with credit deterioration was $442.3 million. After the Merger, all of the securities, held-to-maturity, were reclassified as available-for-sale.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total consideration paid for Summit on May 3, 2024, the fair values of the assets acquired and liabilities assumed and the resulting goodwill at the acquisition date.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except share information)</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8"/>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9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Summit Financial Group, Inc.</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14,686,738</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0.5043</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Burke &amp; Herbert common stock to be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7,406,522</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6"/>
        </w:trPr>
        <w:tc>
          <w:tcPr>
            <w:tcW w:w="9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Price per share of Burke &amp; Herbert common stock issued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consideration for common stock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382,656</w:t>
            </w:r>
          </w:p>
        </w:tc>
      </w:tr>
      <w:tr>
        <w:trPr>
          <w:trHeight w:val="257"/>
        </w:trPr>
        <w:tc>
          <w:tcPr>
            <w:tcW w:w="9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Average 10 day closing price used to pay fractional common stock</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fractional shares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Implied value of stock appreciation rights ("SARs") and restricted stock units</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30"/>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 issued by Burke &amp; Herbert</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r>
      <w:tr>
        <w:trPr>
          <w:trHeight w:val="223"/>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Fully diluted transaction value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397,445</w:t>
            </w:r>
          </w:p>
        </w:tc>
      </w:tr>
      <w:tr>
        <w:trPr>
          <w:trHeight w:val="237"/>
        </w:trPr>
        <w:tc>
          <w:tcPr>
            <w:tcW w:w="9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r>
      <w:tr>
        <w:trPr>
          <w:trHeight w:val="223"/>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34,149</w:t>
            </w:r>
          </w:p>
        </w:tc>
      </w:tr>
      <w:tr>
        <w:trPr>
          <w:trHeight w:val="898"/>
        </w:trPr>
        <w:tc>
          <w:tcPr>
            <w:tcW w:w="94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9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Recorded</w:t>
            </w:r>
          </w:p>
        </w:tc>
        <w:tc>
          <w:tcPr>
            <w:tcW w:w="240" w:type="dxa"/>
            <w:vAlign w:val="bottom"/>
          </w:tcPr>
          <w:p>
            <w:pPr>
              <w:spacing w:after="0"/>
              <w:rPr>
                <w:sz w:val="19"/>
                <w:szCs w:val="19"/>
                <w:color w:val="auto"/>
              </w:rPr>
            </w:pPr>
          </w:p>
        </w:tc>
        <w:tc>
          <w:tcPr>
            <w:tcW w:w="18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29"/>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by Summit</w:t>
            </w:r>
          </w:p>
        </w:tc>
        <w:tc>
          <w:tcPr>
            <w:tcW w:w="240" w:type="dxa"/>
            <w:vAlign w:val="bottom"/>
          </w:tcPr>
          <w:p>
            <w:pPr>
              <w:spacing w:after="0"/>
              <w:rPr>
                <w:sz w:val="19"/>
                <w:szCs w:val="19"/>
                <w:color w:val="auto"/>
              </w:rPr>
            </w:pPr>
          </w:p>
        </w:tc>
        <w:tc>
          <w:tcPr>
            <w:tcW w:w="18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May 3, 2024</w:t>
            </w:r>
          </w:p>
        </w:tc>
        <w:tc>
          <w:tcPr>
            <w:tcW w:w="240" w:type="dxa"/>
            <w:vAlign w:val="bottom"/>
          </w:tcPr>
          <w:p>
            <w:pPr>
              <w:spacing w:after="0"/>
              <w:rPr>
                <w:sz w:val="20"/>
                <w:szCs w:val="20"/>
                <w:color w:val="auto"/>
              </w:rPr>
            </w:pPr>
          </w:p>
        </w:tc>
        <w:tc>
          <w:tcPr>
            <w:tcW w:w="18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 consideration</w:t>
            </w: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397,445</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at amortized cost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86,143</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3,554,634</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(23,480)</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 of allowance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3,531,154</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75,531</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54,432</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4,503,043</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3,696,936</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283,398</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debentures and trust preferred securities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107,067</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reserve liability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48,844</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4,165,232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4,139,747</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363,296</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34,149</w:t>
            </w:r>
          </w:p>
        </w:tc>
      </w:tr>
      <w:tr>
        <w:trPr>
          <w:trHeight w:val="736"/>
        </w:trPr>
        <w:tc>
          <w:tcPr>
            <w:tcW w:w="59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7"/>
        </w:trPr>
        <w:tc>
          <w:tcPr>
            <w:tcW w:w="5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goodwill for the three and nine months ended September 30, 2025, and September 30,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8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adjustment</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8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6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32,783</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recorded $32.8 million of goodwill associated with the acquisition of Summit. See </w:t>
      </w:r>
      <w:r>
        <w:rPr>
          <w:rFonts w:ascii="Times New Roman" w:cs="Times New Roman" w:eastAsia="Times New Roman" w:hAnsi="Times New Roman"/>
          <w:sz w:val="18"/>
          <w:szCs w:val="18"/>
          <w:u w:val="single" w:color="auto"/>
          <w:color w:val="0000FF"/>
        </w:rPr>
        <w:t>Note 16 -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Business Combination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consolidated financial statements for additional detail regarding this transaction.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performs the annual goodwill impairment test on September 30 every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core deposit intangible which is being amortized on an accelerated basis over its estimated useful life of 7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recorded $68.8 million of core deposit intangibles associated with the acquisition of Summit.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other intangible assets for the three and nine months ended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was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2"/>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 intangible acquired</w:t>
            </w:r>
          </w:p>
        </w:tc>
        <w:tc>
          <w:tcPr>
            <w:tcW w:w="8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68,760</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8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6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deposit intangible</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61,598</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other intangible assets for possible impairment whenever events or changes in circumstances indicate that the carrying amounts may not be recoverable. Total amortization expense associated with intangible assets was $11.9 million for the nine months ended September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future years is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23"/>
        </w:trPr>
        <w:tc>
          <w:tcPr>
            <w:tcW w:w="468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three months ending, December 31, 2025</w:t>
            </w:r>
          </w:p>
        </w:tc>
        <w:tc>
          <w:tcPr>
            <w:tcW w:w="4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45,431</w:t>
            </w:r>
          </w:p>
        </w:tc>
      </w:tr>
      <w:tr>
        <w:trPr>
          <w:trHeight w:val="898"/>
        </w:trPr>
        <w:tc>
          <w:tcPr>
            <w:tcW w:w="4680" w:type="dxa"/>
            <w:vAlign w:val="bottom"/>
          </w:tcPr>
          <w:p>
            <w:pPr>
              <w:spacing w:after="0"/>
              <w:rPr>
                <w:sz w:val="24"/>
                <w:szCs w:val="24"/>
                <w:color w:val="auto"/>
              </w:rPr>
            </w:pPr>
          </w:p>
        </w:tc>
        <w:tc>
          <w:tcPr>
            <w:tcW w:w="426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7"/>
        </w:trPr>
        <w:tc>
          <w:tcPr>
            <w:tcW w:w="46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performance is evaluated using consolidated net income. The Company operates in one segment – Community Banking and the financial performance of this one segment is used to make resource allocations and performance decisions. The Company’s Chief Executive Officer is in charge of allocating the Company’s resources and assessing performance, and has been identified as the chief operating decision maker. While the chief operating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consolidated financial condition and results of operations of the Company should be read in conjunction with the preceding consolidated financial statements and notes presented in </w:t>
      </w:r>
      <w:r>
        <w:rPr>
          <w:rFonts w:ascii="Times New Roman" w:cs="Times New Roman" w:eastAsia="Times New Roman" w:hAnsi="Times New Roman"/>
          <w:sz w:val="18"/>
          <w:szCs w:val="18"/>
          <w:u w:val="single" w:color="auto"/>
          <w:color w:val="0000FF"/>
        </w:rPr>
        <w:t>Item 1. Financial Statements</w:t>
      </w:r>
      <w:r>
        <w:rPr>
          <w:rFonts w:ascii="Times New Roman" w:cs="Times New Roman" w:eastAsia="Times New Roman" w:hAnsi="Times New Roman"/>
          <w:sz w:val="18"/>
          <w:szCs w:val="18"/>
          <w:color w:val="auto"/>
        </w:rPr>
        <w:t xml:space="preserve"> of this Form 10-Q, as well as with the audited consolidated financial statements and notes for the year ended December 31, 2024, included in our Form 10-K filed with the SEC on March 17, 2025 (the “Form 10-K”).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contains statements that we believe are, or may be considered to be, “forward-looking statements,” within the meaning of the Private Securities Litigation Reform Act of 1995, Section 27A of the Securities Act of 1933, as amended, and Section 21E of the Securities Exchange Act of 1934, as amended, with respect to the beliefs, goals, intentions, and expectations of the Company regarding revenues, earnings, earnings per share, loan production, asset quality, and capital levels, among other matters; our estimates of future costs and benefits of the actions we may take; our assessments of expected losses on loans; our assessments of interest rate and other market risks; our ability to achieve our financial and other strategic goals; and other statements that are not historical facts.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Additionally, forward–looking statements speak only as of the date they are made; the Company does not assume any duty, does not undertake, and specifically disclaims any obligation to update such forward–looking statements, whether written or oral, that may be made from time to time, whether because of new information, future events, or otherwise, except as required by law. Furthermore, because forward–looking statements are subject to assumptions and uncertainties, actual results or future events could differ, possibly materially, from those indicated in or implied by such forward-looking statements because of a variety of factors, many of which are beyond the control of the Company. Further, factors identified herein are not necessarily all of the factors that could cause the Company’s actual results, performance or achievements to differ materially from those expressed in or implied by any of the forward-looking statements. Other factors, including unknown or unpredictable factors, also could harm the Company. Accordingly, you should consider all of these risks, uncertainties and other factors carefully in evaluating all such forward-looking statements made by the Company and not place undue reliance on forward-looking statements. The risks and uncertainties that could cause actual results to differ from those described in the forward-looking statements include, but are not limited to, the following: costs or difficulties associated with newly developed or acquired operations; changes in general economic, political, or market trends (either nationally or locally in the areas in which we conduct, or will conduct, business), including inflation, changes in interest rates, market volatility and monetary fluctuations, and changes in federal government policies and practices, including the impact of the federal government shutdown that began in October 2025 and with respect to spending on industries concentrated in our market area, as well as the impact from recently announced and future tariffs on the markets we serve; increased competition; changes in consumer confidence and demand for financial services, including changes in consumer borrowing, repayment, investment, 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the effects of any cybersecurity breaches or events; and the other factors discussed in the “Risk Factors” and “Management's Discussion and Analysis of Financial Condition and Results of Operations” section of the Company's Annual Report on Form 10–K for the year ended December 31, 2024 and in Part I, Item 2. Management’s Discussion and Analysis of Financial Condition and Results of Operations and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in this Form 10-Q.</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Burke &amp; Herbert Bank &amp; Trust Company. The Company became a bank holding company when it commenced operations on October 1, 2022, following a reorganization transaction in which it acquired control of the Bank under the BHCA. This transaction was treated as an internal reorganization as all shareholders of the Bank became shareholders of the Company. The Company has no material operations other than owning the Bank. In September 2023, the Company elected to become a financial holding company under the BHCA. As a financial holding company of a Virginia state bank, the Company is subject to regulation, supervision, and examination by the Federal Reserve and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we had total consolidated assets of $7.9 billion, gross loans of $5.6 billion, total deposits of $6.4 billion, and total shareholders’ equity of $822.2 million. As of September 30, 2025, we had 829 full-time employees. None of our employees are covered by a collective bargaining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the Closing Date, Burke &amp; Herbert completed the Merger with Summit, pursuant to the August 24, 2023 Merger Agreement.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Burke &amp; Herbert through the Merger, and (ii) immediately following the Merger, SCB merged with and into the Bank, with the Bank as the surviving bank.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the Summit Series 2021 Preferred Stock issued and outstanding was converted into the right to receive a share of the newly created Burke &amp; Herbert Series 2021 Preferred Stock. Summit results of operations are included from the Closing Date forward.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and reporting policies conform to accounting principles generally accepted in the United States of America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identified several accounting policies that, due to the estimates, assumptions, and judgments inherent in those policies, are critical in understanding our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business combination and goodwill, the determination of the allowance for credit losses, and income taxes to be the accounting areas that require the most subjective or complex judgments, and as such, could be most subject to revision as new information becomes available.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and Goodwill</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acquisitions, we are required to record the assets acquired, including identified intangible assets such as core deposit intangibles, and the liabilities assumed at their respective fair values. The difference between consideration and the net fair value of assets acquired is recorded as goodwill. Management uses significant estimates and assumptions to value such items, including projected cash flows, repayment rates, default rates and losses assuming default, discount rates, and realizable collateral values. The allowance for credit losses for PCD loans is recognized within acquisition accounting. The allowance for credit losses for non-PCD assets is recognized as provision for credit losses in the same reporting period as the acquisition. Fair value adjustments are amortized or accreted into the income statement over the estimated life of the acquired assets or assumed liabilities. The purchase date valuations and any subsequent adjustments determine the amount of goodwill recognized in connection with the acquisition. The use of different assumptions could produce significantly different valuation results, which could have material positive or negative effects on our results of operations. The carrying value of goodwill recorded must be reviewed for impairment on an annual basis, as well as on an interim basis if events or changes indicate that the asset might be impaired. An impairment loss must be recognized for any excess of carrying value over fair value of the goodwill.</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determination of fair values is based on valuations using management’s assumptions of future growth rates, future attrition, discount rates, multiples of earnings or other relevant factors. In addition, we engage third party specialists to assist in the development of fair values. Preliminary estimates of fair values may be adjusted for a period of time subsequent to the acquisition date if new information is obtained about facts and circumstances that existed as of the acquisition date that, if known, would have affected the measurement of the amounts recognized as of that date. Adjustments recorded during this period are recognized in the current reporting period. Management uses various valuation methodologies to estimate the fair value of these assets and liabilities, and often involves a significant degree of judgment, particularly when liquid markets do not exist for the particular item being valued. Examples of such items include loans, deposits, identifiable intangible assets, and certain other assets and liabilities.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these factors, as well as downturns in economic or business conditions, could have a significant adverse impact on the carrying value of assets, including goodwill and liabilities, which could result in impairment losses affecting our financial statements as a whole and our banking subsidiary in which the goodwill resides.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all expected credit losses for financial assets held at the reporting date based on historical experience, current conditions, and projections including reasonable and supportable, reversion, and post-reversion forecasts. It is a valuation account that is deducted from the financial assets’ amortized cost basis to present the net amount expected to be collected on the financial asset. Financial assets are charged-off against the allowance when management believes the uncollectibility of a financial asset is confirmed. Expected recoveries do not exceed the aggregate of amounts previously charged-off and expected to be charged-off.</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 allowance balance using relevant available information from internal and external sources. Historical credit loss experience provides the basis for the estimation of expected credit losses; adjustments to historical loss information are made for differences in current loan-specific risk characteristics, such as differences in underwriting standards, portfolio mix, and delinquency levels, as well as for changes in environmental conditions, such as changes in unemployment rates, property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values, or other relevant factors. The model methodology used for funded credits, along with taking into consideration the probability of drawdowns or funding on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using an internally developed model that produces an estimate of the allowance for credit losses as the lifetime expected credit losses of the loan portfolio. This model uses a remaining useful life or WARM method within defined-contractual terms by federal call codes. The model forecasts net charge-off rates by call codes using ordinary least squares (“OLS”) regression models that use macroeconomic variables to forecast the Company’s and peer banks’ net charge-off rates. These models are used to produce reasonable and supportable forecasts of net charge-off rates. The macroeconomic variables utilized by the Company include variables that meet defined criteria in forecasting credit losses for our loan portfolio. These variables include, but are not limited to, unemployment rates, housing and commercial real estate prices, gross domestic product levels, equity market conditions or interest rates, as well as other variables that are portfolio-specific, such as those pertaining to commercial real estate or to residential loan portfolios. The Company sources the macroeconomic variables and the macroeconomic variable forecasts that it uses in its ACL model from the Standard &amp; Poor’s Global Market Intelligence and from CoStar Group.</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currently has set an initial reasonable and supportable period of two years with a subsequent straight-line loss-rate reversion for the following four quarters before then utilizing historical average loss rates in remaining periods of the modeled contractual terms. 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w:t>
      </w:r>
    </w:p>
    <w:p>
      <w:pPr>
        <w:spacing w:after="0" w:line="6" w:lineRule="exact"/>
        <w:rPr>
          <w:sz w:val="20"/>
          <w:szCs w:val="20"/>
          <w:color w:val="auto"/>
        </w:rPr>
      </w:pPr>
    </w:p>
    <w:p>
      <w:pPr>
        <w:jc w:val="both"/>
        <w:ind w:firstLine="8"/>
        <w:spacing w:after="0" w:line="271" w:lineRule="auto"/>
        <w:tabs>
          <w:tab w:leader="none" w:pos="32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underwriting and delinquency trends. The qualitative factors applied at September 30, 2025,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Management reviews supplemental data sources including historical net charge-off rates and data measuring other specific credit outcomes from its systems of record in supporting qualitative factors. However, qualitative factor evaluations are inherently imprecise and require significant management judgment.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positions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Note 8 — Income Taxes, in Notes to the December 31, 2024, Consolidated Financial Statements of the Company for additional information.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4, 2025, the President signed H.R. 1, the “One Big Beautiful Bill Act,” into law. The legislation includes several changes to federal tax law that generally allow for more favorable deductibility of certain business expenses beginning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2025, including, reinstatement of 100% bonus depreciation, and more favorable rules for determining the limitation on business interest expense. The Company is currently evaluating the impact on future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Sector Concentration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commercial real estate (“CRE”) sector has been impacted significantly by rising interest rates and rising vacancies, increasing the prospect of default that borrowers may face due to the record amount of upcoming maturities. In addition, the office market continues to struggle with fewer employees in the office after the COVID-19 pandemic. The Bank continues to monitor its commercial real estate portfolio by reviewing various credit risk and concentration reports. However, in late 2024 interest rates began falling, and in January 2025 the U.S. president signed an executive order requiring all federal employees to return to offices on a five-day-a-week basis. Additionally, several large private-sector employers instituted similar return to office mandates in 2024. The start of the U.S. federal government’s new fiscal year began October 1, 2025, without the passage of Appropriation Acts or a Continuing Resolution (“CR”) and the government began its shutdown procedures, which included furloughing government civilian employees. It is unclear at this time when either a CR or Appropriations Act will be enacted. Notwithstanding the government shutdown, we would expect the federal return to office mandate, combined with mandates at private sector employers and decreasing interest rates could help the region’s CRE office market; however, we cannot be certain that this would be the case or the degree to which such mandates may improve the CRE sector in our markets in 2025, if at all. Additionally, recent reductions (including during the government shutdown), and possible further reductions, in the federal workforce, combined with general economic uncertainty as a result of federal trade and other policies could continue to challenge the economy and impact the CRE sector. The Bank’s exposure to CRE at September 30, 2025, was $2.8 billion, or 50.4%, of its gross loan portfolio, not including owner-occupied commercial real estate and acquisition, construction &amp; development. Commercial real estate as a percent of total assets at September 30, 2025, was 35.5%, not including owner-occupied commercial real estate and acquisition, construction &amp; development. Including owner-occupied commercial real estate and acquisition, construction &amp; development, total exposure was at $3.8 billion, or 68.1%, of our total gross loans and 48.1% of total assets at September 30, 2025.</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balances by portfolio segment amortized cost (in thousands) and by percentage of our total gross loan portfolio at September 30, 2025,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3"/>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1"/>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2,804,175</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50.4 %</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612,560</w:t>
            </w:r>
          </w:p>
        </w:tc>
        <w:tc>
          <w:tcPr>
            <w:tcW w:w="100" w:type="dxa"/>
            <w:vAlign w:val="bottom"/>
          </w:tcPr>
          <w:p>
            <w:pPr>
              <w:spacing w:after="0"/>
              <w:rPr>
                <w:sz w:val="18"/>
                <w:szCs w:val="18"/>
                <w:color w:val="auto"/>
              </w:rPr>
            </w:pPr>
          </w:p>
        </w:tc>
        <w:tc>
          <w:tcPr>
            <w:tcW w:w="2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375,027</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534,731</w:t>
            </w:r>
          </w:p>
        </w:tc>
        <w:tc>
          <w:tcPr>
            <w:tcW w:w="100" w:type="dxa"/>
            <w:vAlign w:val="bottom"/>
          </w:tcPr>
          <w:p>
            <w:pPr>
              <w:spacing w:after="0"/>
              <w:rPr>
                <w:sz w:val="18"/>
                <w:szCs w:val="18"/>
                <w:color w:val="auto"/>
              </w:rPr>
            </w:pPr>
          </w:p>
        </w:tc>
        <w:tc>
          <w:tcPr>
            <w:tcW w:w="2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1,127,952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w:t>
            </w:r>
          </w:p>
        </w:tc>
      </w:tr>
      <w:tr>
        <w:trPr>
          <w:trHeight w:val="21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105,034</w:t>
            </w:r>
          </w:p>
        </w:tc>
        <w:tc>
          <w:tcPr>
            <w:tcW w:w="1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loans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5,559,479</w:t>
            </w:r>
          </w:p>
        </w:tc>
        <w:tc>
          <w:tcPr>
            <w:tcW w:w="100" w:type="dxa"/>
            <w:vAlign w:val="bottom"/>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Monitoring of the CRE concentration is performed at both the loan level and at the portfolio level. The Credit Risk Management team provides management and the Board with periodic reports on the credit portfolio, which include the CRE portfolio (including owner-occupied CRE and acquisition, construction &amp; development loans). These reports provide an assessment of asset quality and risk rating migration and monitor concentrations against the board approved concentration limits (including sub-limits).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present the Bank’s commercial real estate, owner-occupied commercial real estate, and acquisition, construction &amp; development portfolios by collateral type and geographic location as of September 30, 2025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gridSpan w:val="14"/>
          </w:tcPr>
          <w:p>
            <w:pPr>
              <w:ind w:left="420"/>
              <w:spacing w:after="0"/>
              <w:rPr>
                <w:sz w:val="20"/>
                <w:szCs w:val="20"/>
                <w:color w:val="auto"/>
              </w:rPr>
            </w:pPr>
            <w:r>
              <w:rPr>
                <w:rFonts w:ascii="Times New Roman" w:cs="Times New Roman" w:eastAsia="Times New Roman" w:hAnsi="Times New Roman"/>
                <w:sz w:val="16"/>
                <w:szCs w:val="16"/>
                <w:b w:val="1"/>
                <w:bCs w:val="1"/>
                <w:color w:val="auto"/>
              </w:rPr>
              <w:t>Commercial Real Estate by Collateral Type and Geographic Location</w:t>
            </w:r>
          </w:p>
        </w:tc>
        <w:tc>
          <w:tcPr>
            <w:tcW w:w="1360" w:type="dxa"/>
            <w:vAlign w:val="bottom"/>
            <w:tcBorders>
              <w:bottom w:val="single" w:sz="8" w:color="auto"/>
            </w:tcBorders>
          </w:tcPr>
          <w:p>
            <w:pPr>
              <w:spacing w:after="0"/>
              <w:rPr>
                <w:sz w:val="18"/>
                <w:szCs w:val="18"/>
                <w:color w:val="auto"/>
              </w:rPr>
            </w:pPr>
          </w:p>
        </w:tc>
      </w:tr>
      <w:tr>
        <w:trPr>
          <w:trHeight w:val="211"/>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WV</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283,859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593,478</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478,320</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17.1</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500,602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Hotels/Motels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395,189</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304,575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118,659</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Nursing-Assisted Living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112,046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38,240</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147,889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234,967</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r>
      <w:tr>
        <w:trPr>
          <w:trHeight w:val="20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1,345,988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360,099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2,804,175</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80"/>
              <w:spacing w:after="0"/>
              <w:rPr>
                <w:sz w:val="20"/>
                <w:szCs w:val="20"/>
                <w:color w:val="auto"/>
              </w:rPr>
            </w:pPr>
            <w:r>
              <w:rPr>
                <w:rFonts w:ascii="Times New Roman" w:cs="Times New Roman" w:eastAsia="Times New Roman" w:hAnsi="Times New Roman"/>
                <w:sz w:val="16"/>
                <w:szCs w:val="16"/>
                <w:b w:val="1"/>
                <w:bCs w:val="1"/>
                <w:color w:val="auto"/>
              </w:rPr>
              <w:t>Owner-Occupied Commercial Real Estate by Collateral Type and Geographic Location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WV</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121,704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Churches/Religious Organizations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65"/>
        </w:trPr>
        <w:tc>
          <w:tcPr>
            <w:tcW w:w="2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Coal, oil, gas, and natural resource</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extraction</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School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165,511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289,115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136,219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94,297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91,664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612,560</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60"/>
              <w:spacing w:after="0"/>
              <w:rPr>
                <w:sz w:val="20"/>
                <w:szCs w:val="20"/>
                <w:color w:val="auto"/>
              </w:rPr>
            </w:pPr>
            <w:r>
              <w:rPr>
                <w:rFonts w:ascii="Times New Roman" w:cs="Times New Roman" w:eastAsia="Times New Roman" w:hAnsi="Times New Roman"/>
                <w:sz w:val="16"/>
                <w:szCs w:val="16"/>
                <w:b w:val="1"/>
                <w:bCs w:val="1"/>
                <w:color w:val="auto"/>
              </w:rPr>
              <w:t>Acquisition, Construction &amp; Development by Collateral Type and Geographic Location</w:t>
            </w:r>
          </w:p>
        </w:tc>
        <w:tc>
          <w:tcPr>
            <w:tcW w:w="1160" w:type="dxa"/>
            <w:vAlign w:val="bottom"/>
            <w:tcBorders>
              <w:bottom w:val="single" w:sz="8" w:color="auto"/>
            </w:tcBorders>
          </w:tcPr>
          <w:p>
            <w:pPr>
              <w:spacing w:after="0"/>
              <w:rPr>
                <w:sz w:val="18"/>
                <w:szCs w:val="18"/>
                <w:color w:val="auto"/>
              </w:rPr>
            </w:pPr>
          </w:p>
        </w:tc>
      </w:tr>
      <w:tr>
        <w:trPr>
          <w:trHeight w:val="211"/>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WV</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170,166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33.0</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For-Sale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157,370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33,905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63,357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56,424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375,027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3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 loans are monitored through various processes that include payment monitoring, financial reporting, and covenant compliance monitoring, and annual reviews for larger relationships. Furthermore, construction loans are monitored 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acquisition, construction &amp; development loans. For each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management reviews the adequacy of the construction budget, adequacy of the interest reserve, pace of construction, and review of any loan covenants.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Bank believes its underwriting and monitoring standards for commercial real estate loans are sufficient to evaluate its loan portfolio and keep it from incurring significant losses. The largest concentration of the Bank’s commercial real estate loans are in Virginia (approximately 47.3%), and the Bank does not have significant exposure to any economic areas of the country that are underperforming the national economy. Additionally, the Bank’s overall exposure to the “Office Building / Condo” collateral type is 16.5% of total commercial real estate loans, including owner-occupied commercial real estate and acquisition, construction &amp; 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Management believes that the current sources of liquidity are adequate to meet the Company’s requirements and plans for continued growth. See </w:t>
      </w:r>
      <w:r>
        <w:rPr>
          <w:rFonts w:ascii="Times New Roman" w:cs="Times New Roman" w:eastAsia="Times New Roman" w:hAnsi="Times New Roman"/>
          <w:sz w:val="18"/>
          <w:szCs w:val="18"/>
          <w:u w:val="single" w:color="auto"/>
          <w:color w:val="0000FF"/>
        </w:rPr>
        <w:t>Note 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Borrowed 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000000"/>
        </w:rPr>
        <w:t>, in Notes to Consolidated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438" w:lineRule="auto"/>
        <w:rPr>
          <w:sz w:val="20"/>
          <w:szCs w:val="20"/>
          <w:color w:val="auto"/>
        </w:rPr>
      </w:pPr>
      <w:r>
        <w:rPr>
          <w:rFonts w:ascii="Times New Roman" w:cs="Times New Roman" w:eastAsia="Times New Roman" w:hAnsi="Times New Roman"/>
          <w:sz w:val="18"/>
          <w:szCs w:val="18"/>
          <w:color w:val="auto"/>
        </w:rPr>
        <w:t xml:space="preserve">Financial Statements for additional information regarding outstanding balances of sources of liquidity and contractual commitments and obligations. </w:t>
      </w:r>
      <w:r>
        <w:rPr>
          <w:rFonts w:ascii="Times New Roman" w:cs="Times New Roman" w:eastAsia="Times New Roman" w:hAnsi="Times New Roman"/>
          <w:sz w:val="18"/>
          <w:szCs w:val="18"/>
          <w:b w:val="1"/>
          <w:bCs w:val="1"/>
          <w:i w:val="1"/>
          <w:iCs w:val="1"/>
          <w:color w:val="auto"/>
        </w:rPr>
        <w:t>Capital</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Applicable capital rules under the Basel III Framework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Framework also provides for a “counter-cyclical capital buffer” that is applicable to only certain covered institutions and does not have any current applicability to the Company or the Bank.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2025, and December 31, 2024, the Bank complied with all regulatory capital standards and qualifies as “well capitalized.” </w:t>
      </w:r>
      <w:r>
        <w:rPr>
          <w:rFonts w:ascii="Times New Roman" w:cs="Times New Roman" w:eastAsia="Times New Roman" w:hAnsi="Times New Roman"/>
          <w:sz w:val="18"/>
          <w:szCs w:val="18"/>
          <w:u w:val="single" w:color="auto"/>
          <w:color w:val="0000FF"/>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Regulatory Capital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contains additional discussion and analysis regarding the Company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Bank’s regulatory capital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Financial Performance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detail elsewhere in this Report as well as with the audited consolidated financial statements and notes for the year ended December 31, 2024, included in our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capital and liquidity, including: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and, over time, grow our deposit base as a low-cost stable funding source,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and capital management to meet evolving regulatory capital, capital planning, stress testing, and liquidity standards,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take within the capital and other financial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credit risk and interest rate risk in our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attract customers and compete with other banks and financial services providers in our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implement strategic business objectives within the changing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and regulatory-related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critical accounting estimates and 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operational risks related to new products and services, changes in processes and procedures, or the implementation of new technology,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volatility in markets, including the effects of pandemics, wars, political conflicts, political instability and uncertainty both in the U.S. and abroad, government spending policies, trade policies, including tariffs and tariff counter-measures, and other barriers to trade (including the threat of such actions), the availability of labor, supply chain volatility, and any actions taken to mitigate and manage such impacts;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or inactions (including assumptions about potential actions or inactions) by the Federal Reserve, U.S. Treasury, and other government agencies, including those that impact money supply and market interest rates and inflation;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direction, timing, and magnitude of movement in interest rates and the shape of the interest rate yield curve;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functioning and other performance of and availability of liquidity in U.S. and global financial markets, including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changes in federal, state, and local governmental policy, including on the regulatory landscape, capital markets, employment and unemployment levels in our markets, taxes, infrastructure spending, and social programs;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 on our business and performance, including indirectly through impacts on our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 credit spreads on asset valuations;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counterparties, and issuers to perform in accordance with contractual terms and the resulting impact on our asset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demand, utilization of credit commitments, and standby letters of credit;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customers and changes in customer behavior due to changing business and economic conditions or regulatory or legislative initiatives.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Risks related to these items, where material to the Company’s business, are discussed in the applicable sections of this Management’s Discussion and Analysis of Financial Condition and Results of Operation. For additional information on the risks we face, see </w:t>
      </w:r>
      <w:r>
        <w:rPr>
          <w:rFonts w:ascii="Times New Roman" w:cs="Times New Roman" w:eastAsia="Times New Roman" w:hAnsi="Times New Roman"/>
          <w:sz w:val="18"/>
          <w:szCs w:val="18"/>
          <w:u w:val="single" w:color="auto"/>
          <w:color w:val="0000FF"/>
        </w:rPr>
        <w:t>Part II, Item 1A. - 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historical consolidated financial data as of the dates and for the periods shown. The selected balance sheet data as of September 30, 2025, and September 30, 2024, and the selected income statement data for the three and nine months ended September 30, 2025, and September 30, 2024, have been derived from our consolidated financial statements included elsewhere in this Form 10-Q and in other filings we have submitted with the SEC and should be read in conjunction with the other information contained in this Form 10-Q.</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of the Three and Nine Months Ended</w:t>
            </w:r>
          </w:p>
        </w:tc>
      </w:tr>
      <w:tr>
        <w:trPr>
          <w:trHeight w:val="212"/>
        </w:trPr>
        <w:tc>
          <w:tcPr>
            <w:tcW w:w="8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r>
      <w:tr>
        <w:trPr>
          <w:trHeight w:val="21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ratios, share and per share data)</w:t>
            </w:r>
          </w:p>
        </w:tc>
        <w:tc>
          <w:tcPr>
            <w:tcW w:w="120" w:type="dxa"/>
            <w:vAlign w:val="bottom"/>
          </w:tcPr>
          <w:p>
            <w:pPr>
              <w:spacing w:after="0"/>
              <w:rPr>
                <w:sz w:val="18"/>
                <w:szCs w:val="18"/>
                <w:color w:val="auto"/>
              </w:rPr>
            </w:pPr>
          </w:p>
        </w:tc>
        <w:tc>
          <w:tcPr>
            <w:tcW w:w="13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Condition Data:</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7,889,037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7,864,913</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131,713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291,765</w:t>
            </w:r>
          </w:p>
        </w:tc>
      </w:tr>
      <w:tr>
        <w:trPr>
          <w:trHeight w:val="21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 at fair value</w:t>
            </w:r>
          </w:p>
        </w:tc>
        <w:tc>
          <w:tcPr>
            <w:tcW w:w="1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1,598,407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1,436,431</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5,491,875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5,506,220</w:t>
            </w:r>
          </w:p>
        </w:tc>
      </w:tr>
      <w:tr>
        <w:trPr>
          <w:trHeight w:val="21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182,980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182,380</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136,117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134,770</w:t>
            </w:r>
          </w:p>
        </w:tc>
      </w:tr>
      <w:tr>
        <w:trPr>
          <w:trHeight w:val="21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6,412,052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6,600,825</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320,163</w:t>
            </w:r>
          </w:p>
        </w:tc>
      </w:tr>
      <w:tr>
        <w:trPr>
          <w:trHeight w:val="21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822,231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738,059</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 equity</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811,818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727,646</w:t>
            </w: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9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w:t>
            </w:r>
          </w:p>
        </w:tc>
        <w:tc>
          <w:tcPr>
            <w:tcW w:w="200" w:type="dxa"/>
            <w:vAlign w:val="bottom"/>
            <w:shd w:val="clear" w:color="auto" w:fill="CCEEFF"/>
          </w:tcPr>
          <w:p>
            <w:pPr>
              <w:spacing w:after="0"/>
              <w:rPr>
                <w:sz w:val="16"/>
                <w:szCs w:val="16"/>
                <w:color w:val="auto"/>
              </w:rPr>
            </w:pPr>
          </w:p>
        </w:tc>
        <w:tc>
          <w:tcPr>
            <w:tcW w:w="2820" w:type="dxa"/>
            <w:vAlign w:val="bottom"/>
            <w:gridSpan w:val="4"/>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or for the Nine Months Ended</w:t>
            </w:r>
          </w:p>
        </w:tc>
      </w:tr>
      <w:tr>
        <w:trPr>
          <w:trHeight w:val="214"/>
        </w:trPr>
        <w:tc>
          <w:tcPr>
            <w:tcW w:w="5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shd w:val="clear" w:color="auto" w:fill="CCEEFF"/>
          </w:tcPr>
          <w:p>
            <w:pPr>
              <w:spacing w:after="0"/>
              <w:rPr>
                <w:sz w:val="18"/>
                <w:szCs w:val="18"/>
                <w:color w:val="auto"/>
              </w:rPr>
            </w:pPr>
          </w:p>
        </w:tc>
      </w:tr>
      <w:tr>
        <w:trPr>
          <w:trHeight w:val="209"/>
        </w:trPr>
        <w:tc>
          <w:tcPr>
            <w:tcW w:w="5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111,209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118,526</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333,853</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253,368</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37,439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45,347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112,863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98,293</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73,770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73,179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220,990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155,075</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(recapture) for credit losses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23,387</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34,485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24,375</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48,092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50,826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147,061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136,423</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37,001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107,027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19,640</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19,965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3,725</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applicable to common shares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29,739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27,397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86,387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15,465</w:t>
            </w: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basic</w:t>
            </w:r>
          </w:p>
        </w:tc>
        <w:tc>
          <w:tcPr>
            <w:tcW w:w="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15,021,852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14,944,962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14,999,230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11,529,953</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diluted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15,112,413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15,040,145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15,036,905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11,591,783</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outstanding</w:t>
            </w:r>
          </w:p>
        </w:tc>
        <w:tc>
          <w:tcPr>
            <w:tcW w:w="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15,028,524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14,963,003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15,028,524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14,963,003</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w:t>
            </w:r>
          </w:p>
        </w:tc>
      </w:tr>
      <w:tr>
        <w:trPr>
          <w:trHeight w:val="216"/>
        </w:trPr>
        <w:tc>
          <w:tcPr>
            <w:tcW w:w="51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stock dividend payout ratio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119.55 %</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common share (at period end)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0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or for the Nine Months Ended</w:t>
            </w:r>
          </w:p>
        </w:tc>
      </w:tr>
      <w:tr>
        <w:trPr>
          <w:trHeight w:val="214"/>
        </w:trPr>
        <w:tc>
          <w:tcPr>
            <w:tcW w:w="5200" w:type="dxa"/>
            <w:vAlign w:val="bottom"/>
          </w:tcPr>
          <w:p>
            <w:pPr>
              <w:spacing w:after="0"/>
              <w:rPr>
                <w:sz w:val="18"/>
                <w:szCs w:val="18"/>
                <w:color w:val="auto"/>
              </w:rPr>
            </w:pPr>
          </w:p>
        </w:tc>
        <w:tc>
          <w:tcPr>
            <w:tcW w:w="204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bottom w:val="single" w:sz="8" w:color="auto"/>
            </w:tcBorders>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0.35 %</w:t>
            </w:r>
          </w:p>
        </w:tc>
      </w:tr>
      <w:tr>
        <w:trPr>
          <w:trHeight w:val="219"/>
        </w:trPr>
        <w:tc>
          <w:tcPr>
            <w:tcW w:w="52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Return on average equity </w:t>
            </w:r>
            <w:r>
              <w:rPr>
                <w:rFonts w:ascii="Times New Roman" w:cs="Times New Roman" w:eastAsia="Times New Roman" w:hAnsi="Times New Roman"/>
                <w:sz w:val="21"/>
                <w:szCs w:val="21"/>
                <w:color w:val="auto"/>
                <w:vertAlign w:val="superscript"/>
              </w:rPr>
              <w:t>(2)</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3.90</w:t>
            </w:r>
          </w:p>
        </w:tc>
      </w:tr>
      <w:tr>
        <w:trPr>
          <w:trHeight w:val="216"/>
        </w:trPr>
        <w:tc>
          <w:tcPr>
            <w:tcW w:w="52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spread </w:t>
            </w:r>
            <w:r>
              <w:rPr>
                <w:rFonts w:ascii="Times New Roman" w:cs="Times New Roman" w:eastAsia="Times New Roman" w:hAnsi="Times New Roman"/>
                <w:sz w:val="21"/>
                <w:szCs w:val="21"/>
                <w:color w:val="auto"/>
                <w:vertAlign w:val="superscript"/>
              </w:rPr>
              <w:t>(3)</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3.06</w:t>
            </w:r>
          </w:p>
        </w:tc>
      </w:tr>
      <w:tr>
        <w:trPr>
          <w:trHeight w:val="216"/>
        </w:trPr>
        <w:tc>
          <w:tcPr>
            <w:tcW w:w="52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(4)</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r>
      <w:tr>
        <w:trPr>
          <w:trHeight w:val="216"/>
        </w:trPr>
        <w:tc>
          <w:tcPr>
            <w:tcW w:w="52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1"/>
                <w:szCs w:val="21"/>
                <w:color w:val="auto"/>
                <w:vertAlign w:val="superscript"/>
              </w:rPr>
              <w:t>(5)</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60.66</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76.02</w:t>
            </w:r>
          </w:p>
        </w:tc>
      </w:tr>
      <w:tr>
        <w:trPr>
          <w:trHeight w:val="270"/>
        </w:trPr>
        <w:tc>
          <w:tcPr>
            <w:tcW w:w="5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(CET 1) capital to risk-weighted assets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11.40 %</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 to average assets (leverage ratio)</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9.66</w:t>
            </w:r>
          </w:p>
        </w:tc>
      </w:tr>
      <w:tr>
        <w:trPr>
          <w:trHeight w:val="273"/>
        </w:trPr>
        <w:tc>
          <w:tcPr>
            <w:tcW w:w="5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coverage ratio</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189.05</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189.05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 to average outstanding loans during the period</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loans as a percentage of total loans</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0.64</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0.64</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assets as a percentage of total assets</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0.49</w:t>
            </w:r>
          </w:p>
        </w:tc>
      </w:tr>
      <w:tr>
        <w:trPr>
          <w:trHeight w:val="270"/>
        </w:trPr>
        <w:tc>
          <w:tcPr>
            <w:tcW w:w="5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full-service branches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full-time equivalent employees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r>
    </w:tbl>
    <w:p>
      <w:pPr>
        <w:spacing w:after="0" w:line="247" w:lineRule="exact"/>
        <w:rPr>
          <w:sz w:val="20"/>
          <w:szCs w:val="20"/>
          <w:color w:val="auto"/>
        </w:rPr>
      </w:pPr>
    </w:p>
    <w:p>
      <w:pPr>
        <w:ind w:left="540" w:hanging="208"/>
        <w:spacing w:after="0"/>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payout ratio represents per share dividends declared divided by diluted earnings per share.</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equity computed using total average equity at period-end.</w:t>
      </w:r>
    </w:p>
    <w:p>
      <w:pPr>
        <w:spacing w:after="0" w:line="122" w:lineRule="exact"/>
        <w:rPr>
          <w:rFonts w:ascii="Times New Roman" w:cs="Times New Roman" w:eastAsia="Times New Roman" w:hAnsi="Times New Roman"/>
          <w:sz w:val="14"/>
          <w:szCs w:val="14"/>
          <w:color w:val="auto"/>
        </w:rPr>
      </w:pPr>
    </w:p>
    <w:p>
      <w:pPr>
        <w:ind w:left="340" w:hanging="8"/>
        <w:spacing w:after="0" w:line="282" w:lineRule="auto"/>
        <w:tabs>
          <w:tab w:leader="none" w:pos="54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67"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represents non-interest expense as a percentage of the sum of net interest income and non-interest income.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9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Nine Months Ended September 30, 2025, and September 30, 2024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applicable to common shares for the nine months ended September 30, 2025, was $86.4 million, compared to net income applicable to common shares of $15.5 million during the nine months ended September 30, 2024. The $70.9 million increase was due to results that reflect a full nine months of combined income after the Merger completion for the nine months ended September 30, 2025, compared to the nine months ended September 30, 2024.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income increased by $65.9 million to $221.0 million for the nine months ended September 30, 2025, compared to $155.1 million for the nine months ended September 30, 2024. The main driver for this increase was results that reflect a full nine months of combined income after the Merger.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the Company recorded credit provision expense of $1.4 million compared to a provision of $23.4 million for the nine months ended September 30, 2024. For the nine months ended September 30, 2024, the Company recognized a one-time CECL Day 2 provision for non-PCD assets acquired in the Merger, which resulted in a higher credit provision expense when compared to the nine months ended September 30, 2025.</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increased by $10.1 million, or 41.5%, to $34.5 million for the nine months ended September 30, 2025, as compared to $24.4 million for the nine months ended September 30, 2024. All categories of non-interest income except net gains on securities increased due to results that reflect a full nine months of combined income after the Merger for the nine months ended September 30, 2025, compared to the nine months ended September 30, 2024.</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expense increased by $10.6 million, or 7.8%, to $147.1 million for the nine months ended September 30, 2025, as compared to $136.4 million for the nine months ended September 30, 2024. The increase was primarily due to results that reflect a full nine months of combined operations after the Merger but reflect some continued operating efficiency gains, as a result of the merger, for the nine months ended September 30, 2025, compared to the nine months ended September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income totaled $221.0 million for the nine months ended September 30, 2025, compared to $155.1 million for the nine months ended September 30, 2024. The increase in net interest income was primarily driven by results that reflect a full nine months of combined income after the Merger as well as higher rates on interest-earning assets, lower rates on interest-bearing liabilities, and higher accretion income, as a result of the Merger. Accretion income associated with acquired loans totaled $31.2 million for the nine months ended September 30, 2025, compared to $28.8 million for the nine months ended September 30, 2024. Amortization expense associated with fair value marks for time deposits, subordinated debt, and trust preferred securities totaled $5.0 million for the nine months ended September 30, 2025, compared to $6.3 million the nine months ended September 30, 2024.</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tax-adjusted net interest margin was 4.13% for the nine months ended September 30, 2025, compared to 3.78% for the nine months ended September 30, 2024. The increase in tax-adjusted net interest margin was primarily driven by results that reflect a full nine months of combined income after the Merger as well as higher rates on interest-earning assets, lower rates on interest-bearing liabilities, and higher accretion income, as a result of the Merger.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yield for the taxable loan portfolio was 6.87% for the nine months ended September 30, 2025, compared to 7.01% for the nine months ended September 30, 2024. The decrease was primarily the result of lower accretion income and an increase in the average balance of non-accrual loans.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3.89% for the nine months ended September 30, 2025, compared to 3.81% for the nine months ended September 30, 2024. The increase was mainly due to higher yields in our investment portfolio.</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interest-bearing deposits decreased to 2.44% during the nine months ended September 30, 2025, from 2.86% during the nine months ended September 30, 2024. The decrease was primarily due to lower market interest rates on deposit products reflective of decreases in the Federal Funds Rate and other market rates.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yield on our short-term borrowings for the nine months ended September 30, 2025, was 3.88%, compared to 4.42% for the nine months ended September 30, 2024. The decrease was due to decreases in the Federal Funds Rate and other short-term market rates and the addition of derivative swaps that decreased our cost of borrowing. The yield on our subordinated debt assumed in the Merger was 9.65% for the nine months ended September 30, 2025, compared to 10.21% for the nine months ended September 30, 2024.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nine months ended September 30, 2025, and September 30, 2024,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180" w:type="dxa"/>
            <w:vAlign w:val="bottom"/>
          </w:tcPr>
          <w:p>
            <w:pPr>
              <w:spacing w:after="0"/>
              <w:rPr>
                <w:sz w:val="13"/>
                <w:szCs w:val="13"/>
                <w:color w:val="auto"/>
              </w:rPr>
            </w:pPr>
          </w:p>
        </w:tc>
        <w:tc>
          <w:tcPr>
            <w:tcW w:w="126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76"/>
        </w:trPr>
        <w:tc>
          <w:tcPr>
            <w:tcW w:w="25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Loans, gross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5,620,915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288,966</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6.87 %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4,068,804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7.01 %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5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loans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5,624,681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289,138</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4,071,261</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213,503</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54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104,168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52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 AFS securities and other</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1,044,260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30,057</w:t>
            </w:r>
          </w:p>
        </w:tc>
        <w:tc>
          <w:tcPr>
            <w:tcW w:w="15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991,723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30,096</w:t>
            </w:r>
          </w:p>
        </w:tc>
        <w:tc>
          <w:tcPr>
            <w:tcW w:w="15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AFS securities </w:t>
            </w:r>
            <w:r>
              <w:rPr>
                <w:rFonts w:ascii="Times New Roman" w:cs="Times New Roman" w:eastAsia="Times New Roman" w:hAnsi="Times New Roman"/>
                <w:sz w:val="21"/>
                <w:szCs w:val="21"/>
                <w:color w:val="auto"/>
                <w:vertAlign w:val="superscript"/>
              </w:rPr>
              <w:t>(3)(4)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15,277</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8,928</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1,559,645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3.89</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1,367,485</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39,024</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7,258,735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337,097</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5,542,914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255,265</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582,280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430,892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5,973,806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1,354,074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1,137,182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2,244,872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36,657</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2.18 %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1,410,111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1,647,448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24,857</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16,336</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31,054</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1,072,861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36,639</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5,079,420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92,568</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3,860,614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82,745</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6,433,494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92,568</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4,997,796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82,745</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19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borrowings and 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12,088</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debt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9.65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10.21</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5,609,393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112,863</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4,250,889</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98,293</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770,684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529,374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5,973,806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 income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224,234</w:t>
            </w:r>
          </w:p>
        </w:tc>
        <w:tc>
          <w:tcPr>
            <w:tcW w:w="10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3.52 %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156,972</w:t>
            </w:r>
          </w:p>
        </w:tc>
        <w:tc>
          <w:tcPr>
            <w:tcW w:w="8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spread </w:t>
            </w:r>
            <w:r>
              <w:rPr>
                <w:rFonts w:ascii="Times New Roman" w:cs="Times New Roman" w:eastAsia="Times New Roman" w:hAnsi="Times New Roman"/>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 margin</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4.13 %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3.78 %</w:t>
            </w:r>
          </w:p>
        </w:tc>
        <w:tc>
          <w:tcPr>
            <w:tcW w:w="0" w:type="dxa"/>
            <w:vAlign w:val="bottom"/>
          </w:tcPr>
          <w:p>
            <w:pPr>
              <w:spacing w:after="0"/>
              <w:rPr>
                <w:sz w:val="1"/>
                <w:szCs w:val="1"/>
                <w:color w:val="auto"/>
              </w:rPr>
            </w:pPr>
          </w:p>
        </w:tc>
      </w:tr>
      <w:tr>
        <w:trPr>
          <w:trHeight w:val="108"/>
        </w:trPr>
        <w:tc>
          <w:tcPr>
            <w:tcW w:w="2560" w:type="dxa"/>
            <w:vAlign w:val="bottom"/>
          </w:tcPr>
          <w:p>
            <w:pPr>
              <w:ind w:left="180"/>
              <w:spacing w:after="0" w:line="108" w:lineRule="exact"/>
              <w:rPr>
                <w:sz w:val="20"/>
                <w:szCs w:val="20"/>
                <w:color w:val="auto"/>
              </w:rPr>
            </w:pPr>
            <w:r>
              <w:rPr>
                <w:rFonts w:ascii="Times New Roman" w:cs="Times New Roman" w:eastAsia="Times New Roman" w:hAnsi="Times New Roman"/>
                <w:sz w:val="11"/>
                <w:szCs w:val="11"/>
                <w:color w:val="auto"/>
              </w:rPr>
              <w:t>(6)</w:t>
            </w: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220,990</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155,075</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fair value of investment securities.</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122"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yield of interest-bearing liabilities for the period.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FTE net interest income as a percent of average interest-earning assets for the period.</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FTE net interest income by total average earning assets. Net interest income, on an FTE basis, is a non-GAAP financial measure that the Company believes provides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9"/>
                <w:szCs w:val="19"/>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213,400</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Taxable AFS securities and other securities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29,949</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AFS securities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7,052</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w:t>
            </w: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253,368</w:t>
            </w:r>
          </w:p>
        </w:tc>
      </w:t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82,745</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10,806</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98,293</w:t>
            </w:r>
          </w:p>
        </w:tc>
      </w:tr>
      <w:tr>
        <w:trPr>
          <w:trHeight w:val="199"/>
        </w:trPr>
        <w:tc>
          <w:tcPr>
            <w:tcW w:w="7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155,075</w:t>
            </w:r>
          </w:p>
        </w:tc>
      </w:tr>
      <w:tr>
        <w:trPr>
          <w:trHeight w:val="253"/>
        </w:trPr>
        <w:tc>
          <w:tcPr>
            <w:tcW w:w="7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w:t>
            </w: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tax benefit on tax-exempt interest income (1)</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156,972</w:t>
            </w:r>
          </w:p>
        </w:tc>
      </w:tr>
    </w:tbl>
    <w:p>
      <w:pPr>
        <w:spacing w:after="0" w:line="16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Yield/Rate and 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nine months ended September 30, 2025, and September 30, 2024, are annualized using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 compared to</w:t>
      </w: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Yield / Rate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6"/>
        </w:trPr>
        <w:tc>
          <w:tcPr>
            <w:tcW w:w="6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113,179</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75,635</w:t>
            </w: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AFS securities and other securities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120,010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81,832</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8,521</w:t>
            </w: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9,823</w:t>
            </w:r>
          </w:p>
        </w:tc>
      </w:tr>
      <w:tr>
        <w:trPr>
          <w:trHeight w:val="212"/>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39,969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(25,399)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14,570</w:t>
            </w:r>
          </w:p>
        </w:tc>
      </w:tr>
      <w:tr>
        <w:trPr>
          <w:trHeight w:val="20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67,262</w:t>
            </w:r>
          </w:p>
        </w:tc>
      </w:tr>
    </w:tbl>
    <w:p>
      <w:pPr>
        <w:spacing w:after="0" w:line="234"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loans and securities have been computed on a taxable-equivalent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interest income was $333.9 million for the nine months ended September 30, 2025, compared to $253.4 million for the nine months ended September 30, 2024, an increase of 31.8%. The increase in interest income was due to results that reflect a full nine months of combined income after the Merger as well as higher rates on interest-earning assets and a full nine months of accretion income, as a result of the Merger. Interest income on loans increased by $75.6 million and interest income on securities increased $2.9 million, for the nine months ended September 30, 2025, compared to the nine months ended September 30, 2024. Accretion income associated with acquired loans totaled $31.2 million for the nine months ended September 30, 2025, compared to $28.8 million for the nine months ended September 30,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interest expense was $112.9 million for the nine months ended September 30, 2025, compared to $98.3 million for the nine months ended September 30, 2024. The increase in interest expense was due to results that reflect a full nine months of combined operations after the Merger, partially offset by a decrease in amortization expense associated with fair value marks for liabilities acquired in the Merger, and lower rates on interest-bearing liabilities. Interest expense on interest-bearing deposits increased by $9.8 million for the nine months ended September 30, 2025, compared to the nine months ended September 30, 2024. Interest on subordinated debt acquired in the Merger was $8.2 million for the nine months ended September 30, 2025, compared to $4.7 million for the nine months ended September 30, 2024. Interest expense on short-term borrowings amounted to $12.0 million for the nine months ended September 30, 2025, compared to $10.8 million for the nine months ended September 30, 2024. Amortization expense associated with fair value marks for time deposits, subordinated debt, and trust preferred securities totaled $5.0 million for the nine months ended September 30, 2025, compared to $6.3 million the nine months ended September 30,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provision for credit losses was $1.4 million for the nine months ended September 30, 2025, compared to a provision of $23.4 million for the nine months ended September 30, 2024. For the nine months ended September 30, 2024, the Company recognized a one-time CECL Day 2 provision for non-PCD assets acquired in the Merger, which resulted in a higher credit provision expense compared to the nine months ended September 30, 2025. See </w:t>
      </w:r>
      <w:r>
        <w:rPr>
          <w:rFonts w:ascii="Times New Roman" w:cs="Times New Roman" w:eastAsia="Times New Roman" w:hAnsi="Times New Roman"/>
          <w:sz w:val="17"/>
          <w:szCs w:val="17"/>
          <w:u w:val="single" w:color="auto"/>
          <w:color w:val="0000FF"/>
        </w:rPr>
        <w:t>Note 4</w:t>
      </w:r>
    </w:p>
    <w:p>
      <w:pPr>
        <w:spacing w:after="0" w:line="2" w:lineRule="exact"/>
        <w:rPr>
          <w:sz w:val="20"/>
          <w:szCs w:val="20"/>
          <w:color w:val="auto"/>
        </w:rPr>
      </w:pPr>
    </w:p>
    <w:p>
      <w:pPr>
        <w:ind w:left="5540" w:right="3960" w:hanging="5532"/>
        <w:spacing w:after="0" w:line="949" w:lineRule="auto"/>
        <w:tabs>
          <w:tab w:leader="none" w:pos="119" w:val="left"/>
        </w:tabs>
        <w:numPr>
          <w:ilvl w:val="0"/>
          <w:numId w:val="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Allowance for Credit Losses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further information.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32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00" w:type="dxa"/>
            <w:vAlign w:val="bottom"/>
          </w:tcPr>
          <w:p>
            <w:pPr>
              <w:spacing w:after="0"/>
              <w:rPr>
                <w:sz w:val="18"/>
                <w:szCs w:val="18"/>
                <w:color w:val="auto"/>
              </w:rPr>
            </w:pPr>
          </w:p>
        </w:tc>
        <w:tc>
          <w:tcPr>
            <w:tcW w:w="306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5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7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25.9 %</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Pr>
          <w:p>
            <w:pPr>
              <w:spacing w:after="0"/>
              <w:rPr>
                <w:sz w:val="18"/>
                <w:szCs w:val="18"/>
                <w:color w:val="auto"/>
              </w:rPr>
            </w:pPr>
          </w:p>
        </w:tc>
        <w:tc>
          <w:tcPr>
            <w:tcW w:w="170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24.5</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(59.1)</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tcPr>
          <w:p>
            <w:pPr>
              <w:spacing w:after="0"/>
              <w:rPr>
                <w:sz w:val="18"/>
                <w:szCs w:val="18"/>
                <w:color w:val="auto"/>
              </w:rPr>
            </w:pPr>
          </w:p>
        </w:tc>
        <w:tc>
          <w:tcPr>
            <w:tcW w:w="170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90.3</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35.7</w:t>
            </w: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84.5</w:t>
            </w: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10,110</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41.5 %</w:t>
            </w:r>
          </w:p>
        </w:tc>
      </w:tr>
    </w:tbl>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Non-interest income increased 41.5% for the nine months ended September 30, 2025, compared to the nine months ended September 30, 2024. All categories of non-interest income except net gains on securities increased due to results that reflect a full nine months of combined income after the Merger for the nine months ended September 30, 2025, compared to the nine months ended September 30, 2024. The largest percentage increase included a $2.5 million increase in income from company-owned life insurance for the nine months ended September 30, 2025, compared to the nine months ended September 30, 2024. This increase was driven by an increase in the collection of death proceeds from company-owned life insurance for the nine months ended September 30, 2025, compared to the nine months ended September 30, 2024. The third largest percentage increase included a $2.4 million increase in bank debit and other card revenue for the nine months ended September 30, 2025, compared to the nine months ended September 30, 2024. This increase was primarily driven by results that reflect a full nine months of combined income after the Merger and increased customer card activity and increased card network partnership income for the nine months ended September 30, 2025, compared to the nine months ended September 30, 2024. All other categories of non-interest income except net gains on securities also increased, primarily due to results that reflect a full nine months of combined income after the Merger for the nine months ended September 30, 2025, compared to the nine months ended September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28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80" w:type="dxa"/>
            <w:vAlign w:val="bottom"/>
          </w:tcPr>
          <w:p>
            <w:pPr>
              <w:spacing w:after="0"/>
              <w:rPr>
                <w:sz w:val="18"/>
                <w:szCs w:val="18"/>
                <w:color w:val="auto"/>
              </w:rPr>
            </w:pPr>
          </w:p>
        </w:tc>
        <w:tc>
          <w:tcPr>
            <w:tcW w:w="3020" w:type="dxa"/>
            <w:vAlign w:val="bottom"/>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6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8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63,109</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39.0</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(6,551)</w:t>
            </w:r>
          </w:p>
        </w:tc>
        <w:tc>
          <w:tcPr>
            <w:tcW w:w="8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(35.1)</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65.7</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ATM, card, and network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and other regulatory assessments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w:t>
            </w:r>
          </w:p>
        </w:tc>
      </w:tr>
      <w:tr>
        <w:trPr>
          <w:trHeight w:val="21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(13.7)</w:t>
            </w: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147,061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10,638</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Non-interest expense increased $10.6 million, or 7.8%, for the nine months ended September 30, 2025, compared to the nine months ended September 30, 2024. The increase was primarily due to results that reflect a full nine months of combined operations after the Merger but reflect some continued operating efficiency gains as a result of the merger, for the nine months ended September 30, 2025, compared to the nine months ended September 30, 2024. In total, all categories of non-interest expense increased except equipment rentals, depreciation and maintenance and other operating expense. See </w:t>
      </w:r>
      <w:r>
        <w:rPr>
          <w:rFonts w:ascii="Times New Roman" w:cs="Times New Roman" w:eastAsia="Times New Roman" w:hAnsi="Times New Roman"/>
          <w:sz w:val="18"/>
          <w:szCs w:val="18"/>
          <w:u w:val="single" w:color="auto"/>
          <w:color w:val="0000FF"/>
        </w:rPr>
        <w:t>Note 13 —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Operating Expense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further information on “Other” non-interest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$20.0 million for the nine months ended September 30, 2025, an increase of $16.2 million from income tax expense for the nine months ended September 30, 2024. The increase was due to the increase in net income and additional state taxes incurred in the combined market area after the Merger, for the nine months ended September 30, 2025, when compared to the nine months ended September 30, 2024. For the nine months ended September 30, 2025, the effective tax rate was 18.7%, while the effective tax rate was 19.0% for September 30, 2024.</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8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Three Months Ended September 30, 2025, and September 30, 2024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applicable to common shares for the three months ended September 30, 2025, was $29.7 million, compared to net income applicable to common shares of $27.4 million during the three months ended September 30, 2024. The $2.3 million increase was due to a decrease in interest expense, partially offset by a decrease in interest income, an increase in non-interest income, and a decrease in non-interest expense for the three months ended September 30, 2025, compared to the three months ended September 30, 2024.</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increased by $591.0 thousand to $73.8 million for the three months ended September 30, 2025, compared to $73.2 million for the three months ended September 30, 2024. The main driver for this increase was results that reflect lower rates on interest-bearing liabilities which was partially offset by a decline in interest income, primarily related to lower accretion income, when compared to the three months ended September 30, 2024.</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recorded credit provision expense of $262.0 thousand compared to a provision of $147.0 thousand for the three months ended September 30, 2024. For the three months ended September 30, 2025, credit loss expense on loans and AFS securities was $574.0 thousand compared to $85.0 thousand for the three months ended September 30, 2024. For the three months ended September 30, 2025, the increase in credit loss expense on loans and AFS securities was offset by a credit loss recapture of $312.0 thousand on off-balance sheet credit exposures. For the three months ended September 30, 2024, there was a credit loss expense of $62.0 thousand on off-balance sheet credit exposures.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increased by $1.0 million, or 9.1%, to $11.6 million for the three months ended September 30, 2025, as compared to $10.6 million for the three months ended September 30, 2024. Increases in fiduciary and wealth management, net gains on securities, bank debit and other card revenue, and other non-interest income exceeded declines in service charges and fees income and income from company-owned life insurance for the three months ended September 30, 2025, compared to the three months ended September 30, 2024.</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decreased by $2.7 million, or 5.4%, to $48.1 million for the three months ended September 30, 2025, as compared to $50.8 million for the three months ended September 30, 2024. The decrease was primarily due to continued operating efficiency gains, post-merger, that were realized after the merger and during the three months ended September 30, 2025, compared to the three months ended September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income totaled $73.8 million for the three months ended September 30, 2025, compared to $73.2 million for the three months ended September 30, 2024. The increase in net interest income was primarily driven by results that reflect lower rates on interest-bearing liabilities which was partially offset by a decline in interest income, primarily related to lower accretion income, when compared to the three months ended September 30, 2024. Accretion income associated with acquired loans totaled $8.2 million for the three months ended September 30, 2025, compared to $15.5 million for the three months ended September 30, 2024. Amortization expense associated with fair value marks for time deposits, subordinated debt, and trust preferred securities totaled $1.4 million for the three months ended September 30, 2025, compared to $3.8 million for the three months ended September 30,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net interest margin was 4.08% for the three months ended September 30, 2025, compared to 4.07% for the three months ended September 30, 2024. The increase in tax-adjusted net interest margin was primarily driven by results that reflect lower rates on interest-bearing liabilities, partially offset by a decline in interest income, primarily related to lower accretion income, when compared to the three months ended September 30,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for the taxable loan portfolio was 6.76% for the three months ended September 30, 2025, compared to 7.34% for the three months ended September 30, 2024. The decrease was primarily the result of lower accretion income for three months ended September 30, 2025 compared to the three months ended September 30,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3.97% for the three months ended September 30, 2025, compared to 3.91% for the three months ended September 30, 2024. The increase was primarily the result of an increase in balance of higher-yielding securities for the three months ended September 30, 2025, compared to the three months ended September 30,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interest-bearing deposits decreased to 2.37% during the three months ended September 30, 2025, from 3.02% during the three months ended September 30, 2024. The decrease was primarily due to lower market interest rates on deposit products reflecting decreases in the Federal Funds Rate and other market rates.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yield on our short-term borrowings for the three months ended September 30, 2025, was 3.85%, compared to 4.06% for the three months ended September 30, 2024. The decrease was due to decreases in the Federal Funds Rate and other short-term market rates and the addition of derivative swaps that decreased our cost of borrowing. The yield on our subordinated debt assumed in the Merger was 9.49% for the three months ended September 30, 2025, compared to 10.16% for the three months ended September 30, 2024.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three months ended September 30, 2025, and September 30, 2024,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18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76"/>
        </w:trPr>
        <w:tc>
          <w:tcPr>
            <w:tcW w:w="25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Loans, gross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5,584,315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95,132</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6.76 %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5,621,531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103,682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7.34 %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6.78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loans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5,587,826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95,192</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5,625,841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103,743</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54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52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 AFS securities and other</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1,034,136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10,071</w:t>
            </w:r>
          </w:p>
        </w:tc>
        <w:tc>
          <w:tcPr>
            <w:tcW w:w="15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996,749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15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AFS securities </w:t>
            </w:r>
            <w:r>
              <w:rPr>
                <w:rFonts w:ascii="Times New Roman" w:cs="Times New Roman" w:eastAsia="Times New Roman" w:hAnsi="Times New Roman"/>
                <w:sz w:val="21"/>
                <w:szCs w:val="21"/>
                <w:color w:val="auto"/>
                <w:vertAlign w:val="superscript"/>
              </w:rPr>
              <w:t>(3)(4)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1,620,265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16,227</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3.97</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1,437,530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14,121</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7,308,536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112,514</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7,238,636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119,373</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582,393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564,528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7,890,929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1,338,188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1,389,134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2,278,587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12,522</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2.18 %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2,144,567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1,660,401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8,452</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1,725,387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1,135,546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1,328,076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16,079</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5,074,534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5,198,030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6,412,722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30,286</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6,587,164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19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borrowings and 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debt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5,642,920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37,439</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5,612,436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45,347</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792,990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717,157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7,890,929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 income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75,075</w:t>
            </w:r>
          </w:p>
        </w:tc>
        <w:tc>
          <w:tcPr>
            <w:tcW w:w="10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3.48 %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74,026</w:t>
            </w:r>
          </w:p>
        </w:tc>
        <w:tc>
          <w:tcPr>
            <w:tcW w:w="8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spread </w:t>
            </w:r>
            <w:r>
              <w:rPr>
                <w:rFonts w:ascii="Times New Roman" w:cs="Times New Roman" w:eastAsia="Times New Roman" w:hAnsi="Times New Roman"/>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 margin</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4.08 %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0" w:type="dxa"/>
            <w:vAlign w:val="bottom"/>
          </w:tcPr>
          <w:p>
            <w:pPr>
              <w:spacing w:after="0"/>
              <w:rPr>
                <w:sz w:val="1"/>
                <w:szCs w:val="1"/>
                <w:color w:val="auto"/>
              </w:rPr>
            </w:pPr>
          </w:p>
        </w:tc>
      </w:tr>
      <w:tr>
        <w:trPr>
          <w:trHeight w:val="108"/>
        </w:trPr>
        <w:tc>
          <w:tcPr>
            <w:tcW w:w="2560" w:type="dxa"/>
            <w:vAlign w:val="bottom"/>
          </w:tcPr>
          <w:p>
            <w:pPr>
              <w:ind w:left="180"/>
              <w:spacing w:after="0" w:line="108" w:lineRule="exact"/>
              <w:rPr>
                <w:sz w:val="20"/>
                <w:szCs w:val="20"/>
                <w:color w:val="auto"/>
              </w:rPr>
            </w:pPr>
            <w:r>
              <w:rPr>
                <w:rFonts w:ascii="Times New Roman" w:cs="Times New Roman" w:eastAsia="Times New Roman" w:hAnsi="Times New Roman"/>
                <w:sz w:val="11"/>
                <w:szCs w:val="11"/>
                <w:color w:val="auto"/>
              </w:rPr>
              <w:t>(6)</w:t>
            </w: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73,770</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73,179</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fair value of investment securities.</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122"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yield of interest-bearing liabilities for the period.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FTE net interest income as a percent of average interest-earning assets for the period.</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FTE net interest income by total average earning assets. Net interest income, on an FTE basis, is a non-GAAP financial measure that the Company believes provides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9"/>
                <w:szCs w:val="19"/>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103,682</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Taxable AFS securities and other securities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10,076</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AFS securities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w:t>
            </w: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118,526</w:t>
            </w:r>
          </w:p>
        </w:tc>
      </w:t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39,441</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45,347</w:t>
            </w:r>
          </w:p>
        </w:tc>
      </w:tr>
      <w:tr>
        <w:trPr>
          <w:trHeight w:val="199"/>
        </w:trPr>
        <w:tc>
          <w:tcPr>
            <w:tcW w:w="7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73,770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73,179</w:t>
            </w:r>
          </w:p>
        </w:tc>
      </w:tr>
      <w:tr>
        <w:trPr>
          <w:trHeight w:val="253"/>
        </w:trPr>
        <w:tc>
          <w:tcPr>
            <w:tcW w:w="7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w:t>
            </w:r>
          </w:p>
        </w:tc>
      </w:tr>
      <w:tr>
        <w:trPr>
          <w:trHeight w:val="212"/>
        </w:trPr>
        <w:tc>
          <w:tcPr>
            <w:tcW w:w="75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75,075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74,026</w:t>
            </w:r>
          </w:p>
        </w:tc>
      </w:tr>
    </w:tbl>
    <w:p>
      <w:pPr>
        <w:spacing w:after="0" w:line="166"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Yield/Rate and 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three months ended September 30, 2025, and September 30, 2024, are annualized using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 compared to</w:t>
      </w: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Yield / Rate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6"/>
        </w:trPr>
        <w:tc>
          <w:tcPr>
            <w:tcW w:w="6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(5,382)</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(8,551)</w:t>
            </w: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AFS securities and other securities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w:t>
            </w: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(6,767)</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(9,155)</w:t>
            </w:r>
          </w:p>
        </w:tc>
      </w:tr>
      <w:tr>
        <w:trPr>
          <w:trHeight w:val="212"/>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w:t>
            </w:r>
          </w:p>
        </w:tc>
      </w:tr>
      <w:tr>
        <w:trPr>
          <w:trHeight w:val="210"/>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r>
    </w:tbl>
    <w:p>
      <w:pPr>
        <w:spacing w:after="0" w:line="180"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loans and securities have been computed on a taxable-equivalent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interest income was $111.2 million for the three months ended September 30, 2025, compared to $118.5 million for the three months ended September 30, 2024, a decrease of 6.2%. The decrease in interest income was primarily due to lower accretion income when compared to the three months ended September 30, 2024. Interest income on loans decreased by $8.6 million and interest income on securities increased $714.0 thousand, for the three months ended September 30, 2025, compared to the three months ended September 30, 2024. Accretion income associated with acquired loans totaled $8.2 million for the three months ended September 30, 2025, compared to $15.5 million for the three months ended September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interest expense was $37.4 million for the three months ended September 30, 2025, compared to $45.3 million for the three months ended September 30, 2024. The decrease in interest expense was due to results that reflect lower rates on interest-bearing liabilities, and lower amortization expense associated with fair value marks for liabilities acquired in the Merger. Interest expense on interest-bearing deposits decreased by $9.2 million for the three months ended September 30, 2025, compared to the three months ended September 30, 2024, due to lower market rates. Interest on subordinated debt acquired in the Merger was $2.7 million for the three months ended September 30, 2025, compared to $2.8 million for the three months ended September 30, 2024. Interest expense on short-term borrowings amounted to $4.4 million for the three months ended September 30, 2025, compared to $3.1 million for the three months ended September 30, 2024, due to higher average balances. Amortization expense associated with fair value marks for time deposits, subordinated debt, and trust preferred securities totaled $1.4 million for the three months ended September 30, 2025, compared to $3.8 million for the three months ended September 30,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was $262.0 thousand for the three months ended September 30, 2025, compared to a provision of $147.0 thousand for the three months ended September 30, 2024. For the three months ended September 30, 2025, credit loss expense on loans and AFS securities was $574.0 thousand compared to $85.0 thousand for the three months ended September 30, 2024. For the three months ended September 30, 2025, the increase in credit loss expense on loans and AFS securities was offset by a credit loss recapture of $312.0 thousand on off-balance sheet credit exposures. For the three months ended September 30, 2024, there was a credit loss expense of $62.0 thousand on off-balance sheet credit exposures.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32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60" w:type="dxa"/>
            <w:vAlign w:val="bottom"/>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5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7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1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(17.5)</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(13.4)</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75.7</w:t>
            </w: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Non-interest income increased 9.1% for the three months ended September 30, 2025, compared to the three months ended September 30, 2024. The largest dollar and percentage increase was a $989.0 thousand increase in other non-interest income for the three months ended September 30, 2025, compared to the three months ended September 30, 2024. This increase was driven by an increase in the utilization of services and fees in other non-interest income categories for the three months ended September 30, 2025, compared to the three months ended September 30, 2024. Increases in fiduciary and wealth management, net gains on securities, bank debit and other card revenue, and other non-interest income exceeded declines in service charges and fees income and income from company-owned life insurance for the three months ended September 30, 2025, compared to the three months ended September 30, 2024. The fiduciary and wealth management increase was driven by increased wealth and fiduciary services performance, while the increase in net gains from securities was driven by security sales.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32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60" w:type="dxa"/>
            <w:vAlign w:val="bottom"/>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5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7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0.0 %</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8"/>
                <w:szCs w:val="18"/>
                <w:color w:val="auto"/>
              </w:rPr>
            </w:pPr>
          </w:p>
        </w:tc>
        <w:tc>
          <w:tcPr>
            <w:tcW w:w="1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Pr>
          <w:p>
            <w:pPr>
              <w:spacing w:after="0"/>
              <w:rPr>
                <w:sz w:val="18"/>
                <w:szCs w:val="18"/>
                <w:color w:val="auto"/>
              </w:rPr>
            </w:pPr>
          </w:p>
        </w:tc>
        <w:tc>
          <w:tcPr>
            <w:tcW w:w="1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ATM, card, and network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1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(26.8)</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and other regulatory assessments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Non-interest expense decreased $2.7 million, or 5.4%, for the three months ended September 30, 2025, compared to the three months ended September 30, 2024. The decrease was primarily driven by continued operating efficiency gains, post-merger, that were realized after the merger and during the three months ended September 30, 2025, compared to the three months ended September 30, 2024. The largest dollar decrease for the three months ended September 30, 2025, compared to the three months ended September 30, 2024 was $791.0 thousand for equipment rentals, depreciation and maintenance, mostly driven by continued operating efficiencies, while core deposit intangible amortization declined due to its accelerated amortization method. ATM, card and network expense, pensions and other employee benefits, and other non-interest expense also declined due to continued operating efficiencies for the three months ended September 30, 2025, compared to the three months ended September 30, 2024. See </w:t>
      </w:r>
      <w:r>
        <w:rPr>
          <w:rFonts w:ascii="Times New Roman" w:cs="Times New Roman" w:eastAsia="Times New Roman" w:hAnsi="Times New Roman"/>
          <w:sz w:val="18"/>
          <w:szCs w:val="18"/>
          <w:u w:val="single" w:color="auto"/>
          <w:color w:val="0000FF"/>
        </w:rPr>
        <w:t>Note 13 — Other Operating Expense</w:t>
      </w:r>
      <w:r>
        <w:rPr>
          <w:rFonts w:ascii="Times New Roman" w:cs="Times New Roman" w:eastAsia="Times New Roman" w:hAnsi="Times New Roman"/>
          <w:sz w:val="18"/>
          <w:szCs w:val="18"/>
          <w:color w:val="auto"/>
        </w:rPr>
        <w:t xml:space="preserve"> in Notes to Consolidated Financial Statements for further information on “Other” non-interest expense.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$7.0 million for the three months ended September 30, 2025, an increase of $1.8 million from the tax expense of $5.2 million for the three months ended September 30, 2024. The increase was due to the increase in net income and additional state taxes incurred in the combined market area after the Merger, for the three months ended September 30, 2025, when compared to the three months ended September 30, 2024. For the three months ended September 30, 2025, the effective tax rate was 19.0%, while the effective tax rate was 15.8% for September 30, 2024.</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for the Period Ended September 30, 2025, and December 31, 2024</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increased by $76.9 million to $7.9 billion as of September 30, 2025, compared to $7.8 billion as of December 31, 2024. Loans, net of ACL, decreased by $112.3 million from $5.6 billion as of December 31, 2024, to $5.5 billion as of September 30, 2025. Deposits decreased by $103.2 million and amounted to $6.4 billion at September 30, 2025, compared to $6.5 billion at December 31, 2024. Short-term borrowings increased by $85.0 million to $450.0 million as of September 30, 2025, compared to $365.0 million at December 31, 2024. Subordinated debt and subordinated debt owed to unconsolidated subsidiary trusts, which were assumed in the Merger, totaled $86.1 million at September 30, 2025, compared to $111.9 million at December 31, 2024. During the quarter ended September 30, 2025, $30.0 million of subordinated debt was redeemed by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nine months ended September 30, 2025, the unrealized losses on our holdings decreased $33.6 million from December 31, 2024.</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declines in market value were due to increases in interest rates and market movements and not due to credit factors. Therefore, the Company has concluded that the unrealized losses for the AFS securities do not require an ACL at September 30, 2025, or at December 31, 2024.</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amortized cost and fair market values for the total portfolio for each category of investment for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154,234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876,973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225,870</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75,658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130,082</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53,966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26,149</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89,207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1,598,407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149,127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698,724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247,876</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154,511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31,820</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1,549,589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118,876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1,432,371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maturity table below summarizes contractual maturities for our investment securities at September 30, 2025. The actual timing of principal payments may differ from remaining contractual maturities because obligors may have the right to repay certain obligations with or without penalties. The overall weighted average duration of the Company’s investment portfolio is 4.6 years at September 30, 2025.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One Year or Less</w:t>
            </w:r>
          </w:p>
        </w:tc>
        <w:tc>
          <w:tcPr>
            <w:tcW w:w="180" w:type="dxa"/>
            <w:vAlign w:val="bottom"/>
          </w:tcPr>
          <w:p>
            <w:pPr>
              <w:spacing w:after="0"/>
              <w:rPr>
                <w:sz w:val="12"/>
                <w:szCs w:val="12"/>
                <w:color w:val="auto"/>
              </w:rPr>
            </w:pPr>
          </w:p>
        </w:tc>
        <w:tc>
          <w:tcPr>
            <w:tcW w:w="164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One to Five Years</w:t>
            </w:r>
          </w:p>
        </w:tc>
        <w:tc>
          <w:tcPr>
            <w:tcW w:w="200" w:type="dxa"/>
            <w:vAlign w:val="bottom"/>
          </w:tcPr>
          <w:p>
            <w:pPr>
              <w:spacing w:after="0"/>
              <w:rPr>
                <w:sz w:val="12"/>
                <w:szCs w:val="12"/>
                <w:color w:val="auto"/>
              </w:rPr>
            </w:pP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Five to Ten Years</w:t>
            </w:r>
          </w:p>
        </w:tc>
        <w:tc>
          <w:tcPr>
            <w:tcW w:w="200" w:type="dxa"/>
            <w:vAlign w:val="bottom"/>
          </w:tcPr>
          <w:p>
            <w:pPr>
              <w:spacing w:after="0"/>
              <w:rPr>
                <w:sz w:val="12"/>
                <w:szCs w:val="12"/>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After Ten Years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6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Pr>
          <w:p>
            <w:pPr>
              <w:spacing w:after="0"/>
              <w:rPr>
                <w:sz w:val="9"/>
                <w:szCs w:val="9"/>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4"/>
              </w:rPr>
              <w:t>Amortized Cost</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Average Yield</w:t>
            </w:r>
          </w:p>
        </w:tc>
        <w:tc>
          <w:tcPr>
            <w:tcW w:w="7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0" w:type="dxa"/>
            <w:vAlign w:val="bottom"/>
          </w:tcPr>
          <w:p>
            <w:pPr>
              <w:spacing w:after="0"/>
              <w:rPr>
                <w:sz w:val="1"/>
                <w:szCs w:val="1"/>
                <w:color w:val="auto"/>
              </w:rPr>
            </w:pPr>
          </w:p>
        </w:tc>
      </w:tr>
      <w:tr>
        <w:trPr>
          <w:trHeight w:val="149"/>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5,027</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0.41 %</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159,447</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7"/>
              </w:rPr>
              <w:t>1.34 %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164,474</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97"/>
              </w:rPr>
              <w:t>1.31 %</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Obligations of states and municipalities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238,746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445,330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250,434</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939,381</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agency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23,368</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24,546</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10,141</w:t>
            </w:r>
          </w:p>
        </w:tc>
        <w:tc>
          <w:tcPr>
            <w:tcW w:w="80" w:type="dxa"/>
            <w:vAlign w:val="bottom"/>
          </w:tcPr>
          <w:p>
            <w:pPr>
              <w:spacing w:after="0"/>
              <w:rPr>
                <w:sz w:val="14"/>
                <w:szCs w:val="1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58,072</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83,780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129,483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230,700</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4.26</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agency</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22,351</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53,975</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76,326</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34,947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64,391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32,160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131,498</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Asset-backed</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4,465</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6.16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34,222</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15,770</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54,457</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5.49</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6.97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6.25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9.52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27,118</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7.42</w:t>
            </w: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55,138</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3.51 %</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629,093</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3.04 %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716,529</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3.73 %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281,266</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3.54 %</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1,682,026</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7"/>
              </w:rPr>
              <w:t>3.44 %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Times New Roman" w:cs="Times New Roman" w:eastAsia="Times New Roman" w:hAnsi="Times New Roman"/>
          <w:sz w:val="18"/>
          <w:szCs w:val="18"/>
          <w:u w:val="single" w:color="auto"/>
          <w:color w:val="0000FF"/>
        </w:rPr>
        <w:t>Note 3 — Loans</w:t>
      </w:r>
      <w:r>
        <w:rPr>
          <w:rFonts w:ascii="Times New Roman" w:cs="Times New Roman" w:eastAsia="Times New Roman" w:hAnsi="Times New Roman"/>
          <w:sz w:val="18"/>
          <w:szCs w:val="18"/>
          <w:color w:val="auto"/>
        </w:rPr>
        <w:t xml:space="preserve"> in Notes to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composition of our loan portfolio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0"/>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2,804,175</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2,637,802</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614,362</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375,027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465,537</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613,085</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1,127,952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1,173,749</w:t>
            </w:r>
          </w:p>
        </w:tc>
      </w:tr>
      <w:tr>
        <w:trPr>
          <w:trHeight w:val="23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105,034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167,701</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gross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5,559,479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5,672,236</w:t>
            </w:r>
          </w:p>
        </w:tc>
      </w:tr>
      <w:tr>
        <w:trPr>
          <w:trHeight w:val="24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(67,604)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(68,040)</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5,491,875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5,604,196</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portfolio, excluding ACL, at September 30, 2025, decreased by $112.8 million from December 31, 2024, primarily due to the exiting of loans that do not align with the Company’s desired risk profile.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maturity distribution for total loans outstanding as of September 30, 2025. The maturity distribution is grouped by remaining scheduled principal payments that are due in the following periods. The principal balance of loans is indicated by both fixed and floating rate categories in the table below (in thousands).</w:t>
      </w:r>
    </w:p>
    <w:p>
      <w:pPr>
        <w:spacing w:after="0" w:line="15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Within One Year</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One Year to Five Years</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Five Years to 15 Years</w:t>
            </w: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After 15 Years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326,229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159,456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937,426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487,005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250,151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310,344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2,804,175</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Owner-occupied commercial real</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31,981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109,228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612,560</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Acquisition, construction &amp;</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28,408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63,745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129,526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52,464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27,577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375,027</w:t>
            </w:r>
          </w:p>
        </w:tc>
        <w:tc>
          <w:tcPr>
            <w:tcW w:w="0" w:type="dxa"/>
            <w:vAlign w:val="bottom"/>
          </w:tcPr>
          <w:p>
            <w:pPr>
              <w:spacing w:after="0"/>
              <w:rPr>
                <w:sz w:val="1"/>
                <w:szCs w:val="1"/>
                <w:color w:val="auto"/>
              </w:rPr>
            </w:pPr>
          </w:p>
        </w:tc>
      </w:tr>
      <w:tr>
        <w:trPr>
          <w:trHeight w:val="195"/>
        </w:trPr>
        <w:tc>
          <w:tcPr>
            <w:tcW w:w="2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development</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124,890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99,752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534,731</w:t>
            </w:r>
          </w:p>
        </w:tc>
        <w:tc>
          <w:tcPr>
            <w:tcW w:w="0" w:type="dxa"/>
            <w:vAlign w:val="bottom"/>
          </w:tcPr>
          <w:p>
            <w:pPr>
              <w:spacing w:after="0"/>
              <w:rPr>
                <w:sz w:val="1"/>
                <w:szCs w:val="1"/>
                <w:color w:val="auto"/>
              </w:rPr>
            </w:pPr>
          </w:p>
        </w:tc>
      </w:tr>
      <w:tr>
        <w:trPr>
          <w:trHeight w:val="189"/>
        </w:trPr>
        <w:tc>
          <w:tcPr>
            <w:tcW w:w="25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commercial loans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1,255,041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748,264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549,829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4,326,493</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7,849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1,127,952</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68,205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1,999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105,034</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408,119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550,642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1,319,581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758,112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494,633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628,223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496,434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903,735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5,559,479</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 We regularly monitor the level of loan delinquencies and believe these levels are a key indicator of credit quality in our loan portfolio. We manage credit risk based on the risk profile of the borrower, repayment sources, underlying collateral, and other support given current events, economic conditions and expectations.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asset quality metrics remain within the Company’s risk profile with adequate reserve coverage. The Company’s nonaccrual loan balances increased by $49.6 million from December 31, 2024, while the Company’s loans 90 days past due and still accruing increased $1.0 million from December 31, 2024. The Company’s non-performing assets, which includes non-performing loans consisting of non-accrual loans, loans that are more than 90 days past due and still accruing, and other real estate owned as of September 30, 2025, totaled $91.8 million, an increase of $50.6 million from $41.2 million at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as of September 30, 2025, and December 31, 2024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35,871</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90 days past due and still accruing</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38,368</w:t>
            </w:r>
          </w:p>
        </w:tc>
      </w:tr>
      <w:tr>
        <w:trPr>
          <w:trHeight w:val="216"/>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r>
      <w:tr>
        <w:trPr>
          <w:trHeight w:val="199"/>
        </w:trPr>
        <w:tc>
          <w:tcPr>
            <w:tcW w:w="7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20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91,793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in </w:t>
      </w:r>
      <w:r>
        <w:rPr>
          <w:rFonts w:ascii="Times New Roman" w:cs="Times New Roman" w:eastAsia="Times New Roman" w:hAnsi="Times New Roman"/>
          <w:sz w:val="18"/>
          <w:szCs w:val="18"/>
          <w:u w:val="single" w:color="auto"/>
          <w:color w:val="0000FF"/>
        </w:rPr>
        <w:t>Note 1 — Nature of Business Activities and Significant Accounting Policies</w:t>
      </w:r>
      <w:r>
        <w:rPr>
          <w:rFonts w:ascii="Times New Roman" w:cs="Times New Roman" w:eastAsia="Times New Roman" w:hAnsi="Times New Roman"/>
          <w:sz w:val="18"/>
          <w:szCs w:val="18"/>
          <w:color w:val="auto"/>
        </w:rPr>
        <w:t xml:space="preserve"> in Notes to Consolidated Financial Statements for management’s approach to estimating the ACL.</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ACL at a level deemed adequate by management for expected credit losses.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a provision expense of $574.0 thousand and a provision of $85.0 thousand on loans for the three months ended September 30, 2025, and September 30, 2024, respectively, and a provision of $2.2 million and a provision of $19.5 million on loans for the nine months ended September 30, 2025, and September 30, 2024, respectively. For the nine months ended September 30, 2024, the Company recorded a $23.9 million provision directly to the allowance for credit losses to establish an allowance for acquired PCD loans. This allowance for acquired PCD loans did not result in an additional provision expense for the nine months ended September 30, 2024.</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charged-off loans were $519.0 thousand and $305.0 thousand for the three months ended September 30, 2025, and September 30, 2024, respectively and $3.5 million and $947.0 thousand for the nine months ended September 30, 2025, and September 30, 2024, respectively. Gross recoveries totaled $293.0 thousand and $20.0 thousand for the three months ended September 30, 2025, and September 30, 2024, respectively and $856.0 thousand and $38.0 thousand for the nine months ended September 30, 2025, and September 30, 2024, respectively. The ACL as a percentage of gross loans, net of unearned income, was 1.22% and 1.22% as of September 30, 2025, and September 30, 2024,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credit loss experience by portfolio for the three and nine months ended September 30, 2025, and 2024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80" w:type="dxa"/>
            <w:vAlign w:val="bottom"/>
          </w:tcPr>
          <w:p>
            <w:pPr>
              <w:spacing w:after="0"/>
              <w:rPr>
                <w:sz w:val="18"/>
                <w:szCs w:val="18"/>
                <w:color w:val="auto"/>
              </w:rPr>
            </w:pPr>
          </w:p>
        </w:tc>
      </w:tr>
      <w:tr>
        <w:trPr>
          <w:trHeight w:val="219"/>
        </w:trPr>
        <w:tc>
          <w:tcPr>
            <w:tcW w:w="4900" w:type="dxa"/>
            <w:vAlign w:val="bottom"/>
          </w:tcPr>
          <w:p>
            <w:pPr>
              <w:spacing w:after="0"/>
              <w:rPr>
                <w:sz w:val="19"/>
                <w:szCs w:val="19"/>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outstanding at end of period</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5,559,479</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5,574,037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5,559,479</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5,574,037</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of allowance at beginning of period</w:t>
            </w:r>
          </w:p>
        </w:tc>
        <w:tc>
          <w:tcPr>
            <w:tcW w:w="3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(67,256)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(68,040)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(25,301)</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established for acquired PCD Loans</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(23,910)</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charged-off:</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1,835</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455</w:t>
            </w:r>
          </w:p>
        </w:tc>
      </w:tr>
      <w:tr>
        <w:trPr>
          <w:trHeight w:val="212"/>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loans charged-off</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3,483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947</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 of loans charged-off:</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(535)</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recoveries of loans charged-off</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(856)</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r>
      <w:tr>
        <w:trPr>
          <w:trHeight w:val="20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loan charge-offs (recoveries)</w:t>
            </w:r>
          </w:p>
        </w:tc>
        <w:tc>
          <w:tcPr>
            <w:tcW w:w="38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2,627</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909</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 for the period</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2,191</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19,515</w:t>
            </w:r>
          </w:p>
        </w:tc>
      </w:tr>
      <w:tr>
        <w:trPr>
          <w:trHeight w:val="20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Ending allowance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(67,604)</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(67,817)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(67,604)</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(67,817)</w:t>
            </w:r>
          </w:p>
        </w:tc>
      </w:tr>
      <w:tr>
        <w:trPr>
          <w:trHeight w:val="253"/>
        </w:trPr>
        <w:tc>
          <w:tcPr>
            <w:tcW w:w="4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loans outstanding during the period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5,587,826</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6"/>
              </w:rPr>
              <w:t>5,625,841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5,624,681</w:t>
            </w:r>
          </w:p>
        </w:tc>
        <w:tc>
          <w:tcPr>
            <w:tcW w:w="8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4,071,261</w:t>
            </w:r>
          </w:p>
        </w:tc>
      </w:tr>
      <w:tr>
        <w:trPr>
          <w:trHeight w:val="219"/>
        </w:trPr>
        <w:tc>
          <w:tcPr>
            <w:tcW w:w="49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Allowance coverage ratio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16"/>
        </w:trPr>
        <w:tc>
          <w:tcPr>
            <w:tcW w:w="4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charge-offs to average outstanding loans during the period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49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Allowance for credit losses as a percentage of non-performing loans </w:t>
            </w:r>
            <w:r>
              <w:rPr>
                <w:rFonts w:ascii="Times New Roman" w:cs="Times New Roman" w:eastAsia="Times New Roman" w:hAnsi="Times New Roman"/>
                <w:sz w:val="21"/>
                <w:szCs w:val="21"/>
                <w:color w:val="auto"/>
                <w:vertAlign w:val="superscript"/>
              </w:rPr>
              <w:t>(3)</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75.92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75.92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189.05</w:t>
            </w:r>
          </w:p>
        </w:tc>
      </w:tr>
    </w:tbl>
    <w:p>
      <w:pPr>
        <w:spacing w:after="0" w:line="180"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coverage ratio is calculated by dividing the ACL at the end of the period by gross loans, net of unearned income at the end of the period.</w:t>
      </w:r>
    </w:p>
    <w:p>
      <w:pPr>
        <w:spacing w:after="0" w:line="109"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53"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as a percentage of non-performing loans ratio is calculated by dividing the ACL at the end of the period by non-accrual loans and loans 90 days past due and still accruing at the end of the period.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ACL by portfolio with a comparison of the percentage composition in relation to total ACL and allowance for credit losses and total loans as of September 30, 2025, and December 31, 2024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Allocated ACL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24.19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9.62</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67,604</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493"/>
        </w:trPr>
        <w:tc>
          <w:tcPr>
            <w:tcW w:w="6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Allocated Allowance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10.83</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accrued interest and other liabilities on the Consolidated Balance Sheets. The Company’s use of derivative financial instruments is described more fully in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The Company has available secured lines of credit with the Federal Reserve Bank of Richmond, such as the Borrower-In-Custody program, the FHLB of Atlanta, and unsecured federal funds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lines of credit from correspondent banking relationships. The Company also utilizes brokered time deposits. For more discussion of brokered time deposits, see the Deposits heading below this section.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has available unused borrowing capacity of $4.2 billion through its available lines of credit with the FHLB of Atlanta, the Federal Reserve Borrower-In-Custody Program line, and unsecured federal fund lines of credit from correspondent banking relationships. Advances on credit lines are secured by both securities and loans.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short-term borrowings as of the three months ended September 30, 2025, and December 31, 2024,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365,000</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120" w:type="dxa"/>
            <w:vAlign w:val="bottom"/>
          </w:tcPr>
          <w:p>
            <w:pPr>
              <w:spacing w:after="0"/>
              <w:rPr>
                <w:sz w:val="18"/>
                <w:szCs w:val="18"/>
                <w:color w:val="auto"/>
              </w:rPr>
            </w:pPr>
          </w:p>
        </w:tc>
        <w:tc>
          <w:tcPr>
            <w:tcW w:w="17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3.35%</w:t>
            </w:r>
          </w:p>
        </w:tc>
      </w:tr>
    </w:tbl>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long-term debt as of the three months ended September 30, 2025, and December 31, 2024,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2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8"/>
                <w:szCs w:val="18"/>
                <w:color w:val="auto"/>
              </w:rPr>
            </w:pP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94,872</w:t>
            </w: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17,013</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111,885</w:t>
            </w:r>
          </w:p>
        </w:tc>
      </w:tr>
      <w:tr>
        <w:trPr>
          <w:trHeight w:val="253"/>
        </w:trPr>
        <w:tc>
          <w:tcPr>
            <w:tcW w:w="7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decreased by $103.2 million from December 31, 2024, to September 30, 2025, primarily due to a decrease in brokered deposits of $120.4 million. The Company’s brokered time deposits amounted to $124.4 million as of September 30, 2025, and $244.8 million at December 31, 2024. All of the Company’s brokered deposits are in the form of certificates of deposits that are insured by the FDIC. Excluding the brokered deposit balance, the total deposit balance increased by $17.2 million from December 31, 2024 to September 30,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balance of each category of deposits as of the dates indicated (in thousands):</w:t>
      </w: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21590</wp:posOffset>
            </wp:positionV>
            <wp:extent cx="12001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6"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Balance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21590</wp:posOffset>
            </wp:positionV>
            <wp:extent cx="12001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w:t>
      </w:r>
    </w:p>
    <w:p>
      <w:pPr>
        <w:spacing w:after="0" w:line="28" w:lineRule="exact"/>
        <w:rPr>
          <w:sz w:val="20"/>
          <w:szCs w:val="20"/>
          <w:color w:val="auto"/>
        </w:rPr>
      </w:pPr>
    </w:p>
    <w:p>
      <w:pPr>
        <w:sectPr>
          <w:pgSz w:w="11900" w:h="16838" w:orient="portrait"/>
          <w:cols w:equalWidth="0" w:num="2">
            <w:col w:w="8980" w:space="660"/>
            <w:col w:w="1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1,358,250</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1,379,940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2,275,726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2,223,540</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1,648,160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1,658,480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124,386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244,802</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other</w:t>
            </w: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1,005,530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1,008,477</w:t>
            </w:r>
          </w:p>
        </w:tc>
      </w:tr>
      <w:tr>
        <w:trPr>
          <w:trHeight w:val="20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5,053,802</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5,135,299</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6,412,052</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6,515,239</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deposits that meet or exceed the FDIC insurance limit of $250,000 in the amounts of $2.0 billion and $1.9 billion at September 30, 2025, and December 31, 2024, respectively. The Company does not have material deposit concentration risk to any significant market, industry or individual at September 30, 2025 or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maturity ranges of time deposits as of September 30, 2025, that meet or exceed the FDIC insurance limit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3 months or less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149,656</w:t>
            </w:r>
          </w:p>
        </w:tc>
      </w:tr>
      <w:tr>
        <w:trPr>
          <w:trHeight w:val="213"/>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3 months and within 6 months</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118,696</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6 months and within 12 months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17,859</w:t>
            </w:r>
          </w:p>
        </w:tc>
      </w:tr>
      <w:tr>
        <w:trPr>
          <w:trHeight w:val="21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12 months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9,691</w:t>
            </w:r>
          </w:p>
        </w:tc>
      </w:tr>
      <w:tr>
        <w:trPr>
          <w:trHeight w:val="20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uninsured, time deposits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295,902</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Total shareholders’ equity at September 30, 2025, was $822.2 million, compared to $730.2 million at December 31, 2024. Shareholders’ equity increased by $92.1 million mostly due to an increase in earnings and a decrease in other comprehensive loss since December 31, 2024. Accumulated other comprehensive loss decreased by $27.3 million from December 31, 2024, to September 30, 2025, from $(95.7) million to $(68.5) million due to a decrease in unrealized losses in our securities portfolio.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hedge some or all of our interest rate risk will be successful. See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 for a discussion of our hedging activity.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income over the next 12 months. This simulation assumes that there is no growth in interest-earning assets or interest-bearing liabilities over the next 12 months.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40" w:type="dxa"/>
            <w:vAlign w:val="bottom"/>
          </w:tcPr>
          <w:p>
            <w:pPr>
              <w:jc w:val="center"/>
              <w:ind w:left="2955"/>
              <w:spacing w:after="0"/>
              <w:rPr>
                <w:sz w:val="20"/>
                <w:szCs w:val="20"/>
                <w:color w:val="auto"/>
              </w:rPr>
            </w:pPr>
            <w:r>
              <w:rPr>
                <w:rFonts w:ascii="Times New Roman" w:cs="Times New Roman" w:eastAsia="Times New Roman" w:hAnsi="Times New Roman"/>
                <w:sz w:val="18"/>
                <w:szCs w:val="18"/>
                <w:color w:val="auto"/>
                <w:w w:val="98"/>
              </w:rPr>
              <w:t>(0.8)</w:t>
            </w:r>
          </w:p>
        </w:tc>
        <w:tc>
          <w:tcPr>
            <w:tcW w:w="80" w:type="dxa"/>
            <w:vAlign w:val="bottom"/>
          </w:tcPr>
          <w:p>
            <w:pPr>
              <w:spacing w:after="0"/>
              <w:rPr>
                <w:sz w:val="19"/>
                <w:szCs w:val="19"/>
                <w:color w:val="auto"/>
              </w:rPr>
            </w:pPr>
          </w:p>
        </w:tc>
        <w:tc>
          <w:tcPr>
            <w:tcW w:w="3740" w:type="dxa"/>
            <w:vAlign w:val="bottom"/>
          </w:tcPr>
          <w:p>
            <w:pPr>
              <w:jc w:val="center"/>
              <w:ind w:left="2955"/>
              <w:spacing w:after="0"/>
              <w:rPr>
                <w:sz w:val="20"/>
                <w:szCs w:val="20"/>
                <w:color w:val="auto"/>
              </w:rPr>
            </w:pPr>
            <w:r>
              <w:rPr>
                <w:rFonts w:ascii="Times New Roman" w:cs="Times New Roman" w:eastAsia="Times New Roman" w:hAnsi="Times New Roman"/>
                <w:sz w:val="18"/>
                <w:szCs w:val="18"/>
                <w:color w:val="auto"/>
                <w:w w:val="98"/>
              </w:rPr>
              <w:t>(0.7)</w:t>
            </w:r>
          </w:p>
        </w:tc>
      </w:tr>
      <w:tr>
        <w:trPr>
          <w:trHeight w:val="229"/>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4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74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r>
    </w:tbl>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Economic Value of Equity Analysis (“EVE”). </w:t>
      </w:r>
      <w:r>
        <w:rPr>
          <w:rFonts w:ascii="Times New Roman" w:cs="Times New Roman" w:eastAsia="Times New Roman" w:hAnsi="Times New Roman"/>
          <w:sz w:val="18"/>
          <w:szCs w:val="18"/>
          <w:color w:val="auto"/>
        </w:rPr>
        <w:t>We analyze the sensitivity of our financial condition to changes in interest rates through our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September 30, 2025, and 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3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c>
          <w:tcPr>
            <w:tcW w:w="3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229"/>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40" w:type="dxa"/>
            <w:vAlign w:val="bottom"/>
          </w:tcPr>
          <w:p>
            <w:pPr>
              <w:jc w:val="center"/>
              <w:ind w:left="2955"/>
              <w:spacing w:after="0"/>
              <w:rPr>
                <w:sz w:val="20"/>
                <w:szCs w:val="20"/>
                <w:color w:val="auto"/>
              </w:rPr>
            </w:pPr>
            <w:r>
              <w:rPr>
                <w:rFonts w:ascii="Times New Roman" w:cs="Times New Roman" w:eastAsia="Times New Roman" w:hAnsi="Times New Roman"/>
                <w:sz w:val="18"/>
                <w:szCs w:val="18"/>
                <w:color w:val="auto"/>
                <w:w w:val="98"/>
              </w:rPr>
              <w:t>(3.9)</w:t>
            </w:r>
          </w:p>
        </w:tc>
        <w:tc>
          <w:tcPr>
            <w:tcW w:w="80" w:type="dxa"/>
            <w:vAlign w:val="bottom"/>
          </w:tcPr>
          <w:p>
            <w:pPr>
              <w:spacing w:after="0"/>
              <w:rPr>
                <w:sz w:val="19"/>
                <w:szCs w:val="19"/>
                <w:color w:val="auto"/>
              </w:rPr>
            </w:pPr>
          </w:p>
        </w:tc>
        <w:tc>
          <w:tcPr>
            <w:tcW w:w="3740" w:type="dxa"/>
            <w:vAlign w:val="bottom"/>
          </w:tcPr>
          <w:p>
            <w:pPr>
              <w:jc w:val="center"/>
              <w:ind w:left="2955"/>
              <w:spacing w:after="0"/>
              <w:rPr>
                <w:sz w:val="20"/>
                <w:szCs w:val="20"/>
                <w:color w:val="auto"/>
              </w:rPr>
            </w:pPr>
            <w:r>
              <w:rPr>
                <w:rFonts w:ascii="Times New Roman" w:cs="Times New Roman" w:eastAsia="Times New Roman" w:hAnsi="Times New Roman"/>
                <w:sz w:val="18"/>
                <w:szCs w:val="18"/>
                <w:color w:val="auto"/>
                <w:w w:val="98"/>
              </w:rPr>
              <w:t>(3.6)</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4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374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55"/>
              <w:spacing w:after="0"/>
              <w:rPr>
                <w:sz w:val="20"/>
                <w:szCs w:val="20"/>
                <w:color w:val="auto"/>
              </w:rPr>
            </w:pPr>
            <w:r>
              <w:rPr>
                <w:rFonts w:ascii="Times New Roman" w:cs="Times New Roman" w:eastAsia="Times New Roman" w:hAnsi="Times New Roman"/>
                <w:sz w:val="18"/>
                <w:szCs w:val="18"/>
                <w:color w:val="auto"/>
                <w:w w:val="98"/>
              </w:rPr>
              <w:t>(3.4)</w:t>
            </w:r>
          </w:p>
        </w:tc>
        <w:tc>
          <w:tcPr>
            <w:tcW w:w="20" w:type="dxa"/>
            <w:vAlign w:val="bottom"/>
          </w:tcPr>
          <w:p>
            <w:pPr>
              <w:spacing w:after="0"/>
              <w:rPr>
                <w:sz w:val="19"/>
                <w:szCs w:val="19"/>
                <w:color w:val="auto"/>
              </w:rPr>
            </w:pPr>
          </w:p>
        </w:tc>
      </w:tr>
      <w:tr>
        <w:trPr>
          <w:trHeight w:val="891"/>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jc w:val="right"/>
              <w:ind w:right="1595"/>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September 30, 2025.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operations, and from time to 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pacing w:after="0" w:line="1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that were disclosed in Item 1A, under the caption “Risk Factors” in our Form 10-K for the year ended December 31, 2024.</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25, 2025, the Company announced that its Board authorized a share repurchase program pursuant to which the Company may purchase up to $50.0 million of the Company’s Common Stock in the open market or in privately negotiated transactions. The Company made no open market or private purchases for the nine months ended September 30, 2025.</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that are registered by the Company pursuant to Section 12 of the Exchange Act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3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80" w:type="dxa"/>
            <w:vAlign w:val="bottom"/>
          </w:tcPr>
          <w:p>
            <w:pPr>
              <w:spacing w:after="0"/>
              <w:rPr>
                <w:sz w:val="15"/>
                <w:szCs w:val="15"/>
                <w:color w:val="auto"/>
              </w:rPr>
            </w:pPr>
          </w:p>
        </w:tc>
        <w:tc>
          <w:tcPr>
            <w:tcW w:w="206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84"/>
        </w:trPr>
        <w:tc>
          <w:tcPr>
            <w:tcW w:w="256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20" w:type="dxa"/>
            <w:vAlign w:val="bottom"/>
            <w:gridSpan w:val="2"/>
            <w:vMerge w:val="continue"/>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23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 plans or</w:t>
            </w:r>
          </w:p>
        </w:tc>
        <w:tc>
          <w:tcPr>
            <w:tcW w:w="22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30"/>
        </w:trPr>
        <w:tc>
          <w:tcPr>
            <w:tcW w:w="2560" w:type="dxa"/>
            <w:vAlign w:val="bottom"/>
            <w:gridSpan w:val="2"/>
            <w:vMerge w:val="continue"/>
          </w:tcPr>
          <w:p>
            <w:pPr>
              <w:spacing w:after="0"/>
              <w:rPr>
                <w:sz w:val="19"/>
                <w:szCs w:val="19"/>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(1) (2)</w:t>
            </w:r>
          </w:p>
        </w:tc>
        <w:tc>
          <w:tcPr>
            <w:tcW w:w="420" w:type="dxa"/>
            <w:vAlign w:val="bottom"/>
          </w:tcPr>
          <w:p>
            <w:pPr>
              <w:spacing w:after="0"/>
              <w:rPr>
                <w:sz w:val="19"/>
                <w:szCs w:val="19"/>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programs (2)</w:t>
            </w:r>
          </w:p>
        </w:tc>
        <w:tc>
          <w:tcPr>
            <w:tcW w:w="180" w:type="dxa"/>
            <w:vAlign w:val="bottom"/>
          </w:tcPr>
          <w:p>
            <w:pPr>
              <w:spacing w:after="0"/>
              <w:rPr>
                <w:sz w:val="19"/>
                <w:szCs w:val="19"/>
                <w:color w:val="auto"/>
              </w:rPr>
            </w:pPr>
          </w:p>
        </w:tc>
        <w:tc>
          <w:tcPr>
            <w:tcW w:w="2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or programs (3)</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 2025</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3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1 - 31, 2025</w:t>
            </w:r>
          </w:p>
        </w:tc>
        <w:tc>
          <w:tcPr>
            <w:tcW w:w="21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 2025</w:t>
            </w:r>
          </w:p>
        </w:tc>
        <w:tc>
          <w:tcPr>
            <w:tcW w:w="21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hanging="328"/>
        <w:spacing w:after="0" w:line="282" w:lineRule="auto"/>
        <w:tabs>
          <w:tab w:leader="none" w:pos="55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shares purchased during the period that were transferred to the Company from employees in satisfaction of minimum tax withholding obligations associated with the vesting of restricted stock units during the period.</w:t>
      </w:r>
    </w:p>
    <w:p>
      <w:pPr>
        <w:spacing w:after="0" w:line="67"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shares were purchased by the Company under any share repurchase program during the quarter ended September 30, 2025.</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share repurchase program was authorized on April 25, 2025.</w:t>
      </w:r>
    </w:p>
    <w:p>
      <w:pPr>
        <w:spacing w:after="0" w:line="3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 xml:space="preserve">Articles of Incorporation Burke &amp; Herbert Financial Services Corp. as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of the</w:t>
            </w:r>
          </w:p>
        </w:tc>
      </w:tr>
      <w:tr>
        <w:trPr>
          <w:trHeight w:val="209"/>
        </w:trPr>
        <w:tc>
          <w:tcPr>
            <w:tcW w:w="112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Registrant’s Form 10-Q filed August 13, 2024)</w:t>
            </w:r>
          </w:p>
        </w:tc>
        <w:tc>
          <w:tcPr>
            <w:tcW w:w="1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7"/>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 xml:space="preserve">Bylaws of Burke &amp; Herbert Financial Services Corp. as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3.4 to the Registrant’s Form 10-Q</w:t>
            </w:r>
          </w:p>
        </w:tc>
      </w:tr>
      <w:tr>
        <w:trPr>
          <w:trHeight w:val="210"/>
        </w:trPr>
        <w:tc>
          <w:tcPr>
            <w:tcW w:w="1120" w:type="dxa"/>
            <w:vAlign w:val="bottom"/>
          </w:tcPr>
          <w:p>
            <w:pPr>
              <w:spacing w:after="0"/>
              <w:rPr>
                <w:sz w:val="18"/>
                <w:szCs w:val="18"/>
                <w:color w:val="auto"/>
              </w:rPr>
            </w:pPr>
          </w:p>
        </w:tc>
        <w:tc>
          <w:tcPr>
            <w:tcW w:w="4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filed May 10, 2024)</w:t>
            </w:r>
          </w:p>
        </w:tc>
        <w:tc>
          <w:tcPr>
            <w:tcW w:w="24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11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0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740" w:type="dxa"/>
            <w:vAlign w:val="bottom"/>
            <w:tcBorders>
              <w:bottom w:val="single" w:sz="8" w:color="CCEEFF"/>
            </w:tcBorders>
            <w:gridSpan w:val="2"/>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1"/>
        </w:trPr>
        <w:tc>
          <w:tcPr>
            <w:tcW w:w="1120" w:type="dxa"/>
            <w:vAlign w:val="bottom"/>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40" w:type="dxa"/>
            <w:vAlign w:val="bottom"/>
            <w:tcBorders>
              <w:top w:val="single" w:sz="8" w:color="CCEEFF"/>
            </w:tcBorders>
            <w:shd w:val="clear" w:color="auto" w:fill="CCEEFF"/>
          </w:tcPr>
          <w:p>
            <w:pPr>
              <w:spacing w:after="0"/>
              <w:rPr>
                <w:sz w:val="13"/>
                <w:szCs w:val="13"/>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282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76"/>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The following materials from the registrant’s Form 10-Q Report for the quarterly period ended September 30, 2025, formatted in Inline</w:t>
            </w:r>
          </w:p>
        </w:tc>
      </w:tr>
      <w:tr>
        <w:trPr>
          <w:trHeight w:val="184"/>
        </w:trPr>
        <w:tc>
          <w:tcPr>
            <w:tcW w:w="1120" w:type="dxa"/>
            <w:vAlign w:val="bottom"/>
          </w:tcPr>
          <w:p>
            <w:pPr>
              <w:spacing w:after="0"/>
              <w:rPr>
                <w:sz w:val="16"/>
                <w:szCs w:val="16"/>
                <w:color w:val="auto"/>
              </w:rPr>
            </w:pPr>
          </w:p>
        </w:tc>
        <w:tc>
          <w:tcPr>
            <w:tcW w:w="994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XBRL: (i) the Consolidated Balance Sheets, (ii) the Consolidated Statements of Income (Loss), (iii) the Consolidated Statements of</w:t>
            </w:r>
          </w:p>
        </w:tc>
      </w:tr>
      <w:tr>
        <w:trPr>
          <w:trHeight w:val="180"/>
        </w:trPr>
        <w:tc>
          <w:tcPr>
            <w:tcW w:w="1120" w:type="dxa"/>
            <w:vAlign w:val="bottom"/>
          </w:tcPr>
          <w:p>
            <w:pPr>
              <w:spacing w:after="0"/>
              <w:rPr>
                <w:sz w:val="15"/>
                <w:szCs w:val="15"/>
                <w:color w:val="auto"/>
              </w:rPr>
            </w:pPr>
          </w:p>
        </w:tc>
        <w:tc>
          <w:tcPr>
            <w:tcW w:w="99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Comprehensive Income (Loss), (iv) the Consolidated Statements of Changes in Shareholders’ Equity, (v) the Consolidated Statements of</w:t>
            </w:r>
          </w:p>
        </w:tc>
      </w:tr>
      <w:tr>
        <w:trPr>
          <w:trHeight w:val="230"/>
        </w:trPr>
        <w:tc>
          <w:tcPr>
            <w:tcW w:w="1120" w:type="dxa"/>
            <w:vAlign w:val="bottom"/>
          </w:tcPr>
          <w:p>
            <w:pPr>
              <w:spacing w:after="0"/>
              <w:rPr>
                <w:sz w:val="19"/>
                <w:szCs w:val="19"/>
                <w:color w:val="auto"/>
              </w:rPr>
            </w:pPr>
          </w:p>
        </w:tc>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Cash Flows, and (vi) the Notes to Consolidated Financial Statements.</w:t>
            </w:r>
          </w:p>
        </w:tc>
      </w:tr>
      <w:tr>
        <w:trPr>
          <w:trHeight w:val="175"/>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cover page of the registrant’s Quarterly Report on Form 10-Q for the quarterly period ended September 30, 2025, formatted in Inline</w:t>
            </w:r>
          </w:p>
        </w:tc>
      </w:tr>
      <w:tr>
        <w:trPr>
          <w:trHeight w:val="243"/>
        </w:trPr>
        <w:tc>
          <w:tcPr>
            <w:tcW w:w="1120" w:type="dxa"/>
            <w:vAlign w:val="bottom"/>
            <w:shd w:val="clear" w:color="auto" w:fill="CCEEFF"/>
          </w:tcPr>
          <w:p>
            <w:pPr>
              <w:spacing w:after="0"/>
              <w:rPr>
                <w:sz w:val="21"/>
                <w:szCs w:val="21"/>
                <w:color w:val="auto"/>
              </w:rPr>
            </w:pPr>
          </w:p>
        </w:tc>
        <w:tc>
          <w:tcPr>
            <w:tcW w:w="99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(contained in Exhibit 101).</w:t>
            </w:r>
          </w:p>
        </w:tc>
      </w:tr>
    </w:tbl>
    <w:p>
      <w:pPr>
        <w:spacing w:after="0" w:line="2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37"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David P. Boyle</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David P. Boyle</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54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P. Boyle, certify that:</w:t>
      </w:r>
    </w:p>
    <w:p>
      <w:pPr>
        <w:spacing w:after="0" w:line="17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November 7, 2025</w:t>
      </w:r>
    </w:p>
    <w:p>
      <w:pPr>
        <w:ind w:left="4540"/>
        <w:spacing w:after="0" w:line="197" w:lineRule="auto"/>
        <w:rPr>
          <w:sz w:val="20"/>
          <w:szCs w:val="20"/>
          <w:color w:val="auto"/>
        </w:rPr>
      </w:pPr>
      <w:r>
        <w:rPr>
          <w:rFonts w:ascii="Times New Roman" w:cs="Times New Roman" w:eastAsia="Times New Roman" w:hAnsi="Times New Roman"/>
          <w:sz w:val="20"/>
          <w:szCs w:val="20"/>
          <w:color w:val="auto"/>
        </w:rPr>
        <w:t>/s/ David P. Boyle</w:t>
      </w:r>
    </w:p>
    <w:p>
      <w:pPr>
        <w:ind w:left="4540"/>
        <w:spacing w:after="0" w:line="211" w:lineRule="auto"/>
        <w:rPr>
          <w:sz w:val="20"/>
          <w:szCs w:val="20"/>
          <w:color w:val="auto"/>
        </w:rPr>
      </w:pPr>
      <w:r>
        <w:rPr>
          <w:rFonts w:ascii="Times New Roman" w:cs="Times New Roman" w:eastAsia="Times New Roman" w:hAnsi="Times New Roman"/>
          <w:sz w:val="20"/>
          <w:szCs w:val="20"/>
          <w:color w:val="auto"/>
        </w:rPr>
        <w:t>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0331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Chairman of the Board and Chief Executive Officer</w:t>
      </w:r>
    </w:p>
    <w:p>
      <w:pPr>
        <w:sectPr>
          <w:pgSz w:w="11900" w:h="16838" w:orient="portrait"/>
          <w:cols w:equalWidth="0" w:num="1">
            <w:col w:w="11240"/>
          </w:cols>
          <w:pgMar w:left="320" w:top="99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Roy E. Halyama, certify that:</w:t>
      </w:r>
    </w:p>
    <w:p>
      <w:pPr>
        <w:spacing w:after="0" w:line="17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November 7, 2025</w:t>
      </w:r>
    </w:p>
    <w:p>
      <w:pPr>
        <w:ind w:left="4540"/>
        <w:spacing w:after="0" w:line="197" w:lineRule="auto"/>
        <w:rPr>
          <w:sz w:val="20"/>
          <w:szCs w:val="20"/>
          <w:color w:val="auto"/>
        </w:rPr>
      </w:pPr>
      <w:r>
        <w:rPr>
          <w:rFonts w:ascii="Times New Roman" w:cs="Times New Roman" w:eastAsia="Times New Roman" w:hAnsi="Times New Roman"/>
          <w:sz w:val="20"/>
          <w:szCs w:val="20"/>
          <w:color w:val="auto"/>
        </w:rPr>
        <w:t>/s/ Roy E. Halyama</w:t>
      </w:r>
    </w:p>
    <w:p>
      <w:pPr>
        <w:ind w:left="4540"/>
        <w:spacing w:after="0" w:line="211" w:lineRule="auto"/>
        <w:rPr>
          <w:sz w:val="20"/>
          <w:szCs w:val="20"/>
          <w:color w:val="auto"/>
        </w:rPr>
      </w:pPr>
      <w:r>
        <w:rPr>
          <w:rFonts w:ascii="Times New Roman" w:cs="Times New Roman" w:eastAsia="Times New Roman" w:hAnsi="Times New Roman"/>
          <w:sz w:val="20"/>
          <w:szCs w:val="20"/>
          <w:color w:val="auto"/>
        </w:rPr>
        <w:t>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1093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Executive Vice President &amp; Chief Financial Officer</w:t>
      </w:r>
    </w:p>
    <w:p>
      <w:pPr>
        <w:sectPr>
          <w:pgSz w:w="11900" w:h="16838" w:orient="portrait"/>
          <w:cols w:equalWidth="0" w:num="1">
            <w:col w:w="11240"/>
          </w:cols>
          <w:pgMar w:left="320" w:top="990"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In connection with the Quarterly Report on Form 10-Q of Burke &amp; Herbert Financial Services Corp. (the “Company”) for the period ended September 30, 2025,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p>
      <w:pPr>
        <w:spacing w:after="0" w:line="114" w:lineRule="exact"/>
        <w:rPr>
          <w:sz w:val="20"/>
          <w:szCs w:val="20"/>
          <w:color w:val="auto"/>
        </w:rPr>
      </w:pPr>
    </w:p>
    <w:p>
      <w:pPr>
        <w:ind w:left="1600" w:hanging="791"/>
        <w:spacing w:after="0"/>
        <w:tabs>
          <w:tab w:leader="none" w:pos="1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32" w:lineRule="exact"/>
        <w:rPr>
          <w:rFonts w:ascii="Times New Roman" w:cs="Times New Roman" w:eastAsia="Times New Roman" w:hAnsi="Times New Roman"/>
          <w:sz w:val="16"/>
          <w:szCs w:val="16"/>
          <w:color w:val="auto"/>
        </w:rPr>
      </w:pPr>
    </w:p>
    <w:p>
      <w:pPr>
        <w:ind w:left="1600" w:hanging="791"/>
        <w:spacing w:after="0"/>
        <w:tabs>
          <w:tab w:leader="none" w:pos="1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7, 2025</w:t>
      </w:r>
      <w:r>
        <w:rPr>
          <w:sz w:val="20"/>
          <w:szCs w:val="20"/>
          <w:color w:val="auto"/>
        </w:rPr>
        <w:tab/>
      </w:r>
      <w:r>
        <w:rPr>
          <w:rFonts w:ascii="Times New Roman" w:cs="Times New Roman" w:eastAsia="Times New Roman" w:hAnsi="Times New Roman"/>
          <w:sz w:val="16"/>
          <w:szCs w:val="16"/>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David P. Boyle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7, 2025</w:t>
      </w:r>
      <w:r>
        <w:rPr>
          <w:sz w:val="20"/>
          <w:szCs w:val="20"/>
          <w:color w:val="auto"/>
        </w:rPr>
        <w:tab/>
      </w:r>
      <w:r>
        <w:rPr>
          <w:rFonts w:ascii="Times New Roman" w:cs="Times New Roman" w:eastAsia="Times New Roman" w:hAnsi="Times New Roman"/>
          <w:sz w:val="16"/>
          <w:szCs w:val="16"/>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Roy E. Halyama</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&amp;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lowerRoman"/>
      <w:start w:val="3"/>
    </w:lvl>
  </w:abstractNum>
  <w:abstractNum w:abstractNumId="6">
    <w:nsid w:val="6B68079A"/>
    <w:multiLevelType w:val="hybridMultilevel"/>
    <w:lvl w:ilvl="0">
      <w:lvlJc w:val="left"/>
      <w:lvlText w:val="•"/>
      <w:numFmt w:val="bullet"/>
      <w:start w:val="1"/>
    </w:lvl>
    <w:lvl w:ilvl="1">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6"/>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6"/>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3">
    <w:nsid w:val="8EDBDA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28" Type="http://schemas.openxmlformats.org/officeDocument/2006/relationships/hyperlink" Target="https://www.sec.gov/Archives/edgar/data/1964333/000196433324000316/bhrb-compiledarticlesofinc.htm" TargetMode="External"/><Relationship Id="rId129" Type="http://schemas.openxmlformats.org/officeDocument/2006/relationships/hyperlink" Target="https://www.sec.gov/Archives/edgar/data/1964333/000196433324000219/bhrb-ex341q202410x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2025-11-07T08:07:47Z</dcterms:created>
  <dcterms:modified xsi:type="dcterms:W3CDTF">2025-11-07T08:07:47Z</dcterms:modified>
</cp:coreProperties>
</file>