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7043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0434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20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Freeman Danyl R</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80"/>
              <w:spacing w:after="0"/>
              <w:rPr>
                <w:sz w:val="20"/>
                <w:szCs w:val="20"/>
                <w:color w:val="auto"/>
              </w:rPr>
            </w:pPr>
            <w:r>
              <w:rPr>
                <w:rFonts w:ascii="Arial" w:cs="Arial" w:eastAsia="Arial" w:hAnsi="Arial"/>
                <w:sz w:val="13"/>
                <w:szCs w:val="13"/>
                <w:color w:val="auto"/>
              </w:rPr>
              <w:t>(First)</w:t>
            </w:r>
          </w:p>
        </w:tc>
        <w:tc>
          <w:tcPr>
            <w:tcW w:w="130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100 SOUTH FAIRFAX STREET</w:t>
            </w:r>
          </w:p>
        </w:tc>
        <w:tc>
          <w:tcPr>
            <w:tcW w:w="1300" w:type="dxa"/>
            <w:vAlign w:val="bottom"/>
          </w:tcPr>
          <w:p>
            <w:pPr>
              <w:spacing w:after="0"/>
              <w:rPr>
                <w:sz w:val="23"/>
                <w:szCs w:val="23"/>
                <w:color w:val="auto"/>
              </w:rPr>
            </w:pPr>
          </w:p>
        </w:tc>
      </w:tr>
      <w:tr>
        <w:trPr>
          <w:trHeight w:val="198"/>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r>
      <w:tr>
        <w:trPr>
          <w:trHeight w:val="25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ALEXANDRIA</w:t>
            </w:r>
          </w:p>
        </w:tc>
        <w:tc>
          <w:tcPr>
            <w:tcW w:w="11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VA</w:t>
            </w:r>
          </w:p>
        </w:tc>
        <w:tc>
          <w:tcPr>
            <w:tcW w:w="13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22313</w:t>
            </w:r>
          </w:p>
        </w:tc>
      </w:tr>
      <w:tr>
        <w:trPr>
          <w:trHeight w:val="147"/>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80"/>
              <w:spacing w:after="0"/>
              <w:rPr>
                <w:sz w:val="20"/>
                <w:szCs w:val="20"/>
                <w:color w:val="auto"/>
              </w:rPr>
            </w:pPr>
            <w:r>
              <w:rPr>
                <w:rFonts w:ascii="Arial" w:cs="Arial" w:eastAsia="Arial" w:hAnsi="Arial"/>
                <w:sz w:val="13"/>
                <w:szCs w:val="13"/>
                <w:color w:val="auto"/>
              </w:rPr>
              <w:t>(State)</w:t>
            </w:r>
          </w:p>
        </w:tc>
        <w:tc>
          <w:tcPr>
            <w:tcW w:w="130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Burke &amp; Herbert Financial Services Corp.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46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BHRB </w:t>
            </w:r>
            <w:r>
              <w:rPr>
                <w:rFonts w:ascii="Times New Roman" w:cs="Times New Roman" w:eastAsia="Times New Roman" w:hAnsi="Times New Roman"/>
                <w:sz w:val="20"/>
                <w:szCs w:val="20"/>
                <w:color w:val="000000"/>
              </w:rPr>
              <w:t>]</w:t>
            </w: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2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60" w:type="dxa"/>
            <w:vAlign w:val="bottom"/>
            <w:tcBorders>
              <w:bottom w:val="single" w:sz="8" w:color="808080"/>
            </w:tcBorders>
          </w:tcPr>
          <w:p>
            <w:pPr>
              <w:spacing w:after="0"/>
              <w:rPr>
                <w:sz w:val="4"/>
                <w:szCs w:val="4"/>
                <w:color w:val="auto"/>
              </w:rPr>
            </w:pPr>
          </w:p>
        </w:tc>
        <w:tc>
          <w:tcPr>
            <w:tcW w:w="34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38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38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216"/>
        </w:trPr>
        <w:tc>
          <w:tcPr>
            <w:tcW w:w="3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05/03/2024</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2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05/03/2024</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1,515</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1,515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7"/>
                <w:szCs w:val="17"/>
                <w:color w:val="auto"/>
              </w:rPr>
            </w:pP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05/03/2024</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6,124</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6,124</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160" w:type="dxa"/>
            <w:vAlign w:val="bottom"/>
            <w:gridSpan w:val="13"/>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jc w:val="center"/>
              <w:ind w:right="15"/>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right"/>
              <w:ind w:right="335"/>
              <w:spacing w:after="0"/>
              <w:rPr>
                <w:sz w:val="20"/>
                <w:szCs w:val="20"/>
                <w:color w:val="auto"/>
              </w:rPr>
            </w:pPr>
            <w:r>
              <w:rPr>
                <w:rFonts w:ascii="Arial" w:cs="Arial" w:eastAsia="Arial" w:hAnsi="Arial"/>
                <w:sz w:val="11"/>
                <w:szCs w:val="11"/>
                <w:b w:val="1"/>
                <w:bCs w:val="1"/>
                <w:color w:val="auto"/>
                <w:w w:val="90"/>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center"/>
              <w:ind w:right="15"/>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jc w:val="right"/>
              <w:ind w:right="335"/>
              <w:spacing w:after="0"/>
              <w:rPr>
                <w:sz w:val="20"/>
                <w:szCs w:val="20"/>
                <w:color w:val="auto"/>
              </w:rPr>
            </w:pPr>
            <w:r>
              <w:rPr>
                <w:rFonts w:ascii="Arial" w:cs="Arial" w:eastAsia="Arial" w:hAnsi="Arial"/>
                <w:sz w:val="11"/>
                <w:szCs w:val="11"/>
                <w:b w:val="1"/>
                <w:bCs w:val="1"/>
                <w:color w:val="auto"/>
                <w:w w:val="95"/>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jc w:val="right"/>
              <w:ind w:right="55"/>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Settled</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51.58</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05/03/2024</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1,278</w:t>
            </w:r>
          </w:p>
        </w:tc>
        <w:tc>
          <w:tcPr>
            <w:tcW w:w="320" w:type="dxa"/>
            <w:vAlign w:val="bottom"/>
          </w:tcPr>
          <w:p>
            <w:pPr>
              <w:spacing w:after="0"/>
              <w:rPr>
                <w:sz w:val="17"/>
                <w:szCs w:val="17"/>
                <w:color w:val="auto"/>
              </w:rPr>
            </w:pPr>
          </w:p>
        </w:tc>
        <w:tc>
          <w:tcPr>
            <w:tcW w:w="8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02/09/2017</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02/09/2027</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1,278</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51.58</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1,278</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Appreciation</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Settled</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47.47</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05/03/2024</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2,738</w:t>
            </w:r>
          </w:p>
        </w:tc>
        <w:tc>
          <w:tcPr>
            <w:tcW w:w="320" w:type="dxa"/>
            <w:vAlign w:val="bottom"/>
          </w:tcPr>
          <w:p>
            <w:pPr>
              <w:spacing w:after="0"/>
              <w:rPr>
                <w:sz w:val="17"/>
                <w:szCs w:val="17"/>
                <w:color w:val="auto"/>
              </w:rPr>
            </w:pPr>
          </w:p>
        </w:tc>
        <w:tc>
          <w:tcPr>
            <w:tcW w:w="8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02/07/2019</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02/07/2029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2,738</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47.47</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2,738</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Appreciation</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Settled</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43.33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05/03/2024</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2,836</w:t>
            </w:r>
          </w:p>
        </w:tc>
        <w:tc>
          <w:tcPr>
            <w:tcW w:w="320" w:type="dxa"/>
            <w:vAlign w:val="bottom"/>
          </w:tcPr>
          <w:p>
            <w:pPr>
              <w:spacing w:after="0"/>
              <w:rPr>
                <w:sz w:val="17"/>
                <w:szCs w:val="17"/>
                <w:color w:val="auto"/>
              </w:rPr>
            </w:pPr>
          </w:p>
        </w:tc>
        <w:tc>
          <w:tcPr>
            <w:tcW w:w="8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07/15/2021</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07/15/2031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2,836</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43.33</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2,836</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Appreciation</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Settled</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52.29</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05/03/2024</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2,819</w:t>
            </w:r>
          </w:p>
        </w:tc>
        <w:tc>
          <w:tcPr>
            <w:tcW w:w="320" w:type="dxa"/>
            <w:vAlign w:val="bottom"/>
          </w:tcPr>
          <w:p>
            <w:pPr>
              <w:spacing w:after="0"/>
              <w:rPr>
                <w:sz w:val="17"/>
                <w:szCs w:val="17"/>
                <w:color w:val="auto"/>
              </w:rPr>
            </w:pPr>
          </w:p>
        </w:tc>
        <w:tc>
          <w:tcPr>
            <w:tcW w:w="8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02/09/2023</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02/09/2033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2,819</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52.29</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2,819</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Appreciation</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Rights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240" w:firstLine="1"/>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Agreement and Plan of Reorganization (the "Merger Agreement"), dated as of August 24, 2023, by and between Burke &amp; Herbert Financial Services Corp. ("Burke &amp; Herbert") and Summit Financial Group, Inc. ("Summit"), on May 3, 2024 (the "Closing Date") Summit merged with and into Burke &amp; Herbert (the "Merger"), with Burke &amp; Herbert continuing as the surviving company of the Merger. Pursuant to the Merger Agreement, on the Closing Date each share of Summit common stock held by the reporting person was converted into the right to receive 0.5043 of a share of common stock of Burke &amp; Herbert rounded down to the nearest whole number of shares. The closing price of Burke &amp; Herbert's common stock on May 2, 2024, was $51.67 per share.</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Summit ESOP was terminated pursuant to the Merger Agreement.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appreciation rights ("SARs") that were converted from Summit SARs into Burke &amp; Herbert SARs pursuant to the Merger Agreement.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Kirtan Parikh, as Attorney-</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05/06/2024</w:t>
            </w:r>
          </w:p>
        </w:tc>
        <w:tc>
          <w:tcPr>
            <w:tcW w:w="0" w:type="dxa"/>
            <w:vAlign w:val="bottom"/>
          </w:tcPr>
          <w:p>
            <w:pPr>
              <w:spacing w:after="0"/>
              <w:rPr>
                <w:sz w:val="1"/>
                <w:szCs w:val="1"/>
                <w:color w:val="auto"/>
              </w:rPr>
            </w:pPr>
          </w:p>
        </w:tc>
      </w:tr>
      <w:tr>
        <w:trPr>
          <w:trHeight w:val="82"/>
        </w:trPr>
        <w:tc>
          <w:tcPr>
            <w:tcW w:w="20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8"/>
              </w:rPr>
              <w:t>in-Fact for Danyl R. Freeman</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gridSpan w:val="2"/>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4438" TargetMode="External"/><Relationship Id="rId13" Type="http://schemas.openxmlformats.org/officeDocument/2006/relationships/hyperlink" Target="http://www.sec.gov/cgi-bin/browse-edgar?action=getcompany&amp;CIK=0001964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2024-05-06T15:44:48Z</dcterms:created>
  <dcterms:modified xsi:type="dcterms:W3CDTF">2024-05-06T15:44:48Z</dcterms:modified>
</cp:coreProperties>
</file>