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580" w:right="2420" w:hanging="554"/>
        <w:spacing w:after="0" w:line="386" w:lineRule="auto"/>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001-41633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Burke &amp; Herbert Financial Services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228"/>
              <w:spacing w:after="0"/>
              <w:rPr>
                <w:sz w:val="20"/>
                <w:szCs w:val="20"/>
                <w:color w:val="auto"/>
              </w:rPr>
            </w:pPr>
            <w:r>
              <w:rPr>
                <w:rFonts w:ascii="Arial" w:cs="Arial" w:eastAsia="Arial" w:hAnsi="Arial"/>
                <w:sz w:val="14"/>
                <w:szCs w:val="14"/>
                <w:b w:val="1"/>
                <w:bCs w:val="1"/>
                <w:color w:val="auto"/>
              </w:rPr>
              <w:t>Virginia</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Pr>
          <w:p>
            <w:pPr>
              <w:jc w:val="right"/>
              <w:ind w:right="1808"/>
              <w:spacing w:after="0"/>
              <w:rPr>
                <w:sz w:val="20"/>
                <w:szCs w:val="20"/>
                <w:color w:val="auto"/>
              </w:rPr>
            </w:pPr>
            <w:r>
              <w:rPr>
                <w:rFonts w:ascii="Arial" w:cs="Arial" w:eastAsia="Arial" w:hAnsi="Arial"/>
                <w:sz w:val="14"/>
                <w:szCs w:val="14"/>
                <w:b w:val="1"/>
                <w:bCs w:val="1"/>
                <w:color w:val="auto"/>
              </w:rPr>
              <w:t>92-0289417</w:t>
            </w:r>
          </w:p>
        </w:tc>
      </w:tr>
      <w:tr>
        <w:trPr>
          <w:trHeight w:val="203"/>
        </w:trPr>
        <w:tc>
          <w:tcPr>
            <w:tcW w:w="4100" w:type="dxa"/>
            <w:vAlign w:val="bottom"/>
          </w:tcPr>
          <w:p>
            <w:pPr>
              <w:jc w:val="center"/>
              <w:ind w:left="2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right="628"/>
              <w:spacing w:after="0"/>
              <w:rPr>
                <w:sz w:val="20"/>
                <w:szCs w:val="20"/>
                <w:color w:val="auto"/>
              </w:rPr>
            </w:pPr>
            <w:r>
              <w:rPr>
                <w:rFonts w:ascii="Arial" w:cs="Arial" w:eastAsia="Arial" w:hAnsi="Arial"/>
                <w:sz w:val="14"/>
                <w:szCs w:val="14"/>
                <w:color w:val="auto"/>
                <w:w w:val="97"/>
              </w:rPr>
              <w:t>(I.R.S. Employer Identification No.)</w:t>
            </w:r>
          </w:p>
        </w:tc>
      </w:tr>
      <w:tr>
        <w:trPr>
          <w:trHeight w:val="297"/>
        </w:trPr>
        <w:tc>
          <w:tcPr>
            <w:tcW w:w="410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100 S. Fairfax Street, Alexandria, Virginia</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jc w:val="right"/>
              <w:ind w:right="1988"/>
              <w:spacing w:after="0"/>
              <w:rPr>
                <w:sz w:val="20"/>
                <w:szCs w:val="20"/>
                <w:color w:val="auto"/>
              </w:rPr>
            </w:pPr>
            <w:r>
              <w:rPr>
                <w:rFonts w:ascii="Arial" w:cs="Arial" w:eastAsia="Arial" w:hAnsi="Arial"/>
                <w:sz w:val="14"/>
                <w:szCs w:val="14"/>
                <w:b w:val="1"/>
                <w:bCs w:val="1"/>
                <w:color w:val="auto"/>
              </w:rPr>
              <w:t>22314</w:t>
            </w:r>
          </w:p>
        </w:tc>
      </w:tr>
      <w:tr>
        <w:trPr>
          <w:trHeight w:val="203"/>
        </w:trPr>
        <w:tc>
          <w:tcPr>
            <w:tcW w:w="4100" w:type="dxa"/>
            <w:vAlign w:val="bottom"/>
          </w:tcPr>
          <w:p>
            <w:pPr>
              <w:jc w:val="center"/>
              <w:ind w:left="228"/>
              <w:spacing w:after="0"/>
              <w:rPr>
                <w:sz w:val="20"/>
                <w:szCs w:val="20"/>
                <w:color w:val="auto"/>
              </w:rPr>
            </w:pPr>
            <w:r>
              <w:rPr>
                <w:rFonts w:ascii="Arial" w:cs="Arial" w:eastAsia="Arial" w:hAnsi="Arial"/>
                <w:sz w:val="14"/>
                <w:szCs w:val="14"/>
                <w:color w:val="auto"/>
                <w:w w:val="95"/>
              </w:rPr>
              <w:t>(Address of principal executive offices)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right="648"/>
              <w:spacing w:after="0"/>
              <w:rPr>
                <w:sz w:val="20"/>
                <w:szCs w:val="20"/>
                <w:color w:val="auto"/>
              </w:rPr>
            </w:pPr>
            <w:r>
              <w:rPr>
                <w:rFonts w:ascii="Arial" w:cs="Arial" w:eastAsia="Arial" w:hAnsi="Arial"/>
                <w:sz w:val="14"/>
                <w:szCs w:val="14"/>
                <w:color w:val="auto"/>
                <w:w w:val="96"/>
              </w:rPr>
              <w:t>(Zip Code)</w:t>
            </w:r>
          </w:p>
        </w:tc>
      </w:tr>
      <w:tr>
        <w:trPr>
          <w:trHeight w:val="297"/>
        </w:trPr>
        <w:tc>
          <w:tcPr>
            <w:tcW w:w="4100" w:type="dxa"/>
            <w:vAlign w:val="bottom"/>
          </w:tcPr>
          <w:p>
            <w:pPr>
              <w:spacing w:after="0"/>
              <w:rPr>
                <w:sz w:val="24"/>
                <w:szCs w:val="24"/>
                <w:color w:val="auto"/>
              </w:rPr>
            </w:pPr>
          </w:p>
        </w:tc>
        <w:tc>
          <w:tcPr>
            <w:tcW w:w="3300" w:type="dxa"/>
            <w:vAlign w:val="bottom"/>
            <w:gridSpan w:val="3"/>
          </w:tcPr>
          <w:p>
            <w:pPr>
              <w:jc w:val="right"/>
              <w:ind w:right="1328"/>
              <w:spacing w:after="0"/>
              <w:rPr>
                <w:sz w:val="20"/>
                <w:szCs w:val="20"/>
                <w:color w:val="auto"/>
              </w:rPr>
            </w:pPr>
            <w:r>
              <w:rPr>
                <w:rFonts w:ascii="Arial" w:cs="Arial" w:eastAsia="Arial" w:hAnsi="Arial"/>
                <w:sz w:val="14"/>
                <w:szCs w:val="14"/>
                <w:b w:val="1"/>
                <w:bCs w:val="1"/>
                <w:color w:val="auto"/>
              </w:rPr>
              <w:t>703-666-3555</w:t>
            </w: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3"/>
        </w:trPr>
        <w:tc>
          <w:tcPr>
            <w:tcW w:w="4100" w:type="dxa"/>
            <w:vAlign w:val="bottom"/>
          </w:tcPr>
          <w:p>
            <w:pPr>
              <w:spacing w:after="0"/>
              <w:rPr>
                <w:sz w:val="17"/>
                <w:szCs w:val="17"/>
                <w:color w:val="auto"/>
              </w:rPr>
            </w:pPr>
          </w:p>
        </w:tc>
        <w:tc>
          <w:tcPr>
            <w:tcW w:w="338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Registrant’s telephone number, including area code</w:t>
            </w:r>
          </w:p>
        </w:tc>
        <w:tc>
          <w:tcPr>
            <w:tcW w:w="3760" w:type="dxa"/>
            <w:vAlign w:val="bottom"/>
          </w:tcPr>
          <w:p>
            <w:pPr>
              <w:spacing w:after="0"/>
              <w:rPr>
                <w:sz w:val="17"/>
                <w:szCs w:val="17"/>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3"/>
              </w:rPr>
              <w:t>Title of Each Class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5"/>
        </w:trPr>
        <w:tc>
          <w:tcPr>
            <w:tcW w:w="4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0"/>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2"/>
              </w:rPr>
              <w:t>Common Stock, par value $0.50 per share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BHRB</w:t>
            </w:r>
          </w:p>
        </w:tc>
        <w:tc>
          <w:tcPr>
            <w:tcW w:w="8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41" w:lineRule="exact"/>
        <w:rPr>
          <w:sz w:val="24"/>
          <w:szCs w:val="24"/>
          <w:color w:val="auto"/>
        </w:rPr>
      </w:pPr>
    </w:p>
    <w:p>
      <w:pPr>
        <w:jc w:val="both"/>
        <w:ind w:right="2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460"/>
              <w:spacing w:after="0"/>
              <w:rPr>
                <w:sz w:val="20"/>
                <w:szCs w:val="20"/>
                <w:color w:val="auto"/>
              </w:rPr>
            </w:pPr>
            <w:r>
              <w:rPr>
                <w:rFonts w:ascii="Arial" w:cs="Arial" w:eastAsia="Arial" w:hAnsi="Arial"/>
                <w:sz w:val="14"/>
                <w:szCs w:val="14"/>
                <w:color w:val="auto"/>
              </w:rPr>
              <w:t>o</w:t>
            </w:r>
          </w:p>
        </w:tc>
        <w:tc>
          <w:tcPr>
            <w:tcW w:w="4940" w:type="dxa"/>
            <w:vAlign w:val="bottom"/>
          </w:tcPr>
          <w:p>
            <w:pPr>
              <w:ind w:left="282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rPr>
                <w:sz w:val="20"/>
                <w:szCs w:val="20"/>
                <w:color w:val="auto"/>
              </w:rPr>
            </w:pPr>
            <w:r>
              <w:rPr>
                <w:rFonts w:ascii="Arial" w:cs="Arial" w:eastAsia="Arial" w:hAnsi="Arial"/>
                <w:sz w:val="14"/>
                <w:szCs w:val="14"/>
                <w:color w:val="auto"/>
              </w:rPr>
              <w:t>o</w:t>
            </w:r>
          </w:p>
        </w:tc>
      </w:tr>
      <w:tr>
        <w:trPr>
          <w:trHeight w:val="229"/>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rPr>
                <w:sz w:val="20"/>
                <w:szCs w:val="20"/>
                <w:color w:val="auto"/>
              </w:rPr>
            </w:pPr>
            <w:r>
              <w:rPr>
                <w:rFonts w:ascii="Arial" w:cs="Arial" w:eastAsia="Arial" w:hAnsi="Arial"/>
                <w:sz w:val="14"/>
                <w:szCs w:val="14"/>
                <w:color w:val="auto"/>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6"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9, 2023, there were 7,428,710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26"/>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Arial" w:cs="Arial" w:eastAsia="Arial" w:hAnsi="Arial"/>
                <w:sz w:val="18"/>
                <w:szCs w:val="18"/>
                <w:b w:val="1"/>
                <w:bCs w:val="1"/>
                <w:color w:val="0000FF"/>
                <w:w w:val="94"/>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Arial" w:cs="Arial" w:eastAsia="Arial" w:hAnsi="Arial"/>
                <w:sz w:val="18"/>
                <w:szCs w:val="18"/>
                <w:color w:val="0000FF"/>
                <w:w w:val="79"/>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Arial" w:cs="Arial" w:eastAsia="Arial" w:hAnsi="Arial"/>
                <w:sz w:val="18"/>
                <w:szCs w:val="18"/>
                <w:color w:val="0000FF"/>
                <w:w w:val="79"/>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Arial" w:cs="Arial" w:eastAsia="Arial" w:hAnsi="Arial"/>
                <w:sz w:val="18"/>
                <w:szCs w:val="18"/>
                <w:color w:val="0000FF"/>
                <w:w w:val="89"/>
              </w:rPr>
              <w:t>43</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89"/>
              </w:rPr>
              <w:t>68</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Arial" w:cs="Arial" w:eastAsia="Arial" w:hAnsi="Arial"/>
                <w:sz w:val="18"/>
                <w:szCs w:val="18"/>
                <w:color w:val="0000FF"/>
                <w:w w:val="89"/>
              </w:rPr>
              <w:t>70</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Arial" w:cs="Arial" w:eastAsia="Arial" w:hAnsi="Arial"/>
                <w:sz w:val="18"/>
                <w:szCs w:val="18"/>
                <w:color w:val="0000FF"/>
                <w:w w:val="89"/>
              </w:rPr>
              <w:t>71</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Arial" w:cs="Arial" w:eastAsia="Arial" w:hAnsi="Arial"/>
                <w:sz w:val="18"/>
                <w:szCs w:val="18"/>
                <w:color w:val="0000FF"/>
                <w:w w:val="89"/>
              </w:rPr>
              <w:t>71</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71</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Arial" w:cs="Arial" w:eastAsia="Arial" w:hAnsi="Arial"/>
                <w:sz w:val="18"/>
                <w:szCs w:val="18"/>
                <w:color w:val="0000FF"/>
                <w:w w:val="89"/>
              </w:rPr>
              <w:t>76</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3.</w:t>
            </w:r>
          </w:p>
        </w:tc>
        <w:tc>
          <w:tcPr>
            <w:tcW w:w="9680" w:type="dxa"/>
            <w:vAlign w:val="bottom"/>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Arial" w:cs="Arial" w:eastAsia="Arial" w:hAnsi="Arial"/>
                <w:sz w:val="18"/>
                <w:szCs w:val="18"/>
                <w:color w:val="0000FF"/>
                <w:w w:val="89"/>
              </w:rPr>
              <w:t>76</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Arial" w:cs="Arial" w:eastAsia="Arial" w:hAnsi="Arial"/>
                <w:sz w:val="18"/>
                <w:szCs w:val="18"/>
                <w:color w:val="0000FF"/>
                <w:w w:val="90"/>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Arial" w:cs="Arial" w:eastAsia="Arial" w:hAnsi="Arial"/>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89"/>
              </w:rPr>
              <w:t>76</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w w:val="92"/>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76</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Arial" w:cs="Arial" w:eastAsia="Arial" w:hAnsi="Arial"/>
                <w:sz w:val="18"/>
                <w:szCs w:val="18"/>
                <w:color w:val="0000FF"/>
                <w:w w:val="90"/>
              </w:rPr>
              <w:t>Item 6.</w:t>
            </w:r>
          </w:p>
        </w:tc>
        <w:tc>
          <w:tcPr>
            <w:tcW w:w="9680" w:type="dxa"/>
            <w:vAlign w:val="bottom"/>
            <w:gridSpan w:val="13"/>
          </w:tcPr>
          <w:p>
            <w:pPr>
              <w:ind w:left="20"/>
              <w:spacing w:after="0" w:line="189" w:lineRule="exact"/>
              <w:rPr>
                <w:sz w:val="20"/>
                <w:szCs w:val="20"/>
                <w:color w:val="auto"/>
              </w:rPr>
            </w:pPr>
            <w:r>
              <w:rPr>
                <w:rFonts w:ascii="Arial" w:cs="Arial" w:eastAsia="Arial" w:hAnsi="Arial"/>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Arial" w:cs="Arial" w:eastAsia="Arial" w:hAnsi="Arial"/>
                <w:sz w:val="18"/>
                <w:szCs w:val="18"/>
                <w:color w:val="0000FF"/>
                <w:w w:val="89"/>
              </w:rPr>
              <w:t>77</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Arial" w:cs="Arial" w:eastAsia="Arial" w:hAnsi="Arial"/>
                <w:sz w:val="18"/>
                <w:szCs w:val="18"/>
                <w:color w:val="0000FF"/>
                <w:w w:val="89"/>
              </w:rPr>
              <w:t>78</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Burke &amp; Herbert Financial Services Corp.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70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0000FF"/>
                <w:w w:val="89"/>
              </w:rPr>
              <w:t>Consolidated Balance Sheets as of September 30, 2023 (Unaudited), and December 31, 2022</w:t>
            </w:r>
          </w:p>
        </w:tc>
        <w:tc>
          <w:tcPr>
            <w:tcW w:w="37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9"/>
          </w:tcPr>
          <w:p>
            <w:pPr>
              <w:spacing w:after="0" w:line="189" w:lineRule="exact"/>
              <w:rPr>
                <w:sz w:val="20"/>
                <w:szCs w:val="20"/>
                <w:color w:val="auto"/>
              </w:rPr>
            </w:pPr>
            <w:r>
              <w:rPr>
                <w:rFonts w:ascii="Arial" w:cs="Arial" w:eastAsia="Arial" w:hAnsi="Arial"/>
                <w:sz w:val="18"/>
                <w:szCs w:val="18"/>
                <w:color w:val="0000FF"/>
                <w:w w:val="97"/>
              </w:rPr>
              <w:t>Consolidated Statements of Income for the Three and Nine Months Ended September 30, 2023, and September 30, 2022 (Unaudited)</w:t>
            </w:r>
          </w:p>
        </w:tc>
        <w:tc>
          <w:tcPr>
            <w:tcW w:w="8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Statements of Comprehensive Income (Loss) for the Three and Nine Months Ended September 30, 2023, and September 30, 2022</w:t>
            </w:r>
          </w:p>
        </w:tc>
        <w:tc>
          <w:tcPr>
            <w:tcW w:w="8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(Unaudited)</w:t>
            </w:r>
          </w:p>
        </w:tc>
        <w:tc>
          <w:tcPr>
            <w:tcW w:w="9480" w:type="dxa"/>
            <w:vAlign w:val="bottom"/>
            <w:tcBorders>
              <w:top w:val="single" w:sz="8" w:color="0000FF"/>
            </w:tcBorders>
            <w:gridSpan w:val="7"/>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400" w:type="dxa"/>
            <w:vAlign w:val="bottom"/>
            <w:gridSpan w:val="9"/>
          </w:tcPr>
          <w:p>
            <w:pPr>
              <w:spacing w:after="0" w:line="183" w:lineRule="exact"/>
              <w:rPr>
                <w:sz w:val="20"/>
                <w:szCs w:val="20"/>
                <w:color w:val="auto"/>
              </w:rPr>
            </w:pPr>
            <w:r>
              <w:rPr>
                <w:rFonts w:ascii="Arial" w:cs="Arial" w:eastAsia="Arial" w:hAnsi="Arial"/>
                <w:sz w:val="18"/>
                <w:szCs w:val="18"/>
                <w:color w:val="0000FF"/>
                <w:w w:val="92"/>
              </w:rPr>
              <w:t>Consolidated Statements of Changes in Shareholders’ Equity for the Three and Nine Months Ended September 30, 2023, and September 30,</w:t>
            </w:r>
          </w:p>
        </w:tc>
        <w:tc>
          <w:tcPr>
            <w:tcW w:w="8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2022 (Unaudited)</w:t>
            </w:r>
          </w:p>
        </w:tc>
        <w:tc>
          <w:tcPr>
            <w:tcW w:w="3060" w:type="dxa"/>
            <w:vAlign w:val="bottom"/>
            <w:tcBorders>
              <w:top w:val="single" w:sz="8" w:color="0000FF"/>
            </w:tcBorders>
          </w:tcPr>
          <w:p>
            <w:pPr>
              <w:spacing w:after="0"/>
              <w:rPr>
                <w:sz w:val="13"/>
                <w:szCs w:val="13"/>
                <w:color w:val="auto"/>
              </w:rPr>
            </w:pPr>
          </w:p>
        </w:tc>
        <w:tc>
          <w:tcPr>
            <w:tcW w:w="4800" w:type="dxa"/>
            <w:vAlign w:val="bottom"/>
            <w:tcBorders>
              <w:top w:val="single" w:sz="8" w:color="0000FF"/>
            </w:tcBorders>
            <w:gridSpan w:val="2"/>
          </w:tcPr>
          <w:p>
            <w:pPr>
              <w:spacing w:after="0"/>
              <w:rPr>
                <w:sz w:val="13"/>
                <w:szCs w:val="13"/>
                <w:color w:val="auto"/>
              </w:rPr>
            </w:pPr>
          </w:p>
        </w:tc>
        <w:tc>
          <w:tcPr>
            <w:tcW w:w="960" w:type="dxa"/>
            <w:vAlign w:val="bottom"/>
            <w:tcBorders>
              <w:top w:val="single" w:sz="8" w:color="0000FF"/>
            </w:tcBorders>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14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0000FF"/>
                <w:w w:val="89"/>
              </w:rPr>
              <w:t>Consolidated Statements of Cash Flows for the Nine Months Ended September 30, 2023, and September 30, 2022 (Unaudited)</w:t>
            </w:r>
          </w:p>
        </w:tc>
        <w:tc>
          <w:tcPr>
            <w:tcW w:w="1260" w:type="dxa"/>
            <w:vAlign w:val="bottom"/>
            <w:gridSpan w:val="4"/>
            <w:shd w:val="clear" w:color="auto" w:fill="CCEEFF"/>
          </w:tcPr>
          <w:p>
            <w:pPr>
              <w:spacing w:after="0"/>
              <w:rPr>
                <w:sz w:val="17"/>
                <w:szCs w:val="17"/>
                <w:color w:val="auto"/>
              </w:rPr>
            </w:pPr>
          </w:p>
        </w:tc>
        <w:tc>
          <w:tcPr>
            <w:tcW w:w="82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Arial" w:cs="Arial" w:eastAsia="Arial" w:hAnsi="Arial"/>
                <w:sz w:val="18"/>
                <w:szCs w:val="18"/>
                <w:color w:val="0000FF"/>
                <w:w w:val="90"/>
              </w:rPr>
              <w:t>Notes to the Consolidated Financial Statements (Unaudited)</w:t>
            </w:r>
          </w:p>
        </w:tc>
        <w:tc>
          <w:tcPr>
            <w:tcW w:w="4800" w:type="dxa"/>
            <w:vAlign w:val="bottom"/>
            <w:gridSpan w:val="2"/>
          </w:tcPr>
          <w:p>
            <w:pPr>
              <w:spacing w:after="0"/>
              <w:rPr>
                <w:sz w:val="16"/>
                <w:szCs w:val="16"/>
                <w:color w:val="auto"/>
              </w:rPr>
            </w:pPr>
          </w:p>
        </w:tc>
        <w:tc>
          <w:tcPr>
            <w:tcW w:w="1260" w:type="dxa"/>
            <w:vAlign w:val="bottom"/>
            <w:gridSpan w:val="4"/>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gridSpan w:val="3"/>
          </w:tcPr>
          <w:p>
            <w:pPr>
              <w:spacing w:after="0"/>
              <w:rPr>
                <w:sz w:val="24"/>
                <w:szCs w:val="24"/>
                <w:color w:val="auto"/>
              </w:rPr>
            </w:pPr>
          </w:p>
        </w:tc>
        <w:tc>
          <w:tcPr>
            <w:tcW w:w="2360" w:type="dxa"/>
            <w:vAlign w:val="bottom"/>
          </w:tcPr>
          <w:p>
            <w:pPr>
              <w:jc w:val="right"/>
              <w:ind w:right="970"/>
              <w:spacing w:after="0"/>
              <w:rPr>
                <w:sz w:val="20"/>
                <w:szCs w:val="20"/>
                <w:color w:val="auto"/>
              </w:rPr>
            </w:pPr>
            <w:r>
              <w:rPr>
                <w:rFonts w:ascii="Arial" w:cs="Arial" w:eastAsia="Arial" w:hAnsi="Arial"/>
                <w:sz w:val="18"/>
                <w:szCs w:val="18"/>
                <w:color w:val="auto"/>
              </w:rPr>
              <w:t>1</w:t>
            </w: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528"/>
              <w:spacing w:after="0" w:line="14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1360" w:type="dxa"/>
            <w:vAlign w:val="bottom"/>
          </w:tcPr>
          <w:p>
            <w:pPr>
              <w:jc w:val="right"/>
              <w:ind w:right="368"/>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8"/>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9,063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Interest-earning deposits with banks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41,864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50,295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available-for-sale, at fair value</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1,224,395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Restricted stock, at cost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16,443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held-for-sale, at fair value</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Loans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2,070,616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1,887,221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color w:val="auto"/>
              </w:rPr>
              <w:t>Net loans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2,044,505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1,866,182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53,170</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15,597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92,487</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96,842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97,083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3,585,188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Non-interest-bearing deposits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853,385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Interest-bearing deposits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2,132,233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1,959,708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2,985,618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2,920,400</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color w:val="auto"/>
              </w:rPr>
              <w:t>Borrowed funds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299,000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343,100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and other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3,314,369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3,289,445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Commitments and contingent liabilities (see Note 10)</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$1.00 par value per share; 2,000,000 shares authorized; no shares issued or outstanding</w:t>
            </w: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Arial" w:cs="Arial" w:eastAsia="Arial" w:hAnsi="Arial"/>
                <w:sz w:val="14"/>
                <w:szCs w:val="14"/>
                <w:color w:val="auto"/>
                <w:w w:val="96"/>
              </w:rPr>
              <w:t>$0.50 par value; 20,000,000 shares authorized and 8,000,000 issued at September 30, 2023, and December 31, 2022; 7,428,710 shares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Arial" w:cs="Arial" w:eastAsia="Arial" w:hAnsi="Arial"/>
                <w:sz w:val="14"/>
                <w:szCs w:val="14"/>
                <w:color w:val="auto"/>
              </w:rPr>
              <w:t>outstanding at September 30, 2023, and 7,425,760 shares outstanding at December 31, 2022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426,744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424,391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(146,159)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0" w:type="dxa"/>
            <w:vAlign w:val="bottom"/>
          </w:tcPr>
          <w:p>
            <w:pPr>
              <w:spacing w:after="0"/>
              <w:rPr>
                <w:sz w:val="1"/>
                <w:szCs w:val="1"/>
                <w:color w:val="auto"/>
              </w:rPr>
            </w:pP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(27,725)</w:t>
            </w:r>
          </w:p>
        </w:tc>
        <w:tc>
          <w:tcPr>
            <w:tcW w:w="0" w:type="dxa"/>
            <w:vAlign w:val="bottom"/>
          </w:tcPr>
          <w:p>
            <w:pPr>
              <w:spacing w:after="0"/>
              <w:rPr>
                <w:sz w:val="1"/>
                <w:szCs w:val="1"/>
                <w:color w:val="auto"/>
              </w:rPr>
            </w:pPr>
          </w:p>
        </w:tc>
      </w:tr>
      <w:tr>
        <w:trPr>
          <w:trHeight w:val="197"/>
        </w:trPr>
        <w:tc>
          <w:tcPr>
            <w:tcW w:w="8180" w:type="dxa"/>
            <w:vAlign w:val="bottom"/>
          </w:tcPr>
          <w:p>
            <w:pPr>
              <w:ind w:left="20"/>
              <w:spacing w:after="0"/>
              <w:rPr>
                <w:sz w:val="20"/>
                <w:szCs w:val="20"/>
                <w:color w:val="auto"/>
              </w:rPr>
            </w:pPr>
            <w:r>
              <w:rPr>
                <w:rFonts w:ascii="Arial" w:cs="Arial" w:eastAsia="Arial" w:hAnsi="Arial"/>
                <w:sz w:val="14"/>
                <w:szCs w:val="14"/>
                <w:color w:val="auto"/>
              </w:rPr>
              <w:t>571,290 shares, at cost, at September 30, 2023, and 574,240 shares, at cost, at December 31, 2022</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270,819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3,585,188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Loans, including fees</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26,425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18,618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74,485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52,486</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Taxable securities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Tax-exempt securities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7,224</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income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80,059</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Deposits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Borrowed funds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expense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22,889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75,782</w:t>
            </w:r>
          </w:p>
        </w:tc>
      </w:tr>
      <w:tr>
        <w:trPr>
          <w:trHeight w:val="250"/>
        </w:trPr>
        <w:tc>
          <w:tcPr>
            <w:tcW w:w="50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(recapture of) credit losses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 after credit loss expense</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22,654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83,346</w:t>
            </w:r>
          </w:p>
        </w:tc>
      </w:tr>
      <w:tr>
        <w:trPr>
          <w:trHeight w:val="250"/>
        </w:trPr>
        <w:tc>
          <w:tcPr>
            <w:tcW w:w="5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Fiduciary and wealth management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and fees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Net gains (losses) on securities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company-owned life insurance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non-interest income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income</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w:t>
            </w:r>
          </w:p>
        </w:tc>
      </w:tr>
      <w:tr>
        <w:trPr>
          <w:trHeight w:val="250"/>
        </w:trPr>
        <w:tc>
          <w:tcPr>
            <w:tcW w:w="5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Salaries and wages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29,240</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Pensions and other employee benefits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rentals, depreciation and maintenance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15,686</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59,485</w:t>
            </w:r>
          </w:p>
        </w:tc>
      </w:tr>
      <w:tr>
        <w:trPr>
          <w:trHeight w:val="250"/>
        </w:trPr>
        <w:tc>
          <w:tcPr>
            <w:tcW w:w="5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6,073</w:t>
            </w:r>
          </w:p>
        </w:tc>
      </w:tr>
      <w:tr>
        <w:trPr>
          <w:trHeight w:val="270"/>
        </w:trPr>
        <w:tc>
          <w:tcPr>
            <w:tcW w:w="506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30,660</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6"/>
        </w:trPr>
        <w:tc>
          <w:tcPr>
            <w:tcW w:w="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30,660</w:t>
            </w: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Unrealized gains (losses) on securities:</w:t>
            </w:r>
          </w:p>
        </w:tc>
        <w:tc>
          <w:tcPr>
            <w:tcW w:w="26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7"/>
              </w:rPr>
              <w:t>Unrealized gain (loss) arising during period, net of tax of $5,392 and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380"/>
              <w:spacing w:after="0" w:line="189" w:lineRule="exact"/>
              <w:rPr>
                <w:sz w:val="20"/>
                <w:szCs w:val="20"/>
                <w:color w:val="auto"/>
              </w:rPr>
            </w:pPr>
            <w:r>
              <w:rPr>
                <w:rFonts w:ascii="Arial" w:cs="Arial" w:eastAsia="Arial" w:hAnsi="Arial"/>
                <w:sz w:val="18"/>
                <w:szCs w:val="18"/>
                <w:color w:val="auto"/>
              </w:rPr>
              <w:t>$11,375 for the three months ended September 30, 2023, and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4"/>
              </w:rPr>
              <w:t>September 30, 2022, respectively, net of tax of $2,212 and $40,638</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4"/>
              </w:rPr>
              <w:t>for the nine months ended September 30, 2023, and September 30,</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2022, respectively</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(152,878)</w:t>
            </w: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Reclassification adjustment for loss (gain) on securities, net of tax of $</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ind w:left="380"/>
              <w:spacing w:after="0" w:line="189" w:lineRule="exact"/>
              <w:rPr>
                <w:sz w:val="20"/>
                <w:szCs w:val="20"/>
                <w:color w:val="auto"/>
              </w:rPr>
            </w:pPr>
            <w:r>
              <w:rPr>
                <w:rFonts w:ascii="Arial" w:cs="Arial" w:eastAsia="Arial" w:hAnsi="Arial"/>
                <w:sz w:val="18"/>
                <w:szCs w:val="18"/>
                <w:color w:val="auto"/>
                <w:w w:val="98"/>
              </w:rPr>
              <w:t>— and ($9) for the three months ended September 30, 2023, and</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September 30, 2022, respectively, net of tax of ($23) and $13 for the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w w:val="96"/>
              </w:rPr>
              <w:t>nine months ended September 30, 2023 and September 30, 2022,</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5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175"/>
        </w:trPr>
        <w:tc>
          <w:tcPr>
            <w:tcW w:w="20" w:type="dxa"/>
            <w:vAlign w:val="bottom"/>
          </w:tcPr>
          <w:p>
            <w:pPr>
              <w:spacing w:after="0"/>
              <w:rPr>
                <w:sz w:val="15"/>
                <w:szCs w:val="15"/>
                <w:color w:val="auto"/>
              </w:rPr>
            </w:pPr>
          </w:p>
        </w:tc>
        <w:tc>
          <w:tcPr>
            <w:tcW w:w="55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6"/>
              </w:rPr>
              <w:t>Reclassification adjustment for loss (gain) on fair value hedge, net of</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380"/>
              <w:spacing w:after="0" w:line="189" w:lineRule="exact"/>
              <w:rPr>
                <w:sz w:val="20"/>
                <w:szCs w:val="20"/>
                <w:color w:val="auto"/>
              </w:rPr>
            </w:pPr>
            <w:r>
              <w:rPr>
                <w:rFonts w:ascii="Arial" w:cs="Arial" w:eastAsia="Arial" w:hAnsi="Arial"/>
                <w:sz w:val="18"/>
                <w:szCs w:val="18"/>
                <w:color w:val="auto"/>
                <w:w w:val="95"/>
              </w:rPr>
              <w:t>tax of $9 and $— for the three months ended September 30, 2023,</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5"/>
              </w:rPr>
              <w:t>and September 30, 2022, respectively, net of tax of ($224) and $—</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4"/>
              </w:rPr>
              <w:t>for the nine months ended September 30, 2023, and September 30,</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2022, respectively</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Unrealized gain (loss) on cash flow hedge: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8"/>
              </w:rPr>
              <w:t>Unrealized holding gain (loss) on cash flow hedge, net of tax of $10</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500" w:type="dxa"/>
            <w:vAlign w:val="bottom"/>
            <w:gridSpan w:val="3"/>
          </w:tcPr>
          <w:p>
            <w:pPr>
              <w:ind w:left="380"/>
              <w:spacing w:after="0" w:line="189" w:lineRule="exact"/>
              <w:rPr>
                <w:sz w:val="20"/>
                <w:szCs w:val="20"/>
                <w:color w:val="auto"/>
              </w:rPr>
            </w:pPr>
            <w:r>
              <w:rPr>
                <w:rFonts w:ascii="Arial" w:cs="Arial" w:eastAsia="Arial" w:hAnsi="Arial"/>
                <w:sz w:val="18"/>
                <w:szCs w:val="18"/>
                <w:color w:val="auto"/>
              </w:rPr>
              <w:t>and $174 for the three months ended September 30, 2023, and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3"/>
              </w:rPr>
              <w:t>September 30, 2022, respectively, net of tax of $71 and $404 for the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500" w:type="dxa"/>
            <w:vAlign w:val="bottom"/>
            <w:gridSpan w:val="3"/>
          </w:tcPr>
          <w:p>
            <w:pPr>
              <w:ind w:left="380"/>
              <w:spacing w:after="0" w:line="176" w:lineRule="exact"/>
              <w:rPr>
                <w:sz w:val="20"/>
                <w:szCs w:val="20"/>
                <w:color w:val="auto"/>
              </w:rPr>
            </w:pPr>
            <w:r>
              <w:rPr>
                <w:rFonts w:ascii="Arial" w:cs="Arial" w:eastAsia="Arial" w:hAnsi="Arial"/>
                <w:sz w:val="18"/>
                <w:szCs w:val="18"/>
                <w:color w:val="auto"/>
                <w:w w:val="95"/>
              </w:rPr>
              <w:t>nine months ended September 30, 2023, and September 30, 2022,</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Reclassification adjustment for losses (gains) included in net income,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8"/>
        </w:trPr>
        <w:tc>
          <w:tcPr>
            <w:tcW w:w="20" w:type="dxa"/>
            <w:vAlign w:val="bottom"/>
            <w:shd w:val="clear" w:color="auto" w:fill="CCEEFF"/>
          </w:tcPr>
          <w:p>
            <w:pPr>
              <w:spacing w:after="0"/>
              <w:rPr>
                <w:sz w:val="16"/>
                <w:szCs w:val="16"/>
                <w:color w:val="auto"/>
              </w:rPr>
            </w:pPr>
          </w:p>
        </w:tc>
        <w:tc>
          <w:tcPr>
            <w:tcW w:w="5500" w:type="dxa"/>
            <w:vAlign w:val="bottom"/>
            <w:gridSpan w:val="3"/>
            <w:shd w:val="clear" w:color="auto" w:fill="CCEEFF"/>
          </w:tcPr>
          <w:p>
            <w:pPr>
              <w:ind w:left="380"/>
              <w:spacing w:after="0" w:line="189" w:lineRule="exact"/>
              <w:rPr>
                <w:sz w:val="20"/>
                <w:szCs w:val="20"/>
                <w:color w:val="auto"/>
              </w:rPr>
            </w:pPr>
            <w:r>
              <w:rPr>
                <w:rFonts w:ascii="Arial" w:cs="Arial" w:eastAsia="Arial" w:hAnsi="Arial"/>
                <w:sz w:val="18"/>
                <w:szCs w:val="18"/>
                <w:color w:val="auto"/>
                <w:w w:val="93"/>
              </w:rPr>
              <w:t>net of tax ($99) and ($15) for the three months ended September 30,</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6"/>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w w:val="92"/>
              </w:rPr>
              <w:t>2023, and September 30, 2022, respectively, net of tax of ($264) and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5500" w:type="dxa"/>
            <w:vAlign w:val="bottom"/>
            <w:gridSpan w:val="3"/>
            <w:shd w:val="clear" w:color="auto" w:fill="CCEEFF"/>
          </w:tcPr>
          <w:p>
            <w:pPr>
              <w:ind w:left="380"/>
              <w:spacing w:after="0" w:line="176" w:lineRule="exact"/>
              <w:rPr>
                <w:sz w:val="20"/>
                <w:szCs w:val="20"/>
                <w:color w:val="auto"/>
              </w:rPr>
            </w:pPr>
            <w:r>
              <w:rPr>
                <w:rFonts w:ascii="Arial" w:cs="Arial" w:eastAsia="Arial" w:hAnsi="Arial"/>
                <w:sz w:val="18"/>
                <w:szCs w:val="18"/>
                <w:color w:val="auto"/>
              </w:rPr>
              <w:t>$23 for the nine months ended September 30, 2023, and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5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September 30, 2022, 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(154,532)</w:t>
            </w: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2540" w:type="dxa"/>
            <w:vAlign w:val="bottom"/>
            <w:gridSpan w:val="5"/>
          </w:tcPr>
          <w:p>
            <w:pPr>
              <w:ind w:left="8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Additional Paid-in</w:t>
            </w:r>
          </w:p>
        </w:tc>
        <w:tc>
          <w:tcPr>
            <w:tcW w:w="220" w:type="dxa"/>
            <w:vAlign w:val="bottom"/>
          </w:tcPr>
          <w:p>
            <w:pPr>
              <w:spacing w:after="0"/>
              <w:rPr>
                <w:sz w:val="10"/>
                <w:szCs w:val="10"/>
                <w:color w:val="auto"/>
              </w:rPr>
            </w:pPr>
          </w:p>
        </w:tc>
        <w:tc>
          <w:tcPr>
            <w:tcW w:w="110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90"/>
              </w:rPr>
              <w:t>Treasury</w:t>
            </w:r>
          </w:p>
        </w:tc>
        <w:tc>
          <w:tcPr>
            <w:tcW w:w="160" w:type="dxa"/>
            <w:vAlign w:val="bottom"/>
          </w:tcPr>
          <w:p>
            <w:pPr>
              <w:spacing w:after="0"/>
              <w:rPr>
                <w:sz w:val="10"/>
                <w:szCs w:val="10"/>
                <w:color w:val="auto"/>
              </w:rPr>
            </w:pPr>
          </w:p>
        </w:tc>
        <w:tc>
          <w:tcPr>
            <w:tcW w:w="1080" w:type="dxa"/>
            <w:vAlign w:val="bottom"/>
          </w:tcPr>
          <w:p>
            <w:pPr>
              <w:jc w:val="right"/>
              <w:ind w:right="169"/>
              <w:spacing w:after="0" w:line="122"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Shares Outstanding</w:t>
            </w: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5"/>
                <w:szCs w:val="15"/>
                <w:color w:val="auto"/>
              </w:rPr>
            </w:pPr>
          </w:p>
        </w:tc>
        <w:tc>
          <w:tcPr>
            <w:tcW w:w="1080" w:type="dxa"/>
            <w:vAlign w:val="bottom"/>
          </w:tcPr>
          <w:p>
            <w:pPr>
              <w:jc w:val="right"/>
              <w:ind w:right="3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7,428,710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426,625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(126,177)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182"/>
        </w:trPr>
        <w:tc>
          <w:tcPr>
            <w:tcW w:w="21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(19,982)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(19,982)</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(Purchase) sale of treasury</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160" w:type="dxa"/>
            <w:vAlign w:val="bottom"/>
          </w:tcPr>
          <w:p>
            <w:pPr>
              <w:ind w:left="240"/>
              <w:spacing w:after="0"/>
              <w:rPr>
                <w:sz w:val="20"/>
                <w:szCs w:val="20"/>
                <w:color w:val="auto"/>
              </w:rPr>
            </w:pPr>
            <w:r>
              <w:rPr>
                <w:rFonts w:ascii="Arial" w:cs="Arial" w:eastAsia="Arial" w:hAnsi="Arial"/>
                <w:sz w:val="14"/>
                <w:szCs w:val="14"/>
                <w:color w:val="auto"/>
              </w:rPr>
              <w:t>stock, net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Share-based compensation</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7,428,710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426,744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(146,159)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270,819</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291,138</w:t>
            </w:r>
          </w:p>
        </w:tc>
        <w:tc>
          <w:tcPr>
            <w:tcW w:w="0" w:type="dxa"/>
            <w:vAlign w:val="bottom"/>
          </w:tcPr>
          <w:p>
            <w:pPr>
              <w:spacing w:after="0"/>
              <w:rPr>
                <w:sz w:val="1"/>
                <w:szCs w:val="1"/>
                <w:color w:val="auto"/>
              </w:rPr>
            </w:pPr>
          </w:p>
        </w:tc>
      </w:tr>
      <w:tr>
        <w:trPr>
          <w:trHeight w:val="182"/>
        </w:trPr>
        <w:tc>
          <w:tcPr>
            <w:tcW w:w="21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11,137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(43,356)</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(Purchase) sale of treasury</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160" w:type="dxa"/>
            <w:vAlign w:val="bottom"/>
          </w:tcPr>
          <w:p>
            <w:pPr>
              <w:ind w:left="240"/>
              <w:spacing w:after="0"/>
              <w:rPr>
                <w:sz w:val="20"/>
                <w:szCs w:val="20"/>
                <w:color w:val="auto"/>
              </w:rPr>
            </w:pPr>
            <w:r>
              <w:rPr>
                <w:rFonts w:ascii="Arial" w:cs="Arial" w:eastAsia="Arial" w:hAnsi="Arial"/>
                <w:sz w:val="14"/>
                <w:szCs w:val="14"/>
                <w:color w:val="auto"/>
              </w:rPr>
              <w:t>stock, net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Share-based compensation</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414,973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(147,577)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255,471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2540" w:type="dxa"/>
            <w:vAlign w:val="bottom"/>
            <w:gridSpan w:val="5"/>
          </w:tcPr>
          <w:p>
            <w:pPr>
              <w:ind w:left="8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Additional Paid-in</w:t>
            </w:r>
          </w:p>
        </w:tc>
        <w:tc>
          <w:tcPr>
            <w:tcW w:w="220" w:type="dxa"/>
            <w:vAlign w:val="bottom"/>
          </w:tcPr>
          <w:p>
            <w:pPr>
              <w:spacing w:after="0"/>
              <w:rPr>
                <w:sz w:val="10"/>
                <w:szCs w:val="10"/>
                <w:color w:val="auto"/>
              </w:rPr>
            </w:pPr>
          </w:p>
        </w:tc>
        <w:tc>
          <w:tcPr>
            <w:tcW w:w="110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90"/>
              </w:rPr>
              <w:t>Treasury</w:t>
            </w:r>
          </w:p>
        </w:tc>
        <w:tc>
          <w:tcPr>
            <w:tcW w:w="160" w:type="dxa"/>
            <w:vAlign w:val="bottom"/>
          </w:tcPr>
          <w:p>
            <w:pPr>
              <w:spacing w:after="0"/>
              <w:rPr>
                <w:sz w:val="10"/>
                <w:szCs w:val="10"/>
                <w:color w:val="auto"/>
              </w:rPr>
            </w:pPr>
          </w:p>
        </w:tc>
        <w:tc>
          <w:tcPr>
            <w:tcW w:w="1080" w:type="dxa"/>
            <w:vAlign w:val="bottom"/>
          </w:tcPr>
          <w:p>
            <w:pPr>
              <w:jc w:val="right"/>
              <w:ind w:right="169"/>
              <w:spacing w:after="0" w:line="122"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Shares Outstanding</w:t>
            </w: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5"/>
                <w:szCs w:val="15"/>
                <w:color w:val="auto"/>
              </w:rPr>
            </w:pPr>
          </w:p>
        </w:tc>
        <w:tc>
          <w:tcPr>
            <w:tcW w:w="1080" w:type="dxa"/>
            <w:vAlign w:val="bottom"/>
          </w:tcPr>
          <w:p>
            <w:pPr>
              <w:jc w:val="right"/>
              <w:ind w:right="3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424,391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Cumulative effect adjustment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60" w:type="dxa"/>
            <w:vAlign w:val="bottom"/>
          </w:tcPr>
          <w:p>
            <w:pPr>
              <w:ind w:left="240"/>
              <w:spacing w:after="0" w:line="141" w:lineRule="exact"/>
              <w:rPr>
                <w:sz w:val="20"/>
                <w:szCs w:val="20"/>
                <w:color w:val="auto"/>
              </w:rPr>
            </w:pPr>
            <w:r>
              <w:rPr>
                <w:rFonts w:ascii="Arial" w:cs="Arial" w:eastAsia="Arial" w:hAnsi="Arial"/>
                <w:sz w:val="14"/>
                <w:szCs w:val="14"/>
                <w:color w:val="auto"/>
              </w:rPr>
              <w:t>due to the adoption of CECL,</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82"/>
        </w:trPr>
        <w:tc>
          <w:tcPr>
            <w:tcW w:w="2160" w:type="dxa"/>
            <w:vAlign w:val="bottom"/>
          </w:tcPr>
          <w:p>
            <w:pPr>
              <w:ind w:left="240"/>
              <w:spacing w:after="0"/>
              <w:rPr>
                <w:sz w:val="20"/>
                <w:szCs w:val="20"/>
                <w:color w:val="auto"/>
              </w:rPr>
            </w:pPr>
            <w:r>
              <w:rPr>
                <w:rFonts w:ascii="Arial" w:cs="Arial" w:eastAsia="Arial" w:hAnsi="Arial"/>
                <w:sz w:val="14"/>
                <w:szCs w:val="14"/>
                <w:color w:val="auto"/>
              </w:rPr>
              <w:t>net of tax</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17,614</w:t>
            </w: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(6,664)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(6,664)</w:t>
            </w:r>
          </w:p>
        </w:tc>
        <w:tc>
          <w:tcPr>
            <w:tcW w:w="0" w:type="dxa"/>
            <w:vAlign w:val="bottom"/>
          </w:tcPr>
          <w:p>
            <w:pPr>
              <w:spacing w:after="0"/>
              <w:rPr>
                <w:sz w:val="1"/>
                <w:szCs w:val="1"/>
                <w:color w:val="auto"/>
              </w:rPr>
            </w:pPr>
          </w:p>
        </w:tc>
      </w:tr>
      <w:tr>
        <w:trPr>
          <w:trHeight w:val="188"/>
        </w:trPr>
        <w:tc>
          <w:tcPr>
            <w:tcW w:w="216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(Purchase) sale of treasury</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net</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(11,809)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120" w:type="dxa"/>
            <w:vAlign w:val="bottom"/>
          </w:tcPr>
          <w:p>
            <w:pPr>
              <w:jc w:val="right"/>
              <w:spacing w:after="0"/>
              <w:rPr>
                <w:sz w:val="20"/>
                <w:szCs w:val="20"/>
                <w:color w:val="auto"/>
              </w:rPr>
            </w:pPr>
            <w:r>
              <w:rPr>
                <w:rFonts w:ascii="Arial" w:cs="Arial" w:eastAsia="Arial" w:hAnsi="Arial"/>
                <w:sz w:val="14"/>
                <w:szCs w:val="14"/>
                <w:color w:val="auto"/>
              </w:rPr>
              <w:t>7,428,710</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13,818</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426,744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(146,159)</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(27,584)</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270,819</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20" w:type="dxa"/>
            <w:vAlign w:val="bottom"/>
          </w:tcPr>
          <w:p>
            <w:pPr>
              <w:jc w:val="right"/>
              <w:spacing w:after="0"/>
              <w:rPr>
                <w:sz w:val="20"/>
                <w:szCs w:val="20"/>
                <w:color w:val="auto"/>
              </w:rPr>
            </w:pPr>
            <w:r>
              <w:rPr>
                <w:rFonts w:ascii="Arial" w:cs="Arial" w:eastAsia="Arial" w:hAnsi="Arial"/>
                <w:sz w:val="14"/>
                <w:szCs w:val="14"/>
                <w:color w:val="auto"/>
              </w:rPr>
              <w:t>7,423,760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10,374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396,120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6,955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(27,822)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389,627</w:t>
            </w:r>
          </w:p>
        </w:tc>
        <w:tc>
          <w:tcPr>
            <w:tcW w:w="0" w:type="dxa"/>
            <w:vAlign w:val="bottom"/>
          </w:tcPr>
          <w:p>
            <w:pPr>
              <w:spacing w:after="0"/>
              <w:rPr>
                <w:sz w:val="1"/>
                <w:szCs w:val="1"/>
                <w:color w:val="auto"/>
              </w:rPr>
            </w:pPr>
          </w:p>
        </w:tc>
      </w:tr>
      <w:tr>
        <w:trPr>
          <w:trHeight w:val="191"/>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30,660</w:t>
            </w:r>
          </w:p>
        </w:tc>
        <w:tc>
          <w:tcPr>
            <w:tcW w:w="0" w:type="dxa"/>
            <w:vAlign w:val="bottom"/>
          </w:tcPr>
          <w:p>
            <w:pPr>
              <w:spacing w:after="0"/>
              <w:rPr>
                <w:sz w:val="1"/>
                <w:szCs w:val="1"/>
                <w:color w:val="auto"/>
              </w:rPr>
            </w:pPr>
          </w:p>
        </w:tc>
      </w:tr>
      <w:tr>
        <w:trPr>
          <w:trHeight w:val="143"/>
        </w:trPr>
        <w:tc>
          <w:tcPr>
            <w:tcW w:w="216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(154,532)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(154,532)</w:t>
            </w:r>
          </w:p>
        </w:tc>
        <w:tc>
          <w:tcPr>
            <w:tcW w:w="0" w:type="dxa"/>
            <w:vAlign w:val="bottom"/>
          </w:tcPr>
          <w:p>
            <w:pPr>
              <w:spacing w:after="0"/>
              <w:rPr>
                <w:sz w:val="1"/>
                <w:szCs w:val="1"/>
                <w:color w:val="auto"/>
              </w:rPr>
            </w:pPr>
          </w:p>
        </w:tc>
      </w:tr>
      <w:tr>
        <w:trPr>
          <w:trHeight w:val="188"/>
        </w:trPr>
        <w:tc>
          <w:tcPr>
            <w:tcW w:w="216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(Purchase) sale of treasury</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net</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(11,807)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120" w:type="dxa"/>
            <w:vAlign w:val="bottom"/>
          </w:tcPr>
          <w:p>
            <w:pPr>
              <w:jc w:val="right"/>
              <w:spacing w:after="0"/>
              <w:rPr>
                <w:sz w:val="20"/>
                <w:szCs w:val="20"/>
                <w:color w:val="auto"/>
              </w:rPr>
            </w:pPr>
            <w:r>
              <w:rPr>
                <w:rFonts w:ascii="Arial" w:cs="Arial" w:eastAsia="Arial" w:hAnsi="Arial"/>
                <w:sz w:val="14"/>
                <w:szCs w:val="14"/>
                <w:color w:val="auto"/>
              </w:rPr>
              <w:t>7,425,760</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11,801</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414,973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(147,577)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(27,726)</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255,471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6"/>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17,614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30,660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Depreciation and amortization of fixed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2,259</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housing tax credits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Realized loss (gain) on sales of available-for-sale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(recapture of) credit losses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(7,564)</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Income from company-owned life insurance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(1,634)</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(benefit)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Loss on disposal of fixed assets</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securities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Amortization of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8,646</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Repayment of operating lease liabilities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(1,700)</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loans held-for-sale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Proceeds from sale of loans held-for-sale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9,526</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loans held-for-sale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Originations of loans held-for-sale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in accrued interest receivable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Decrease in other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in accrued interest payable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r>
      <w:tr>
        <w:trPr>
          <w:trHeight w:val="207"/>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flows provided by operating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48,650</w:t>
            </w:r>
          </w:p>
        </w:tc>
      </w:tr>
      <w:tr>
        <w:trPr>
          <w:trHeight w:val="199"/>
        </w:trPr>
        <w:tc>
          <w:tcPr>
            <w:tcW w:w="8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maturities, prepayments, and calls of securities available-for-sale,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164,574</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Proceeds from sale of securities available-for-sale,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142,475</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securities available-for-sale,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(355,542)</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Sales of restricted stock</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15,038</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restricted stock</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(13,932)</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Purchases of property and equipment, net of disposals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(21,965)</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of) company-owned life insurance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(Increase) in loans made to customers,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(15,958)</w:t>
            </w:r>
          </w:p>
        </w:tc>
      </w:tr>
      <w:tr>
        <w:trPr>
          <w:trHeight w:val="210"/>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flows (used in) investing activities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(85,316)</w:t>
            </w:r>
          </w:p>
        </w:tc>
      </w:tr>
      <w:tr>
        <w:trPr>
          <w:trHeight w:val="199"/>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Net increase (decrease) in non-interest-bearing accounts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49,867</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increase (decrease) in interest-bearing accounts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(Decrease) in other short-term borrowings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(32,000)</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finance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180" w:type="dxa"/>
            <w:vAlign w:val="bottom"/>
          </w:tcPr>
          <w:p>
            <w:pPr>
              <w:ind w:left="46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(11,807)</w:t>
            </w: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Sale of treasury stock</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7"/>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flows provided by financing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r>
        <w:trPr>
          <w:trHeight w:val="212"/>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in cash and cash equivalents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(36,247)</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77,363</w:t>
            </w:r>
          </w:p>
        </w:tc>
      </w:tr>
      <w:tr>
        <w:trPr>
          <w:trHeight w:val="207"/>
        </w:trPr>
        <w:tc>
          <w:tcPr>
            <w:tcW w:w="81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41,116</w:t>
            </w:r>
          </w:p>
        </w:tc>
      </w:tr>
      <w:tr>
        <w:trPr>
          <w:trHeight w:val="199"/>
        </w:trPr>
        <w:tc>
          <w:tcPr>
            <w:tcW w:w="8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w:t>
            </w:r>
          </w:p>
        </w:tc>
        <w:tc>
          <w:tcPr>
            <w:tcW w:w="2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to depositors</w:t>
            </w:r>
          </w:p>
        </w:tc>
        <w:tc>
          <w:tcPr>
            <w:tcW w:w="26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25,454</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1,480</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paid on other borrowed funds</w:t>
            </w:r>
          </w:p>
        </w:tc>
        <w:tc>
          <w:tcPr>
            <w:tcW w:w="2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on finance lease</w:t>
            </w:r>
          </w:p>
        </w:tc>
        <w:tc>
          <w:tcPr>
            <w:tcW w:w="268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taxes</w:t>
            </w:r>
          </w:p>
        </w:tc>
        <w:tc>
          <w:tcPr>
            <w:tcW w:w="2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Change in unrealized gains on available-for-sale securities</w:t>
            </w:r>
          </w:p>
        </w:tc>
        <w:tc>
          <w:tcPr>
            <w:tcW w:w="2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(10,422)</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(193,580)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arising from obtaining right-of-use assets</w:t>
            </w:r>
          </w:p>
        </w:tc>
        <w:tc>
          <w:tcPr>
            <w:tcW w:w="2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Transfers from portfolio loans to loans held-for-sale</w:t>
            </w:r>
          </w:p>
        </w:tc>
        <w:tc>
          <w:tcPr>
            <w:tcW w:w="268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19,594</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of sale from loan held-for-sale</w:t>
            </w:r>
          </w:p>
        </w:tc>
        <w:tc>
          <w:tcPr>
            <w:tcW w:w="2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560"/>
        <w:spacing w:after="0" w:line="440" w:lineRule="auto"/>
        <w:rPr>
          <w:sz w:val="20"/>
          <w:szCs w:val="20"/>
          <w:color w:val="auto"/>
        </w:rPr>
      </w:pPr>
      <w:r>
        <w:rPr>
          <w:rFonts w:ascii="Arial" w:cs="Arial" w:eastAsia="Arial" w:hAnsi="Arial"/>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Burke &amp; Herbert Financial Services Corp. (“Burke &amp; Herbert”) was organized as a Virginia corporation on September 14, 2022, to serve as the holding company for Burke &amp; Herbert Bank &amp; Trust Company (“the Bank”), together referred to as the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the Company elected to be a financial holding company. As a financial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primary market area includes northern Virginia, and it has 23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 with Summit Financial Group, Inc.</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24, 2023, the Company and Summit Financial Group, Inc. (“Summit”), entered into an Agreement and Plan of Reorganization and Plan of Merger pursuant to which Summit will merge with and into Burke &amp; Herbert, with Burke &amp; Herbert as the continuing corporation (the “merger”). Immediately following the merger, Summit Community Bank, Inc., a West Virginia banking corporation (“SCB”) and a wholly-owned direct subsidiary of Summit, will merge with and into Burke &amp; Herbert Bank &amp; Trust Company, a Virginia banking corporation and a wholly-owned direct subsidiary of Burke</w:t>
      </w:r>
    </w:p>
    <w:p>
      <w:pPr>
        <w:spacing w:after="0" w:line="1" w:lineRule="exact"/>
        <w:rPr>
          <w:sz w:val="20"/>
          <w:szCs w:val="20"/>
          <w:color w:val="auto"/>
        </w:rPr>
      </w:pPr>
    </w:p>
    <w:p>
      <w:pPr>
        <w:jc w:val="both"/>
        <w:ind w:firstLine="8"/>
        <w:spacing w:after="0" w:line="269" w:lineRule="auto"/>
        <w:tabs>
          <w:tab w:leader="none" w:pos="185" w:val="left"/>
        </w:tabs>
        <w:numPr>
          <w:ilvl w:val="0"/>
          <w:numId w:val="3"/>
        </w:numPr>
        <w:rPr>
          <w:rFonts w:ascii="Arial" w:cs="Arial" w:eastAsia="Arial" w:hAnsi="Arial"/>
          <w:sz w:val="17"/>
          <w:szCs w:val="17"/>
          <w:color w:val="auto"/>
        </w:rPr>
      </w:pPr>
      <w:r>
        <w:rPr>
          <w:rFonts w:ascii="Arial" w:cs="Arial" w:eastAsia="Arial" w:hAnsi="Arial"/>
          <w:sz w:val="17"/>
          <w:szCs w:val="17"/>
          <w:color w:val="auto"/>
        </w:rPr>
        <w:t>Herbert, with the Bank as the continuing bank (the “bank merger,” and together with the merger, the “mergers”). In the merger, Summit shareholders will receive 0.5043 shares of Burke &amp; Herbert common stock for each share of Summit common stock they own (the “exchange ratio”), subject to the payment of cash in lieu of fractional shares. In addition, each share of Summit series 2021 preferred stock issued and outstanding immediately prior to the effective time of the merger will be converted into the right to receive one share of a newly created series of Burke &amp; Herbert preferred stock having rights, preferences, privileges and voting powers and limitations and restrictions thereof that are not materially less or more favorable to the holders of the Summit series 2021 preferred stock. Completion of the mergers is subject to receipt of the requisite approvals of the Company’s and Summit’s stockholders, receipt of all required regulatory approvals, and fulfillment of other customary closing conditions.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2022, included in the Company’s Registration Statement on Form 10 filed with the SEC on February 28, 2023, as amended on April 4, 2023, April 20, 2023, and April 21, 2023, and as declared as effective by the SEC on April 21, 2023.</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All significant intercompany accounts and transactions between the Company and the Bank have been eliminated. In preparing financial statements in conformity with GAAP, management is required to make estimates and assumptions that affect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reported amounts of assets and liabilities as of the date of the balance sheet and reported amounts of revenues and expenses during the reporting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opinion of management, all adjustments, consisting only of normal recurring adjustments, which are necessary for a fair presentation of the results of operations in these financial statements, have been made. The results of operations for the three and nine months ended September 30, 2023, are not necessarily indicative of the results to be expected for any other interim period or for the full year. All amounts and disclosures included in this quarterly report as of December 31, 2022,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28, 2022, the Financial Accounting Standards Board issued Accounting Standards Update (“ASU”) 2022-01, Derivatives and Hedging (Topic 815): </w:t>
      </w:r>
      <w:r>
        <w:rPr>
          <w:rFonts w:ascii="Arial" w:cs="Arial" w:eastAsia="Arial" w:hAnsi="Arial"/>
          <w:sz w:val="17"/>
          <w:szCs w:val="17"/>
          <w:i w:val="1"/>
          <w:iCs w:val="1"/>
          <w:color w:val="auto"/>
        </w:rPr>
        <w:t>Fair Value Hedging - Portfolio Layer Method</w:t>
      </w:r>
      <w:r>
        <w:rPr>
          <w:rFonts w:ascii="Arial" w:cs="Arial" w:eastAsia="Arial" w:hAnsi="Arial"/>
          <w:sz w:val="17"/>
          <w:szCs w:val="17"/>
          <w:color w:val="auto"/>
        </w:rPr>
        <w:t>. The purpose of this updated guidance is to further align risk management objectives with hedge accounting results on the application of the last-of-layer method, which was first introduced in ASU 2017-02, Derivatives and Hedging (Topic 815): Targeted Improvements to Accounting for Hedging Activities. ASU 2022-01 is effective for public business entities for fiscal years beginning after December 15, 2022. ASU 2022-01 requires a modified retrospective transition method for basis adjustments in which the entity will recognize the cumulative effect of the change on the opening balance of each affected component of equity in the statement of financial position as of the date of adoption. The Company adopted this ASU on January 1, 2023; therefore, there was no impact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 2023, the Company adopted ASU 2016-13, Financial Instruments - Credit Losses (Topic 326)</w:t>
      </w:r>
      <w:r>
        <w:rPr>
          <w:rFonts w:ascii="Arial" w:cs="Arial" w:eastAsia="Arial" w:hAnsi="Arial"/>
          <w:sz w:val="16"/>
          <w:szCs w:val="16"/>
          <w:i w:val="1"/>
          <w:iCs w:val="1"/>
          <w:color w:val="auto"/>
        </w:rPr>
        <w:t>: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(“ASC 326”), as amended, which replaces the incurred loss methodology with an expected loss methodology that is referred to as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(“CECL”)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 beginning after January 1,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presented under ASU 2016-13, while prior period amounts continue to be reported in accordance with the incurred loss model under the previously applicable GAAP.</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illustrates the impact of the adoption of CECL, and the transition away from the incurred loss method, on January 1, 2023. The impact to the allowance for credit losses (“ACL”) is presented at the loan segment level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January 1, 2023</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900" w:type="dxa"/>
            <w:vAlign w:val="bottom"/>
            <w:gridSpan w:val="3"/>
          </w:tcPr>
          <w:p>
            <w:pPr>
              <w:jc w:val="center"/>
              <w:ind w:right="100"/>
              <w:spacing w:after="0" w:line="137" w:lineRule="exact"/>
              <w:rPr>
                <w:sz w:val="20"/>
                <w:szCs w:val="20"/>
                <w:color w:val="auto"/>
              </w:rPr>
            </w:pPr>
            <w:r>
              <w:rPr>
                <w:rFonts w:ascii="Arial" w:cs="Arial" w:eastAsia="Arial" w:hAnsi="Arial"/>
                <w:sz w:val="14"/>
                <w:szCs w:val="14"/>
                <w:color w:val="auto"/>
                <w:w w:val="91"/>
              </w:rPr>
              <w:t>Reserves under Incurred Loss</w:t>
            </w:r>
          </w:p>
        </w:tc>
        <w:tc>
          <w:tcPr>
            <w:tcW w:w="19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3"/>
              </w:rPr>
              <w:t>Reserves under CECL Model</w:t>
            </w:r>
          </w:p>
        </w:tc>
        <w:tc>
          <w:tcPr>
            <w:tcW w:w="120" w:type="dxa"/>
            <w:vAlign w:val="bottom"/>
          </w:tcPr>
          <w:p>
            <w:pPr>
              <w:spacing w:after="0"/>
              <w:rPr>
                <w:sz w:val="11"/>
                <w:szCs w:val="11"/>
                <w:color w:val="auto"/>
              </w:rPr>
            </w:pPr>
          </w:p>
        </w:tc>
        <w:tc>
          <w:tcPr>
            <w:tcW w:w="170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Impact of CECL Adoption</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color w:val="auto"/>
                <w:w w:val="99"/>
              </w:rPr>
              <w:t>Model</w:t>
            </w:r>
          </w:p>
        </w:tc>
        <w:tc>
          <w:tcPr>
            <w:tcW w:w="1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5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15,477</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4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562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4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2"/>
        </w:trPr>
        <w:tc>
          <w:tcPr>
            <w:tcW w:w="562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4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2"/>
        </w:trPr>
        <w:tc>
          <w:tcPr>
            <w:tcW w:w="5620" w:type="dxa"/>
            <w:vAlign w:val="bottom"/>
          </w:tcPr>
          <w:p>
            <w:pPr>
              <w:ind w:left="240"/>
              <w:spacing w:after="0"/>
              <w:rPr>
                <w:sz w:val="20"/>
                <w:szCs w:val="20"/>
                <w:color w:val="auto"/>
              </w:rPr>
            </w:pPr>
            <w:r>
              <w:rPr>
                <w:rFonts w:ascii="Arial" w:cs="Arial" w:eastAsia="Arial" w:hAnsi="Arial"/>
                <w:sz w:val="14"/>
                <w:szCs w:val="14"/>
                <w:color w:val="auto"/>
              </w:rPr>
              <w:t>Unallocated reserve</w:t>
            </w:r>
          </w:p>
        </w:tc>
        <w:tc>
          <w:tcPr>
            <w:tcW w:w="40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loans</w:t>
            </w: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rPr>
                <w:sz w:val="20"/>
                <w:szCs w:val="20"/>
                <w:color w:val="auto"/>
              </w:rPr>
            </w:pPr>
            <w:r>
              <w:rPr>
                <w:rFonts w:ascii="Arial" w:cs="Arial" w:eastAsia="Arial" w:hAnsi="Arial"/>
                <w:sz w:val="14"/>
                <w:szCs w:val="14"/>
                <w:color w:val="auto"/>
              </w:rPr>
              <w:t>Financial Liabilities:</w:t>
            </w:r>
          </w:p>
        </w:tc>
        <w:tc>
          <w:tcPr>
            <w:tcW w:w="4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off-balance sheet credit exposure</w:t>
            </w: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not to measure an ACL for accrued interest receivable and instead elected to reverse interest income on loans or securities that are placed on non-accrual status, which generally occurs when the instrument is 90 days past due, or earlier if the Company believes the collection of interest is doubtful. The Company has concluded that this policy results in the timely reversal of uncollectible interest.</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2023, the Company adopted ASU 2022-02, Financial Instruments - Credit Losses (Topic 326), </w:t>
      </w:r>
      <w:r>
        <w:rPr>
          <w:rFonts w:ascii="Arial" w:cs="Arial" w:eastAsia="Arial" w:hAnsi="Arial"/>
          <w:sz w:val="18"/>
          <w:szCs w:val="18"/>
          <w:i w:val="1"/>
          <w:iCs w:val="1"/>
          <w:color w:val="auto"/>
        </w:rPr>
        <w:t>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2022-02 addresses areas identified by the FASB as part of its implementation review of the credit losses standard (ASU 2016-13) that</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available-for-sale debt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ACL is recognized in other comprehensive income.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Changes in the ACL are recorded as credit loss expense (or recapture). Losses are charged against the allowance when management believes the uncollectability of an AFS security is confirmed or when either of the criteria regarding intent or requirement to sell is met. At September 30, 2023, there was no ACL related to the AFS security portfolio. Refer to </w:t>
      </w:r>
      <w:r>
        <w:rPr>
          <w:rFonts w:ascii="Arial" w:cs="Arial" w:eastAsia="Arial" w:hAnsi="Arial"/>
          <w:sz w:val="17"/>
          <w:szCs w:val="17"/>
          <w:u w:val="single" w:color="auto"/>
          <w:color w:val="0000FF"/>
        </w:rPr>
        <w:t>Note 2 - Securities</w:t>
      </w:r>
      <w:r>
        <w:rPr>
          <w:rFonts w:ascii="Arial" w:cs="Arial" w:eastAsia="Arial" w:hAnsi="Arial"/>
          <w:sz w:val="17"/>
          <w:szCs w:val="17"/>
          <w:color w:val="auto"/>
        </w:rPr>
        <w:t xml:space="preserve"> in Notes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loans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ACL represents an amount, which, in management’s judgment, reflects expected credit losses in the loan portfolio at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 recoveries of previous losses, and is increased or decreased by a provision for (or recapture of) credit losses, which is recorded in the Consolidated Statements of Income.</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using a remaining useful life or weighted average remaining maturity (“WARM”) methodology to estimate its current expected credit losses. For purposes of calculating reserves in collectively evaluated loans, the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 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risk factors considered by management include the following:</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Nature and volume of loans;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Concentrations of credit;</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Delinquency trends;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ability, and depth of management and lending staff;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of loan review system.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price, or the present value of the expected future cash flows. A specific reserve may be assigned if the measured value of the loan using one of the before mentioned methods is less than the current carrying value of the loan.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 management does not adjust the effective interest rate used to discount cash flows to incorporate expected prepayments.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on off-balance sheet credit exposures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has elected to exclude accrued interest from the amortized cost basis in its determination of the ACL and elected the policy to write-off accrued interest receivable directly through the reversal of interest income. Accrued interest receivable totaled $8.3 million on loans and totaled $7.6 million on AFS securities at September 30, 2023, and is included in accrued interest receivable on the Company’s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AFS securities and their approximate fair values at September 30, 2023, and December 31, 2022, are summarized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197,310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172,982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429,479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41,836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282,108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35,539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81,172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1,400,481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1,224,395</w:t>
            </w: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1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198,154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174,993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453,907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53,061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59,933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183,299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98,626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1,537,420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1,371,757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and December 31, 2022, AFS securities with amortized costs of $831.0 million and $637.1 million, respectively, and with estimated fair values of $709.3 million and $552.5 million, respectively, were pledged to serve as collateral for secured borrowings, derivative exposures, or to secure public deposits as required or permitted by law.</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realized gains, realized losses, and proceeds from the sales of securities for the nine months ended September 30, 2023, and September 30,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 2022</w:t>
            </w:r>
          </w:p>
        </w:tc>
      </w:tr>
      <w:tr>
        <w:trPr>
          <w:trHeight w:val="26"/>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securities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142,475</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tax benefit (provision) related to these net realized gains and losses for September 30, 2023, and September 30, 2022, was $23.5 thousand, and ($13.2) thousand, respectively.</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maturities of AFS securities at September 30, 2023,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Amortized Cost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One Year or Less</w:t>
            </w:r>
          </w:p>
        </w:tc>
        <w:tc>
          <w:tcPr>
            <w:tcW w:w="100" w:type="dxa"/>
            <w:vAlign w:val="bottom"/>
          </w:tcPr>
          <w:p>
            <w:pPr>
              <w:spacing w:after="0"/>
              <w:rPr>
                <w:sz w:val="17"/>
                <w:szCs w:val="17"/>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29,802</w:t>
            </w:r>
          </w:p>
        </w:tc>
        <w:tc>
          <w:tcPr>
            <w:tcW w:w="540" w:type="dxa"/>
            <w:vAlign w:val="bottom"/>
            <w:gridSpan w:val="2"/>
          </w:tcPr>
          <w:p>
            <w:pPr>
              <w:jc w:val="center"/>
              <w:ind w:right="119"/>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78,123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89,385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197,310</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536,885</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47,494</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307,763</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36,874</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181,844</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82,811</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124,519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456,675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1,400,481</w:t>
            </w:r>
          </w:p>
        </w:tc>
      </w:tr>
      <w:tr>
        <w:trPr>
          <w:trHeight w:val="898"/>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tcPr>
          <w:p>
            <w:pPr>
              <w:jc w:val="center"/>
              <w:ind w:right="79"/>
              <w:spacing w:after="0"/>
              <w:rPr>
                <w:sz w:val="20"/>
                <w:szCs w:val="20"/>
                <w:color w:val="auto"/>
              </w:rPr>
            </w:pPr>
            <w:r>
              <w:rPr>
                <w:rFonts w:ascii="Arial" w:cs="Arial" w:eastAsia="Arial" w:hAnsi="Arial"/>
                <w:sz w:val="18"/>
                <w:szCs w:val="18"/>
                <w:color w:val="auto"/>
                <w:w w:val="89"/>
              </w:rPr>
              <w:t>14</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One Year or Less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67,674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76,105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172,982</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429,479</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41,836</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282,108</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35,539</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81,172</w:t>
            </w: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120,992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221,608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1,224,395</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and December 31, 2022, there were no holdings of securities of any one issuer, other than the U.S. Government and its agencies, in any amount greater than 10% of shareholders’ equity.</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shows the gross unrealized losses and fair value of the Company’s securities with unrealized losses aggregated by investment category and length of time that individual securities have been in a continuous unrealized loss position at September 30, 2023, and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AFS securities in a continuous unrealized loss position for less than twelve months and more than twelve months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7"/>
              </w:rPr>
              <w:t>Less Than Twelve Months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5"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tcPr>
          <w:p>
            <w:pPr>
              <w:jc w:val="center"/>
              <w:ind w:left="397"/>
              <w:spacing w:after="0"/>
              <w:rPr>
                <w:sz w:val="20"/>
                <w:szCs w:val="20"/>
                <w:color w:val="auto"/>
              </w:rPr>
            </w:pPr>
            <w:r>
              <w:rPr>
                <w:rFonts w:ascii="Arial" w:cs="Arial" w:eastAsia="Arial" w:hAnsi="Arial"/>
                <w:sz w:val="14"/>
                <w:szCs w:val="14"/>
                <w:b w:val="1"/>
                <w:bCs w:val="1"/>
                <w:color w:val="auto"/>
                <w:w w:val="82"/>
              </w:rPr>
              <w:t>Losses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172,982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25,659</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47,872</w:t>
            </w:r>
          </w:p>
        </w:tc>
        <w:tc>
          <w:tcPr>
            <w:tcW w:w="8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1,160,970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176,128</w:t>
            </w:r>
          </w:p>
        </w:tc>
        <w:tc>
          <w:tcPr>
            <w:tcW w:w="0" w:type="dxa"/>
            <w:vAlign w:val="bottom"/>
          </w:tcPr>
          <w:p>
            <w:pPr>
              <w:spacing w:after="0"/>
              <w:rPr>
                <w:sz w:val="1"/>
                <w:szCs w:val="1"/>
                <w:color w:val="auto"/>
              </w:rPr>
            </w:pPr>
          </w:p>
        </w:tc>
      </w:tr>
      <w:tr>
        <w:trPr>
          <w:trHeight w:val="885"/>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Less Than Twelve Months</w:t>
            </w:r>
          </w:p>
        </w:tc>
        <w:tc>
          <w:tcPr>
            <w:tcW w:w="240" w:type="dxa"/>
            <w:vAlign w:val="bottom"/>
          </w:tcPr>
          <w:p>
            <w:pPr>
              <w:spacing w:after="0"/>
              <w:rPr>
                <w:sz w:val="16"/>
                <w:szCs w:val="16"/>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53"/>
              <w:spacing w:after="0" w:line="139"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2"/>
                <w:szCs w:val="12"/>
                <w:color w:val="auto"/>
              </w:rPr>
            </w:pPr>
          </w:p>
        </w:tc>
        <w:tc>
          <w:tcPr>
            <w:tcW w:w="1220" w:type="dxa"/>
            <w:vAlign w:val="bottom"/>
          </w:tcPr>
          <w:p>
            <w:pPr>
              <w:jc w:val="right"/>
              <w:ind w:right="93"/>
              <w:spacing w:after="0" w:line="139"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28,399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146,594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did not record an ACL on the AFS securities at September 30, 2023. The Company considers the unrealized losses on the AFS securities to be related to fluctuations in market conditions, primarily interest rates, and not reflective of deterioration in credit. The Company had 403 securities in an unrealized loss position as of September 30, 2023. The Company has evaluated AFS securities in an unrealized loss position for credit-related impairment at September 30, 2023, and concluded no impairment existed based on a combination of factors, which included: (1) the securities are of high credit quality,</w:t>
      </w:r>
    </w:p>
    <w:p>
      <w:pPr>
        <w:spacing w:after="0" w:line="1" w:lineRule="exact"/>
        <w:rPr>
          <w:sz w:val="20"/>
          <w:szCs w:val="20"/>
          <w:color w:val="auto"/>
        </w:rPr>
      </w:pPr>
    </w:p>
    <w:p>
      <w:pPr>
        <w:jc w:val="both"/>
        <w:ind w:firstLine="8"/>
        <w:spacing w:after="0" w:line="253"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unrealized losses associated with 12 U.S. Treasuries and Government Agency securities, 16 Residential Mortgage Backed – Agency securities, and 17 Commercial Mortgage Backed – Agency securities were generally driven by changes in interest rates and not due to credit losses given the explicit or implicit guarantees provided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 U.S. government. Therefore, the Company has concluded that the unrealized losses for these securities do not require an ACL at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States and Municipalities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2023, the unrealized losses associated with 203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September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the unrealized losses associated with 96 Residential Mortgage Backed – Non-Agency securities and 33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Asset-Backed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2023, the unrealized losses associated with 23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September 30,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2023, the unrealized losses associated with 3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at cost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investment in Federal Home Loan Bank (“FHLB”) stock totaled $7.2 million and $16.4 million at September 30, 2023, and December 31, 2022,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September 30, 2023,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$50 thousand at both September 30, 2023, and December 31, 2022, which is carried at cost and is not impaired at September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among the various loan segments and are subject to the impact of changes in interest rates, market conditions of collateral securing the loans, and general economic conditions.</w:t>
      </w:r>
    </w:p>
    <w:p>
      <w:pPr>
        <w:spacing w:after="0" w:line="116" w:lineRule="exact"/>
        <w:rPr>
          <w:sz w:val="20"/>
          <w:szCs w:val="20"/>
          <w:color w:val="auto"/>
        </w:rPr>
      </w:pPr>
    </w:p>
    <w:p>
      <w:pPr>
        <w:ind w:left="6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Owner-occupied commercial real estate loans carry risk associated with the operations of the business that occupies the property and the value of the collateral.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&amp; industrial loans carry the risk associated with the operations of the business and the value of the collateral, if 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32" w:lineRule="exact"/>
        <w:rPr>
          <w:rFonts w:ascii="Arial" w:cs="Arial" w:eastAsia="Arial" w:hAnsi="Arial"/>
          <w:sz w:val="18"/>
          <w:szCs w:val="18"/>
          <w:color w:val="auto"/>
        </w:rPr>
      </w:pPr>
    </w:p>
    <w:p>
      <w:pPr>
        <w:ind w:right="280" w:firstLine="332"/>
        <w:spacing w:after="0" w:line="456"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non-real estate and other loans carry risk associated with the credit-worthiness of the borrower and the value of the collateral, if any. Loan balances at September 30, 2023, and December 31, 2022, by portfolio segment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2022</w:t>
            </w:r>
          </w:p>
        </w:tc>
      </w:tr>
      <w:tr>
        <w:trPr>
          <w:trHeight w:val="26"/>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1,109,315</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Owner-occupied commercial real estate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127,114</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construction &amp; development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94,450</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53,514</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family residential (1-4 units)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499,362</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non-real estate and other</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gross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1,887,221</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2,044,505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1,866,182</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deferred loan fees included in the above loan categories totaled $3.5 million and $3.3 million at September 30, 2023, and December 31, 2022, respectively. The Company holds $3.8 million and $7.9 million in Paycheck Protection Program loans, net of deferred fees and costs as of September 30, 2023, and December 31,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Arial" w:cs="Arial" w:eastAsia="Arial" w:hAnsi="Arial"/>
          <w:sz w:val="17"/>
          <w:szCs w:val="17"/>
          <w:u w:val="single" w:color="auto"/>
          <w:color w:val="0000FF"/>
        </w:rPr>
        <w:t>Note 1 - Nature of Business Activities and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Policies</w:t>
      </w:r>
      <w:r>
        <w:rPr>
          <w:rFonts w:ascii="Arial" w:cs="Arial" w:eastAsia="Arial" w:hAnsi="Arial"/>
          <w:sz w:val="17"/>
          <w:szCs w:val="17"/>
          <w:color w:val="0000FF"/>
        </w:rPr>
        <w:t xml:space="preserve"> </w:t>
      </w:r>
      <w:r>
        <w:rPr>
          <w:rFonts w:ascii="Arial" w:cs="Arial" w:eastAsia="Arial" w:hAnsi="Arial"/>
          <w:sz w:val="17"/>
          <w:szCs w:val="17"/>
          <w:color w:val="000000"/>
        </w:rPr>
        <w:t>in these Notes to Consolidated Financial Statements. All information presented as of September 30, 2023, is in accordance with ASC</w:t>
      </w:r>
      <w:r>
        <w:rPr>
          <w:rFonts w:ascii="Arial" w:cs="Arial" w:eastAsia="Arial" w:hAnsi="Arial"/>
          <w:sz w:val="17"/>
          <w:szCs w:val="17"/>
          <w:color w:val="0000FF"/>
        </w:rPr>
        <w:t xml:space="preserve"> </w:t>
      </w:r>
      <w:r>
        <w:rPr>
          <w:rFonts w:ascii="Arial" w:cs="Arial" w:eastAsia="Arial" w:hAnsi="Arial"/>
          <w:sz w:val="17"/>
          <w:szCs w:val="17"/>
          <w:color w:val="000000"/>
        </w:rPr>
        <w:t>326. All other information presented prior to January 1, 2023, is in accordance with previous applicable GAAP.</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ACL is calculated quarterly, with any adjustment recorded to the provision for credit losses in the Consolidated Statement of Income. Management calculates the quantitative portion of collectively evaluated loans for 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categories using the WARM method. For purposes of estimating the Company’s ACL, management generally evaluates collectively evaluated loans by federal call code in order to group loans with similar risk characteristics.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 following tables presents the activity in the ACL, including the impact of the adoption of CECL, for the three months and nine months ended September 30, 2023, and the activity for the allowance for loan losses for the three months and nine months ended September 30, 2022 (in thousands).</w:t>
      </w:r>
    </w:p>
    <w:tbl>
      <w:tblPr>
        <w:tblLayout w:type="fixed"/>
        <w:tblInd w:w="0" w:type="dxa"/>
        <w:tblCellMar>
          <w:top w:w="0" w:type="dxa"/>
          <w:left w:w="0" w:type="dxa"/>
          <w:bottom w:w="0" w:type="dxa"/>
          <w:right w:w="0" w:type="dxa"/>
        </w:tblCellMar>
      </w:tblPr>
      <w:tr>
        <w:trPr>
          <w:trHeight w:val="127"/>
        </w:trPr>
        <w:tc>
          <w:tcPr>
            <w:tcW w:w="2100" w:type="dxa"/>
            <w:vAlign w:val="bottom"/>
          </w:tcPr>
          <w:p>
            <w:pPr>
              <w:spacing w:after="0"/>
              <w:rPr>
                <w:sz w:val="11"/>
                <w:szCs w:val="11"/>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Commercial real</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6"/>
              </w:rPr>
              <w:t>Owner-occupied</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3"/>
                <w:szCs w:val="13"/>
                <w:b w:val="1"/>
                <w:bCs w:val="1"/>
                <w:color w:val="auto"/>
                <w:w w:val="88"/>
              </w:rPr>
              <w:t>Acquisition,</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Commercial &amp;</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87"/>
              </w:rPr>
              <w:t>Consumer non-</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25,919</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Provision for (recapture of) credit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9"/>
        </w:trPr>
        <w:tc>
          <w:tcPr>
            <w:tcW w:w="210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26,111</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2022</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15,548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3,607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1,519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1,731</w:t>
            </w:r>
          </w:p>
        </w:tc>
        <w:tc>
          <w:tcPr>
            <w:tcW w:w="8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23,362</w:t>
            </w: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Provision for (recapture of) loan</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13,793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4,437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20,953</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Commercial real</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Owner-occupied</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Acquisition,</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Commercial &amp;</w:t>
            </w: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Consumer non-</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1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8"/>
              </w:rPr>
              <w:t>Beginning balance, prior to adoption</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CECL</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rPr>
              <w:t>Impact of the adoption of CECL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4,125</w:t>
            </w: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19,612</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26,111</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September 30, 2022</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31,709</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Provision for (recapture of) loan</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(8,071)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(7,564)</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(3,411)</w:t>
            </w:r>
          </w:p>
        </w:tc>
        <w:tc>
          <w:tcPr>
            <w:tcW w:w="0" w:type="dxa"/>
            <w:vAlign w:val="bottom"/>
          </w:tcPr>
          <w:p>
            <w:pPr>
              <w:spacing w:after="0"/>
              <w:rPr>
                <w:sz w:val="1"/>
                <w:szCs w:val="1"/>
                <w:color w:val="auto"/>
              </w:rPr>
            </w:pPr>
          </w:p>
        </w:tc>
      </w:tr>
      <w:tr>
        <w:trPr>
          <w:trHeight w:val="169"/>
        </w:trPr>
        <w:tc>
          <w:tcPr>
            <w:tcW w:w="210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in the table below is not required for periods after the adoption of CECL. The following table summarizes the allowance for loan losses and the recorded investment in loans by portfolio segment and based on the impairment method (individually or collectively evaluated for impairment) as of December 31, 2022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Commercial real</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Owner-occupied</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Acquisition,</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Commercial &amp;</w:t>
            </w:r>
          </w:p>
        </w:tc>
        <w:tc>
          <w:tcPr>
            <w:tcW w:w="1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Consumer non-</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real estate and</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rPr>
              <w:t>Allowance for loan losses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Individually evaluated for</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Collectively evaluated for</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300"/>
              <w:spacing w:after="0"/>
              <w:rPr>
                <w:sz w:val="20"/>
                <w:szCs w:val="20"/>
                <w:color w:val="auto"/>
              </w:rPr>
            </w:pPr>
            <w:r>
              <w:rPr>
                <w:rFonts w:ascii="Arial" w:cs="Arial" w:eastAsia="Arial" w:hAnsi="Arial"/>
                <w:sz w:val="13"/>
                <w:szCs w:val="13"/>
                <w:color w:val="auto"/>
              </w:rPr>
              <w:t>impairment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15,436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20,800</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ending allowance balance</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balance:</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Individually evaluated for</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300"/>
              <w:spacing w:after="0"/>
              <w:rPr>
                <w:sz w:val="20"/>
                <w:szCs w:val="20"/>
                <w:color w:val="auto"/>
              </w:rPr>
            </w:pPr>
            <w:r>
              <w:rPr>
                <w:rFonts w:ascii="Arial" w:cs="Arial" w:eastAsia="Arial" w:hAnsi="Arial"/>
                <w:sz w:val="13"/>
                <w:szCs w:val="13"/>
                <w:color w:val="auto"/>
              </w:rPr>
              <w:t>impairment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6,158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9,069</w:t>
            </w: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Collectively evaluated for</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1,108,984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493,204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1,878,152</w:t>
            </w:r>
          </w:p>
        </w:tc>
        <w:tc>
          <w:tcPr>
            <w:tcW w:w="0" w:type="dxa"/>
            <w:vAlign w:val="bottom"/>
          </w:tcPr>
          <w:p>
            <w:pPr>
              <w:spacing w:after="0"/>
              <w:rPr>
                <w:sz w:val="1"/>
                <w:szCs w:val="1"/>
                <w:color w:val="auto"/>
              </w:rPr>
            </w:pPr>
          </w:p>
        </w:tc>
      </w:tr>
      <w:tr>
        <w:trPr>
          <w:trHeight w:val="163"/>
        </w:trPr>
        <w:tc>
          <w:tcPr>
            <w:tcW w:w="2100" w:type="dxa"/>
            <w:vAlign w:val="bottom"/>
          </w:tcPr>
          <w:p>
            <w:pPr>
              <w:ind w:left="160"/>
              <w:spacing w:after="0"/>
              <w:rPr>
                <w:sz w:val="20"/>
                <w:szCs w:val="20"/>
                <w:color w:val="auto"/>
              </w:rPr>
            </w:pPr>
            <w:r>
              <w:rPr>
                <w:rFonts w:ascii="Arial" w:cs="Arial" w:eastAsia="Arial" w:hAnsi="Arial"/>
                <w:sz w:val="13"/>
                <w:szCs w:val="13"/>
                <w:color w:val="auto"/>
              </w:rPr>
              <w:t>Total ending loan balance</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1,109,315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499,362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1,887,221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adoption of CECL, loans were considered impaired when, based on current information and events as of the measurement date, it was probable the Company would be unable to collect all amounts due in accordance with the original contractual terms of the loan agreements. Impaired loans included loans on non-accrual status and accruing TDRs. When determining if the Company would be unable to collect all principal and interest payments due in accordance with the contractual terms of the loan agreement, the Company considered the borrower’s capacity to pay, which included such factors as the borrower’s current financial statements, an analysis of the global cash flow sufficient to pay all debt obligations, and an evaluation of secondary sources of repayment, such as guarantor support and collateral value.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impaired loans (in thousands) by portfolio segment as of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Unpaid Principal</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Average Recorded</w:t>
            </w:r>
          </w:p>
        </w:tc>
        <w:tc>
          <w:tcPr>
            <w:tcW w:w="160" w:type="dxa"/>
            <w:vAlign w:val="bottom"/>
          </w:tcPr>
          <w:p>
            <w:pPr>
              <w:spacing w:after="0"/>
              <w:rPr>
                <w:sz w:val="12"/>
                <w:szCs w:val="12"/>
                <w:color w:val="auto"/>
              </w:rPr>
            </w:pPr>
          </w:p>
        </w:tc>
        <w:tc>
          <w:tcPr>
            <w:tcW w:w="1200" w:type="dxa"/>
            <w:vAlign w:val="bottom"/>
          </w:tcPr>
          <w:p>
            <w:pPr>
              <w:jc w:val="right"/>
              <w:ind w:right="197"/>
              <w:spacing w:after="0"/>
              <w:rPr>
                <w:sz w:val="20"/>
                <w:szCs w:val="20"/>
                <w:color w:val="auto"/>
              </w:rPr>
            </w:pPr>
            <w:r>
              <w:rPr>
                <w:rFonts w:ascii="Arial" w:cs="Arial" w:eastAsia="Arial" w:hAnsi="Arial"/>
                <w:sz w:val="13"/>
                <w:szCs w:val="13"/>
                <w:b w:val="1"/>
                <w:bCs w:val="1"/>
                <w:color w:val="auto"/>
                <w:w w:val="95"/>
              </w:rPr>
              <w:t>Interest Income</w:t>
            </w:r>
          </w:p>
        </w:tc>
      </w:tr>
      <w:tr>
        <w:trPr>
          <w:trHeight w:val="189"/>
        </w:trPr>
        <w:tc>
          <w:tcPr>
            <w:tcW w:w="458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3"/>
                <w:szCs w:val="13"/>
                <w:b w:val="1"/>
                <w:bCs w:val="1"/>
                <w:color w:val="auto"/>
                <w:w w:val="95"/>
              </w:rPr>
              <w:t>Recorded Investment</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Related Allowance</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6"/>
                <w:szCs w:val="16"/>
                <w:color w:val="auto"/>
              </w:rPr>
            </w:pPr>
          </w:p>
        </w:tc>
        <w:tc>
          <w:tcPr>
            <w:tcW w:w="1200" w:type="dxa"/>
            <w:vAlign w:val="bottom"/>
          </w:tcPr>
          <w:p>
            <w:pPr>
              <w:jc w:val="right"/>
              <w:ind w:right="257"/>
              <w:spacing w:after="0"/>
              <w:rPr>
                <w:sz w:val="20"/>
                <w:szCs w:val="20"/>
                <w:color w:val="auto"/>
              </w:rPr>
            </w:pPr>
            <w:r>
              <w:rPr>
                <w:rFonts w:ascii="Arial" w:cs="Arial" w:eastAsia="Arial" w:hAnsi="Arial"/>
                <w:sz w:val="13"/>
                <w:szCs w:val="13"/>
                <w:b w:val="1"/>
                <w:bCs w:val="1"/>
                <w:color w:val="auto"/>
                <w:w w:val="95"/>
              </w:rPr>
              <w:t xml:space="preserve">Recognized </w:t>
            </w:r>
            <w:r>
              <w:rPr>
                <w:rFonts w:ascii="Arial" w:cs="Arial" w:eastAsia="Arial" w:hAnsi="Arial"/>
                <w:sz w:val="16"/>
                <w:szCs w:val="16"/>
                <w:b w:val="1"/>
                <w:bCs w:val="1"/>
                <w:color w:val="auto"/>
                <w:w w:val="95"/>
                <w:vertAlign w:val="superscript"/>
              </w:rPr>
              <w:t>(1)</w:t>
            </w:r>
          </w:p>
        </w:tc>
      </w:tr>
      <w:tr>
        <w:trPr>
          <w:trHeight w:val="156"/>
        </w:trPr>
        <w:tc>
          <w:tcPr>
            <w:tcW w:w="458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December 31, 2022</w:t>
            </w:r>
          </w:p>
        </w:tc>
        <w:tc>
          <w:tcPr>
            <w:tcW w:w="4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With no related allowance recorded: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real estate</w:t>
            </w:r>
          </w:p>
        </w:tc>
        <w:tc>
          <w:tcPr>
            <w:tcW w:w="4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80" w:type="dxa"/>
            <w:vAlign w:val="bottom"/>
          </w:tcPr>
          <w:p>
            <w:pPr>
              <w:ind w:left="240"/>
              <w:spacing w:after="0"/>
              <w:rPr>
                <w:sz w:val="20"/>
                <w:szCs w:val="20"/>
                <w:color w:val="auto"/>
              </w:rPr>
            </w:pPr>
            <w:r>
              <w:rPr>
                <w:rFonts w:ascii="Arial" w:cs="Arial" w:eastAsia="Arial" w:hAnsi="Arial"/>
                <w:sz w:val="13"/>
                <w:szCs w:val="13"/>
                <w:color w:val="auto"/>
              </w:rPr>
              <w:t>Owner-occupied commercial real estate</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80" w:type="dxa"/>
            <w:vAlign w:val="bottom"/>
          </w:tcPr>
          <w:p>
            <w:pPr>
              <w:ind w:left="240"/>
              <w:spacing w:after="0"/>
              <w:rPr>
                <w:sz w:val="20"/>
                <w:szCs w:val="20"/>
                <w:color w:val="auto"/>
              </w:rPr>
            </w:pPr>
            <w:r>
              <w:rPr>
                <w:rFonts w:ascii="Arial" w:cs="Arial" w:eastAsia="Arial" w:hAnsi="Arial"/>
                <w:sz w:val="13"/>
                <w:szCs w:val="13"/>
                <w:color w:val="auto"/>
              </w:rPr>
              <w:t>Commercial &amp; industrial</w:t>
            </w:r>
          </w:p>
        </w:tc>
        <w:tc>
          <w:tcPr>
            <w:tcW w:w="4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Single family residential (1-4 units)</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r>
      <w:tr>
        <w:trPr>
          <w:trHeight w:val="169"/>
        </w:trPr>
        <w:tc>
          <w:tcPr>
            <w:tcW w:w="4580" w:type="dxa"/>
            <w:vAlign w:val="bottom"/>
          </w:tcPr>
          <w:p>
            <w:pPr>
              <w:ind w:left="240"/>
              <w:spacing w:after="0"/>
              <w:rPr>
                <w:sz w:val="20"/>
                <w:szCs w:val="20"/>
                <w:color w:val="auto"/>
              </w:rPr>
            </w:pPr>
            <w:r>
              <w:rPr>
                <w:rFonts w:ascii="Arial" w:cs="Arial" w:eastAsia="Arial" w:hAnsi="Arial"/>
                <w:sz w:val="13"/>
                <w:szCs w:val="13"/>
                <w:color w:val="auto"/>
              </w:rPr>
              <w:t>Consumer non-real estate and other</w:t>
            </w:r>
          </w:p>
        </w:tc>
        <w:tc>
          <w:tcPr>
            <w:tcW w:w="4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48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r>
      <w:tr>
        <w:trPr>
          <w:trHeight w:val="256"/>
        </w:trPr>
        <w:tc>
          <w:tcPr>
            <w:tcW w:w="4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175"/>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 an allowance recorded:</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4580" w:type="dxa"/>
            <w:vAlign w:val="bottom"/>
          </w:tcPr>
          <w:p>
            <w:pPr>
              <w:ind w:left="240"/>
              <w:spacing w:after="0"/>
              <w:rPr>
                <w:sz w:val="20"/>
                <w:szCs w:val="20"/>
                <w:color w:val="auto"/>
              </w:rPr>
            </w:pPr>
            <w:r>
              <w:rPr>
                <w:rFonts w:ascii="Arial" w:cs="Arial" w:eastAsia="Arial" w:hAnsi="Arial"/>
                <w:sz w:val="13"/>
                <w:szCs w:val="13"/>
                <w:color w:val="auto"/>
              </w:rPr>
              <w:t>Commercial real estate</w:t>
            </w: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Owner-occupied commercial real estate</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8"/>
        </w:trPr>
        <w:tc>
          <w:tcPr>
            <w:tcW w:w="4580" w:type="dxa"/>
            <w:vAlign w:val="bottom"/>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4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&amp; industrial</w:t>
            </w: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580" w:type="dxa"/>
            <w:vAlign w:val="bottom"/>
          </w:tcPr>
          <w:p>
            <w:pPr>
              <w:ind w:left="240"/>
              <w:spacing w:after="0"/>
              <w:rPr>
                <w:sz w:val="20"/>
                <w:szCs w:val="20"/>
                <w:color w:val="auto"/>
              </w:rPr>
            </w:pPr>
            <w:r>
              <w:rPr>
                <w:rFonts w:ascii="Arial" w:cs="Arial" w:eastAsia="Arial" w:hAnsi="Arial"/>
                <w:sz w:val="13"/>
                <w:szCs w:val="13"/>
                <w:color w:val="auto"/>
              </w:rPr>
              <w:t>Single family residential (1-4 units)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83"/>
        </w:trPr>
        <w:tc>
          <w:tcPr>
            <w:tcW w:w="45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Consumer non-real estate and other</w:t>
            </w: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4580" w:type="dxa"/>
            <w:vAlign w:val="bottom"/>
          </w:tcPr>
          <w:p>
            <w:pPr>
              <w:ind w:left="460"/>
              <w:spacing w:after="0"/>
              <w:rPr>
                <w:sz w:val="20"/>
                <w:szCs w:val="20"/>
                <w:color w:val="auto"/>
              </w:rPr>
            </w:pPr>
            <w:r>
              <w:rPr>
                <w:rFonts w:ascii="Arial" w:cs="Arial" w:eastAsia="Arial" w:hAnsi="Arial"/>
                <w:sz w:val="13"/>
                <w:szCs w:val="13"/>
                <w:color w:val="auto"/>
              </w:rPr>
              <w:t>Subtotal</w:t>
            </w:r>
          </w:p>
        </w:tc>
        <w:tc>
          <w:tcPr>
            <w:tcW w:w="4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bl>
    <w:p>
      <w:pPr>
        <w:spacing w:after="0" w:line="22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basis interest income recognized approximates interest income recognized shown as of the twelve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recorded investment in loans excludes accrued interest receivable and loan origination fees, net due to immateriality. The following table presents the aging of the recorded investment in past due loans as of September 30, 2023, and December 31, 2022, by portfolio segment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5"/>
              </w:rPr>
              <w:t>September 30, 2023</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2"/>
        </w:trPr>
        <w:tc>
          <w:tcPr>
            <w:tcW w:w="248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30 - 59 Days Past</w:t>
            </w:r>
          </w:p>
        </w:tc>
        <w:tc>
          <w:tcPr>
            <w:tcW w:w="108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90 Days or More</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90 Days Past Due</w:t>
            </w: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83"/>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Due</w:t>
            </w:r>
          </w:p>
        </w:tc>
        <w:tc>
          <w:tcPr>
            <w:tcW w:w="1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Past Due</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Past Due</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Current Loans</w:t>
            </w:r>
          </w:p>
        </w:tc>
        <w:tc>
          <w:tcPr>
            <w:tcW w:w="12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&amp; Still Accruing</w:t>
            </w: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Non-accrual loans</w:t>
            </w:r>
          </w:p>
        </w:tc>
      </w:tr>
      <w:tr>
        <w:trPr>
          <w:trHeight w:val="176"/>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1,260,647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1,260,653</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122,829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123,496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1,028</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96,535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61,571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61,571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525,558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w:t>
            </w:r>
          </w:p>
        </w:tc>
      </w:tr>
      <w:tr>
        <w:trPr>
          <w:trHeight w:val="169"/>
        </w:trPr>
        <w:tc>
          <w:tcPr>
            <w:tcW w:w="2480" w:type="dxa"/>
            <w:vAlign w:val="bottom"/>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2,803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4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2,069,839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2,070,616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5"/>
              </w:rPr>
              <w:t>December 31, 2022</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2"/>
        </w:trPr>
        <w:tc>
          <w:tcPr>
            <w:tcW w:w="248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30 - 59 Days Past</w:t>
            </w:r>
          </w:p>
        </w:tc>
        <w:tc>
          <w:tcPr>
            <w:tcW w:w="108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90 Days or More</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w w:val="95"/>
              </w:rPr>
              <w:t>90 Days Past Due</w:t>
            </w: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83"/>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Due</w:t>
            </w:r>
          </w:p>
        </w:tc>
        <w:tc>
          <w:tcPr>
            <w:tcW w:w="1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Past Due</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Past Due</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Current Loans</w:t>
            </w:r>
          </w:p>
        </w:tc>
        <w:tc>
          <w:tcPr>
            <w:tcW w:w="12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Loans</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4"/>
              </w:rPr>
              <w:t>&amp; Still Accruing</w:t>
            </w: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Non-accrual loans</w:t>
            </w:r>
          </w:p>
        </w:tc>
      </w:tr>
      <w:tr>
        <w:trPr>
          <w:trHeight w:val="175"/>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1,184</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48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499,362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w:t>
            </w:r>
          </w:p>
        </w:tc>
      </w:tr>
      <w:tr>
        <w:trPr>
          <w:trHeight w:val="169"/>
        </w:trPr>
        <w:tc>
          <w:tcPr>
            <w:tcW w:w="2480" w:type="dxa"/>
            <w:vAlign w:val="bottom"/>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4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1,885,114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1,887,221</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Indicators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w:t>
      </w:r>
      <w:r>
        <w:rPr>
          <w:rFonts w:ascii="Arial" w:cs="Arial" w:eastAsia="Arial" w:hAnsi="Arial"/>
          <w:sz w:val="18"/>
          <w:szCs w:val="18"/>
          <w:color w:val="auto"/>
        </w:rPr>
        <w:t>: These include satisfactory loans that have acceptable levels of risk.</w:t>
      </w:r>
    </w:p>
    <w:p>
      <w:pPr>
        <w:spacing w:after="0" w:line="17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Special Mention</w:t>
      </w:r>
      <w:r>
        <w:rPr>
          <w:rFonts w:ascii="Arial" w:cs="Arial" w:eastAsia="Arial" w:hAnsi="Arial"/>
          <w:sz w:val="16"/>
          <w:szCs w:val="16"/>
          <w:color w:val="auto"/>
        </w:rPr>
        <w:t>: Loans classified as special mention have a potential credit weakness that deserves management’s close attention. If left uncorrected,</w:t>
      </w:r>
      <w:r>
        <w:rPr>
          <w:rFonts w:ascii="Arial" w:cs="Arial" w:eastAsia="Arial" w:hAnsi="Arial"/>
          <w:sz w:val="16"/>
          <w:szCs w:val="16"/>
          <w:b w:val="1"/>
          <w:bCs w:val="1"/>
          <w:color w:val="auto"/>
        </w:rPr>
        <w:t xml:space="preserve"> </w:t>
      </w:r>
      <w:r>
        <w:rPr>
          <w:rFonts w:ascii="Arial" w:cs="Arial" w:eastAsia="Arial" w:hAnsi="Arial"/>
          <w:sz w:val="16"/>
          <w:szCs w:val="16"/>
          <w:color w:val="auto"/>
        </w:rPr>
        <w:t>these potential weaknesses may result in deterioration of the repayment prospects for the loan or of the institution’s credit position at some future date.</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Substandard</w:t>
      </w:r>
      <w:r>
        <w:rPr>
          <w:rFonts w:ascii="Arial" w:cs="Arial" w:eastAsia="Arial" w:hAnsi="Arial"/>
          <w:sz w:val="18"/>
          <w:szCs w:val="18"/>
          <w:color w:val="auto"/>
        </w:rPr>
        <w:t>: Loans classified as substandard have a well-defined weakness or weaknesses that jeopardize the orderly liquidation of debt. Loans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2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Doubtful</w:t>
      </w:r>
      <w:r>
        <w:rPr>
          <w:rFonts w:ascii="Arial" w:cs="Arial" w:eastAsia="Arial" w:hAnsi="Arial"/>
          <w:sz w:val="17"/>
          <w:szCs w:val="17"/>
          <w:color w:val="auto"/>
        </w:rPr>
        <w:t>: Loans classified as doubtful have all the weaknesses inherent in those classified as substandard, with the added characteristic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weaknesses make collection or liquidation in full, on the basis of currently existing facts, conditions, and values, highly questionable and unlikely.</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Loss</w:t>
      </w:r>
      <w:r>
        <w:rPr>
          <w:rFonts w:ascii="Arial" w:cs="Arial" w:eastAsia="Arial" w:hAnsi="Arial"/>
          <w:sz w:val="18"/>
          <w:szCs w:val="18"/>
          <w:color w:val="auto"/>
        </w:rPr>
        <w:t>: Loans classified as a loss are considered to be uncollectible and cannot be justified to continue as viable assets. While there may be the possibility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some recovery in the future, it is not practical or desirable to defer writing off these loans at the present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amortized cost basis of the loan portfolio, by year of origination, loan class, and credit quality, as of September 30, 2023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31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Prior</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Revolving Loans</w:t>
            </w:r>
          </w:p>
        </w:tc>
        <w:tc>
          <w:tcPr>
            <w:tcW w:w="220" w:type="dxa"/>
            <w:vAlign w:val="bottom"/>
          </w:tcPr>
          <w:p>
            <w:pPr>
              <w:spacing w:after="0"/>
              <w:rPr>
                <w:sz w:val="16"/>
                <w:szCs w:val="16"/>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156,332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256,044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166,943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23,638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70,916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412,169</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34,974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1,121,016</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59,945</w:t>
            </w: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49,649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79,692</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156,332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283,759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215,239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23,638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83,063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463,648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1,260,653</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9"/>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2"/>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4,688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29,017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9,516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14,340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12,848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43,182</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4,585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118,176</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4,453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4,989</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47,966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123,496</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9"/>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4,871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27,645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15,510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23,951</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74,442</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22,093</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27,645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46,044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96,535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9"/>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23,329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16,379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5,068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13,948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60,681</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23,329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61,571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9"/>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69,336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123,047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60,748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32,408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41,256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142,985</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53,951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523,731</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2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1,827</w:t>
            </w:r>
          </w:p>
        </w:tc>
      </w:tr>
      <w:tr>
        <w:trPr>
          <w:trHeight w:val="183"/>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69,336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61,039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32,654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41,256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144,275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525,558</w:t>
            </w:r>
          </w:p>
        </w:tc>
      </w:tr>
      <w:tr>
        <w:trPr>
          <w:trHeight w:val="149"/>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9"/>
        </w:trPr>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non-real estate and other</w:t>
            </w: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Pass</w:t>
            </w: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4"/>
                <w:szCs w:val="14"/>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1,048</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2,803</w:t>
            </w:r>
          </w:p>
        </w:tc>
      </w:tr>
      <w:tr>
        <w:trPr>
          <w:trHeight w:val="183"/>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4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Pr>
          <w:p>
            <w:pPr>
              <w:ind w:left="140"/>
              <w:spacing w:after="0"/>
              <w:rPr>
                <w:sz w:val="20"/>
                <w:szCs w:val="20"/>
                <w:color w:val="auto"/>
              </w:rPr>
            </w:pPr>
            <w:r>
              <w:rPr>
                <w:rFonts w:ascii="Arial" w:cs="Arial" w:eastAsia="Arial" w:hAnsi="Arial"/>
                <w:sz w:val="13"/>
                <w:szCs w:val="13"/>
                <w:color w:val="auto"/>
              </w:rPr>
              <w:t>Loss</w:t>
            </w:r>
          </w:p>
        </w:tc>
        <w:tc>
          <w:tcPr>
            <w:tcW w:w="4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2,803</w:t>
            </w:r>
          </w:p>
        </w:tc>
      </w:tr>
      <w:tr>
        <w:trPr>
          <w:trHeight w:val="148"/>
        </w:trPr>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9"/>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Year to date gross charge-offs</w:t>
            </w: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value of outstanding loans by credit quality indicators as of December 31, 2022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p>
        </w:tc>
        <w:tc>
          <w:tcPr>
            <w:tcW w:w="10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20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Doubtful</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Loss</w:t>
            </w:r>
          </w:p>
        </w:tc>
        <w:tc>
          <w:tcPr>
            <w:tcW w:w="28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6"/>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1,011,025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62,907</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35,383</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1,109,315</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127,114</w:t>
            </w: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68,220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94,450</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53,273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53,514</w:t>
            </w: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494,994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499,362</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r>
      <w:tr>
        <w:trPr>
          <w:trHeight w:val="176"/>
        </w:trPr>
        <w:tc>
          <w:tcPr>
            <w:tcW w:w="3360" w:type="dxa"/>
            <w:vAlign w:val="bottom"/>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1,752,599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65,761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68,861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1,887,221</w:t>
            </w: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collateral-dependent loans that were individually evaluated for purposes of determining the ACL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60" w:type="dxa"/>
            <w:vAlign w:val="bottom"/>
            <w:gridSpan w:val="8"/>
          </w:tcPr>
          <w:p>
            <w:pPr>
              <w:jc w:val="center"/>
              <w:ind w:right="820"/>
              <w:spacing w:after="0"/>
              <w:rPr>
                <w:sz w:val="20"/>
                <w:szCs w:val="20"/>
                <w:color w:val="auto"/>
              </w:rPr>
            </w:pPr>
            <w:r>
              <w:rPr>
                <w:rFonts w:ascii="Arial" w:cs="Arial" w:eastAsia="Arial" w:hAnsi="Arial"/>
                <w:sz w:val="14"/>
                <w:szCs w:val="14"/>
                <w:b w:val="1"/>
                <w:bCs w:val="1"/>
                <w:color w:val="auto"/>
                <w:w w:val="92"/>
              </w:rPr>
              <w:t>Collateral-Dependent Loans</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With Allowance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With No Related</w:t>
            </w:r>
          </w:p>
        </w:tc>
        <w:tc>
          <w:tcPr>
            <w:tcW w:w="120" w:type="dxa"/>
            <w:vAlign w:val="bottom"/>
          </w:tcPr>
          <w:p>
            <w:pPr>
              <w:spacing w:after="0"/>
              <w:rPr>
                <w:sz w:val="14"/>
                <w:szCs w:val="14"/>
                <w:color w:val="auto"/>
              </w:rPr>
            </w:pPr>
          </w:p>
        </w:tc>
        <w:tc>
          <w:tcPr>
            <w:tcW w:w="180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Owner-occupied commercial real estate</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80" w:type="dxa"/>
            <w:vAlign w:val="bottom"/>
          </w:tcPr>
          <w:p>
            <w:pPr>
              <w:ind w:left="260"/>
              <w:spacing w:after="0"/>
              <w:rPr>
                <w:sz w:val="20"/>
                <w:szCs w:val="20"/>
                <w:color w:val="auto"/>
              </w:rPr>
            </w:pPr>
            <w:r>
              <w:rPr>
                <w:rFonts w:ascii="Arial" w:cs="Arial" w:eastAsia="Arial" w:hAnsi="Arial"/>
                <w:sz w:val="14"/>
                <w:szCs w:val="14"/>
                <w:color w:val="auto"/>
              </w:rPr>
              <w:t>Acquisition, construction &amp; development</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80" w:type="dxa"/>
            <w:vAlign w:val="bottom"/>
          </w:tcPr>
          <w:p>
            <w:pPr>
              <w:ind w:left="260"/>
              <w:spacing w:after="0"/>
              <w:rPr>
                <w:sz w:val="20"/>
                <w:szCs w:val="20"/>
                <w:color w:val="auto"/>
              </w:rPr>
            </w:pPr>
            <w:r>
              <w:rPr>
                <w:rFonts w:ascii="Arial" w:cs="Arial" w:eastAsia="Arial" w:hAnsi="Arial"/>
                <w:sz w:val="14"/>
                <w:szCs w:val="14"/>
                <w:color w:val="auto"/>
              </w:rPr>
              <w:t>Single family residential (1-4 units)</w:t>
            </w:r>
          </w:p>
        </w:tc>
        <w:tc>
          <w:tcPr>
            <w:tcW w:w="10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Consumer non-real estate and other</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680" w:type="dxa"/>
            <w:vAlign w:val="bottom"/>
          </w:tcPr>
          <w:p>
            <w:pPr>
              <w:ind w:left="4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3,659</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 Upon adoption of CECL, the Company loans classified as TDRs were individually evaluated for the ACL, and the measurement was done either using the collateral-dependent or the discounted cash flow method.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three and nine months ended September 30, 2023, the Company did not extend 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modifications to borrowers experiencing financial difficulty that had a more-than-insignificant direct change in the contractual cash flows of the loan. The Company did not extend any modifications that were defined as TDRs during the year ended December 31, 2022. </w:t>
      </w:r>
      <w:r>
        <w:rPr>
          <w:rFonts w:ascii="Arial" w:cs="Arial" w:eastAsia="Arial" w:hAnsi="Arial"/>
          <w:sz w:val="18"/>
          <w:szCs w:val="18"/>
          <w:b w:val="1"/>
          <w:bCs w:val="1"/>
          <w:color w:val="auto"/>
        </w:rPr>
        <w:t>Note 5— Deposits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amount of time deposits, each with a minimum denomination of $250,000, was approximately $65.5 million and $32.6 million on September 30, 2023, and December 31, 2022, respectively. Brokered time deposits totaled $389.0 million and $100.3 million as of September 30, 2023, and December 31, 2022, respectively. Time deposits through the Certificate of Deposit Account Registry Service program totaled $21.8 million at September 30, 2023, compared to $11.7 million at December 31, 2022.</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the scheduled maturities of time deposits for the remaining three months ending December 31, 2023 and the following five years were as follows (in thousands):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Remaining three months ending, December 31, 2023</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59,683</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269,103</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135,389</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83,185</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49,432</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78,046</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674,838</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and December 31, 2022, amounts included in time deposits for individual retirement accounts totaled $30.9 million and $36.9 million, respectively.</w:t>
      </w:r>
    </w:p>
    <w:p>
      <w:pPr>
        <w:spacing w:after="0" w:line="116"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Overdrafts of $197 thousand and $503 thousand were reclassified to loans as of September 30, 2023, and the year ended December 31, 2022, respectively. </w:t>
      </w:r>
      <w:r>
        <w:rPr>
          <w:rFonts w:ascii="Arial" w:cs="Arial" w:eastAsia="Arial" w:hAnsi="Arial"/>
          <w:sz w:val="18"/>
          <w:szCs w:val="18"/>
          <w:b w:val="1"/>
          <w:bCs w:val="1"/>
          <w:color w:val="auto"/>
        </w:rPr>
        <w:t>Note 6— Advances and Other Borrowings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borrowings of $299.0 million and $343.1 million at September 30, 2023, and December 31, 2022, respectively. At September 30, 2023, the interest rate on this debt ranged from 4.38% to 5.57%. At December 31, 2022, the interest rate on this debt ranged from 4.13% to 4.57%. The average balance outstanding during the nine months ending September 30, 2023, and the year ending December 31, 2022, was $302.1 million and $269.5 million, respectively. The Company’s short-term borrowings from time to time may consist of advances from the FHLB of Atlanta, unsecured lines from Correspondent Banks, and secured lines from the Federal Reserve Discount Window.</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available lines of credit with the FHLB of Atlanta and unsecured federal funds lines of credit from correspondent banking relationships. Through these sources, the Company has unused capacity of $883.5 million in remaining borrowing capacity as of September 30, 2023. The advances on credit lines are secured by both securities and loans. The lendable collateral value of securities and loans pledged against available lines of credit as of September 30, 2023, and December 31, 2022, was $778.0 million and $698.1 million, respectively. As of September 30, 2023, all of the Company’s borrowings will mature within one calendar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The contractual maturities of these borrowings as of September 30, 2023, are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2023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2024</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twelve years and may contain renewal options.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income, which was included in non-interest expense on the Consolidated Statements of Income,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5"/>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5060" w:type="dxa"/>
            <w:vAlign w:val="bottom"/>
          </w:tcPr>
          <w:p>
            <w:pPr>
              <w:ind w:left="240"/>
              <w:spacing w:after="0"/>
              <w:rPr>
                <w:sz w:val="20"/>
                <w:szCs w:val="20"/>
                <w:color w:val="auto"/>
              </w:rPr>
            </w:pPr>
            <w:r>
              <w:rPr>
                <w:rFonts w:ascii="Arial" w:cs="Arial" w:eastAsia="Arial" w:hAnsi="Arial"/>
                <w:sz w:val="18"/>
                <w:szCs w:val="18"/>
                <w:color w:val="auto"/>
              </w:rPr>
              <w:t>Total lease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466"/>
        </w:trPr>
        <w:tc>
          <w:tcPr>
            <w:tcW w:w="8180" w:type="dxa"/>
            <w:vAlign w:val="bottom"/>
            <w:gridSpan w:val="7"/>
          </w:tcPr>
          <w:p>
            <w:pPr>
              <w:spacing w:after="0"/>
              <w:rPr>
                <w:sz w:val="20"/>
                <w:szCs w:val="20"/>
                <w:color w:val="auto"/>
              </w:rPr>
            </w:pPr>
            <w:r>
              <w:rPr>
                <w:rFonts w:ascii="Arial" w:cs="Arial" w:eastAsia="Arial" w:hAnsi="Arial"/>
                <w:sz w:val="18"/>
                <w:szCs w:val="18"/>
                <w:color w:val="auto"/>
                <w:w w:val="90"/>
              </w:rPr>
              <w:t>The remaining maturities of operating lease receivables as of September 30, 2023,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6"/>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6"/>
              </w:rPr>
              <w:t>Operating Leases</w:t>
            </w:r>
          </w:p>
        </w:tc>
      </w:tr>
      <w:tr>
        <w:trPr>
          <w:trHeight w:val="26"/>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ending December 31, 2023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and liabilities by lease type, and the associated balance sheet classifications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Balance Sheet Classification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0"/>
              </w:rPr>
              <w:t>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4,846</w:t>
            </w: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7,255</w:t>
            </w:r>
          </w:p>
        </w:tc>
      </w:tr>
      <w:tr>
        <w:trPr>
          <w:trHeight w:val="23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23"/>
        </w:trPr>
        <w:tc>
          <w:tcPr>
            <w:tcW w:w="5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right-of-use assets</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9"/>
              </w:rPr>
              <w:t>Other liabilities</w:t>
            </w:r>
          </w:p>
        </w:tc>
        <w:tc>
          <w:tcPr>
            <w:tcW w:w="10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5,075</w:t>
            </w: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29"/>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liabilities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w:t>
            </w:r>
          </w:p>
        </w:tc>
      </w:tr>
      <w:tr>
        <w:trPr>
          <w:trHeight w:val="466"/>
        </w:trPr>
        <w:tc>
          <w:tcPr>
            <w:tcW w:w="5100" w:type="dxa"/>
            <w:vAlign w:val="bottom"/>
          </w:tcPr>
          <w:p>
            <w:pPr>
              <w:spacing w:after="0"/>
              <w:rPr>
                <w:sz w:val="20"/>
                <w:szCs w:val="20"/>
                <w:color w:val="auto"/>
              </w:rPr>
            </w:pPr>
            <w:r>
              <w:rPr>
                <w:rFonts w:ascii="Arial" w:cs="Arial" w:eastAsia="Arial" w:hAnsi="Arial"/>
                <w:sz w:val="18"/>
                <w:szCs w:val="18"/>
                <w:color w:val="auto"/>
                <w:w w:val="95"/>
              </w:rPr>
              <w:t>The components of total lease cost were as follows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6"/>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7"/>
          </w:tcPr>
          <w:p>
            <w:pPr>
              <w:jc w:val="right"/>
              <w:ind w:right="35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03"/>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6"/>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Right-of-use asset amortization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638</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r>
      <w:tr>
        <w:trPr>
          <w:trHeight w:val="223"/>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705</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future undiscounted lease payments for finance and operating leases with initial terms of one year or more as of September 30, 2023,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r>
      <w:tr>
        <w:trPr>
          <w:trHeight w:val="25"/>
        </w:trPr>
        <w:tc>
          <w:tcPr>
            <w:tcW w:w="46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ending December 31, 2023</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2026</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3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3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lease liabilities</w:t>
            </w:r>
          </w:p>
        </w:tc>
        <w:tc>
          <w:tcPr>
            <w:tcW w:w="3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898"/>
        </w:trPr>
        <w:tc>
          <w:tcPr>
            <w:tcW w:w="4660" w:type="dxa"/>
            <w:vAlign w:val="bottom"/>
          </w:tcPr>
          <w:p>
            <w:pPr>
              <w:spacing w:after="0"/>
              <w:rPr>
                <w:sz w:val="24"/>
                <w:szCs w:val="24"/>
                <w:color w:val="auto"/>
              </w:rPr>
            </w:pPr>
          </w:p>
        </w:tc>
        <w:tc>
          <w:tcPr>
            <w:tcW w:w="3520" w:type="dxa"/>
            <w:vAlign w:val="bottom"/>
          </w:tcPr>
          <w:p>
            <w:pPr>
              <w:jc w:val="right"/>
              <w:ind w:right="237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the Company’s leases as of September 30, 2023, and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Supplemental lease information (dollars in thousands)</w:t>
            </w: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2022</w:t>
            </w:r>
          </w:p>
        </w:tc>
      </w:tr>
      <w:tr>
        <w:trPr>
          <w:trHeight w:val="26"/>
        </w:trPr>
        <w:tc>
          <w:tcPr>
            <w:tcW w:w="7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weighted average remaining lease term (years)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Finance lease weighted average discount rate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weighted average remaining lease term (years)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Operating lease weighted average discount rate</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3.19 %</w:t>
            </w:r>
          </w:p>
        </w:tc>
      </w:tr>
      <w:tr>
        <w:trPr>
          <w:trHeight w:val="270"/>
        </w:trPr>
        <w:tc>
          <w:tcPr>
            <w:tcW w:w="7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900" w:type="dxa"/>
            <w:vAlign w:val="bottom"/>
            <w:gridSpan w:val="3"/>
            <w:shd w:val="clear" w:color="auto" w:fill="CCEEFF"/>
          </w:tcPr>
          <w:p>
            <w:pPr>
              <w:spacing w:after="0"/>
              <w:rPr>
                <w:sz w:val="23"/>
                <w:szCs w:val="23"/>
                <w:color w:val="auto"/>
              </w:rPr>
            </w:pPr>
          </w:p>
        </w:tc>
      </w:tr>
      <w:tr>
        <w:trPr>
          <w:trHeight w:val="194"/>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 September 30,</w:t>
            </w:r>
          </w:p>
        </w:tc>
      </w:tr>
      <w:tr>
        <w:trPr>
          <w:trHeight w:val="23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2022</w:t>
            </w:r>
          </w:p>
        </w:tc>
      </w:tr>
      <w:tr>
        <w:trPr>
          <w:trHeight w:val="223"/>
        </w:trPr>
        <w:tc>
          <w:tcPr>
            <w:tcW w:w="752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1,871</w:t>
            </w:r>
          </w:p>
        </w:tc>
      </w:tr>
      <w:tr>
        <w:trPr>
          <w:trHeight w:val="229"/>
        </w:trPr>
        <w:tc>
          <w:tcPr>
            <w:tcW w:w="7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r>
      <w:tr>
        <w:trPr>
          <w:trHeight w:val="230"/>
        </w:trPr>
        <w:tc>
          <w:tcPr>
            <w:tcW w:w="7520" w:type="dxa"/>
            <w:vAlign w:val="bottom"/>
            <w:gridSpan w:val="2"/>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1600" w:type="dxa"/>
            <w:vAlign w:val="bottom"/>
          </w:tcPr>
          <w:p>
            <w:pPr>
              <w:jc w:val="right"/>
              <w:ind w:right="13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113</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502</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AFS securities is not included in computing regulatory capital. Management believes as of September 30, 2023, the Company and the Bank meet all capital adequacy requirements to which they are subject.</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September 30, 2023, and December 31, 2022, the most recent notification from the FDIC categorized the Bank as “well capitalized” under the regulatory framework for “prompt corrective 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actual and required capital amounts and ratios for the Company and the Bank at September 30, 2023, and December 31, 2022 (in thousands except for ratios).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4"/>
          </w:tcPr>
          <w:p>
            <w:pPr>
              <w:ind w:left="100"/>
              <w:spacing w:after="0"/>
              <w:rPr>
                <w:sz w:val="20"/>
                <w:szCs w:val="20"/>
                <w:color w:val="auto"/>
              </w:rPr>
            </w:pPr>
            <w:r>
              <w:rPr>
                <w:rFonts w:ascii="Arial" w:cs="Arial" w:eastAsia="Arial" w:hAnsi="Arial"/>
                <w:sz w:val="14"/>
                <w:szCs w:val="14"/>
                <w:b w:val="1"/>
                <w:bCs w:val="1"/>
                <w:color w:val="auto"/>
              </w:rPr>
              <w:t>Minimum Required for Capital</w:t>
            </w:r>
          </w:p>
        </w:tc>
        <w:tc>
          <w:tcPr>
            <w:tcW w:w="100" w:type="dxa"/>
            <w:vAlign w:val="bottom"/>
          </w:tcPr>
          <w:p>
            <w:pPr>
              <w:spacing w:after="0"/>
              <w:rPr>
                <w:sz w:val="14"/>
                <w:szCs w:val="14"/>
                <w:color w:val="auto"/>
              </w:rPr>
            </w:pPr>
          </w:p>
        </w:tc>
        <w:tc>
          <w:tcPr>
            <w:tcW w:w="24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w w:val="94"/>
              </w:rPr>
              <w:t>To Be Well Capitalized Under Prompt</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Actual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5"/>
          </w:tcPr>
          <w:p>
            <w:pPr>
              <w:ind w:left="40"/>
              <w:spacing w:after="0" w:line="145" w:lineRule="exact"/>
              <w:rPr>
                <w:sz w:val="20"/>
                <w:szCs w:val="20"/>
                <w:color w:val="auto"/>
              </w:rPr>
            </w:pPr>
            <w:r>
              <w:rPr>
                <w:rFonts w:ascii="Arial" w:cs="Arial" w:eastAsia="Arial" w:hAnsi="Arial"/>
                <w:sz w:val="14"/>
                <w:szCs w:val="14"/>
                <w:b w:val="1"/>
                <w:bCs w:val="1"/>
                <w:color w:val="auto"/>
                <w:w w:val="93"/>
              </w:rPr>
              <w:t>Adequacy Purposes (includes applicable</w:t>
            </w:r>
          </w:p>
        </w:tc>
        <w:tc>
          <w:tcPr>
            <w:tcW w:w="10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ind w:left="160"/>
              <w:spacing w:after="0"/>
              <w:rPr>
                <w:sz w:val="20"/>
                <w:szCs w:val="20"/>
                <w:color w:val="auto"/>
              </w:rPr>
            </w:pPr>
            <w:r>
              <w:rPr>
                <w:rFonts w:ascii="Arial" w:cs="Arial" w:eastAsia="Arial" w:hAnsi="Arial"/>
                <w:sz w:val="14"/>
                <w:szCs w:val="14"/>
                <w:b w:val="1"/>
                <w:bCs w:val="1"/>
                <w:color w:val="auto"/>
              </w:rPr>
              <w:t>Capital Conservation Buffer)</w:t>
            </w:r>
          </w:p>
        </w:tc>
        <w:tc>
          <w:tcPr>
            <w:tcW w:w="100" w:type="dxa"/>
            <w:vAlign w:val="bottom"/>
          </w:tcPr>
          <w:p>
            <w:pPr>
              <w:spacing w:after="0"/>
              <w:rPr>
                <w:sz w:val="17"/>
                <w:szCs w:val="17"/>
                <w:color w:val="auto"/>
              </w:rPr>
            </w:pPr>
          </w:p>
        </w:tc>
        <w:tc>
          <w:tcPr>
            <w:tcW w:w="24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Corrective Action Regulations</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Total Capital to risk 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443,293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3"/>
              </w:rPr>
              <w:t>17.48 %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266,306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10.5%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253,625</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441,597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266,587</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10.5</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253,893</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416,977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215,581</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8.5</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202,900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415,281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16.36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215,809</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8.5</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203,114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416,977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16.44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177,537</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7.0</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164,856</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415,281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177,725</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165,030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416,977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147,333</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4.0</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184,166</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415,281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11.27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147,417</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4.0</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184,271</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Total Capital to risk 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433,958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3"/>
              </w:rPr>
              <w:t>18.88 %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241,325</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10.5%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229,834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432,290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241,368</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10.5</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229,874</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195,358</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8.5</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186,867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411,251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17.89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195,393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8.5</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183,900</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412,946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17.97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160,883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7.0</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149,392</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411,251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160,912</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149,418</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300"/>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145,605</w:t>
            </w:r>
          </w:p>
        </w:tc>
        <w:tc>
          <w:tcPr>
            <w:tcW w:w="1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4.0</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145,605</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4.0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principal source of funds for dividend payments is dividends received from the Bank. Banking regulations limit the amount of dividends that may be paid without prior approval of regulatory agencies. As of September 30, 2023, approximately $175.0 million of retained earnings was available for dividend declaration without regulatory approval.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objective in using interest rate derivatives is to add stability to interest income and to manage its exposure to interest rate movements. To accomplish this objective, the Company primarily uses interest rate swaps and floors as part of its interest rate risk management strategy. Interest rate swaps designated as cash flow hedges involve the receipt of fixed-rate amounts from a counterparty in exchange for the Company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up-front premium. During 2023, such derivatives were used to hedge the variable cash flows associated with variable-rate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derivatives designated and that qualify as cash flow hedges of interest rate risk, the gain or loss on the derivative is recorded in AOCI and subsequently reclassified into interest income in the same period(s) during which the hedged transaction affects earnings. Amounts reported in AOCI related to derivatives will be reclassified to interest income as interest payments are received on the Company’s variable-rate asset. During the next 12 months, the Company estimates that an additional $1.1 million will be reclassified as a reduction to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which includes accrued interest, as well as their classification on the Consolidated Balance Sheets as of September 30, 2023, and December 31, 2022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5580" w:type="dxa"/>
            <w:vAlign w:val="bottom"/>
          </w:tcPr>
          <w:p>
            <w:pPr>
              <w:spacing w:after="0"/>
              <w:rPr>
                <w:sz w:val="16"/>
                <w:szCs w:val="16"/>
                <w:color w:val="auto"/>
              </w:rPr>
            </w:pPr>
          </w:p>
        </w:tc>
        <w:tc>
          <w:tcPr>
            <w:tcW w:w="2100" w:type="dxa"/>
            <w:vAlign w:val="bottom"/>
          </w:tcPr>
          <w:p>
            <w:pPr>
              <w:jc w:val="center"/>
              <w:ind w:left="335"/>
              <w:spacing w:after="0"/>
              <w:rPr>
                <w:sz w:val="20"/>
                <w:szCs w:val="20"/>
                <w:color w:val="auto"/>
              </w:rPr>
            </w:pPr>
            <w:r>
              <w:rPr>
                <w:rFonts w:ascii="Arial" w:cs="Arial" w:eastAsia="Arial" w:hAnsi="Arial"/>
                <w:sz w:val="14"/>
                <w:szCs w:val="14"/>
                <w:b w:val="1"/>
                <w:bCs w:val="1"/>
                <w:color w:val="auto"/>
                <w:w w:val="91"/>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94"/>
              </w:rPr>
              <w:t>Other liabilities</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70"/>
        </w:trPr>
        <w:tc>
          <w:tcPr>
            <w:tcW w:w="55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4"/>
              </w:rPr>
              <w:t>Other assets</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94"/>
              </w:rPr>
              <w:t>Other liabilities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72,836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2,732</w:t>
            </w:r>
          </w:p>
        </w:tc>
      </w:tr>
      <w:tr>
        <w:trPr>
          <w:trHeight w:val="460"/>
        </w:trPr>
        <w:tc>
          <w:tcPr>
            <w:tcW w:w="5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100" w:type="dxa"/>
            <w:vAlign w:val="bottom"/>
          </w:tcPr>
          <w:p>
            <w:pPr>
              <w:jc w:val="center"/>
              <w:ind w:left="335"/>
              <w:spacing w:after="0"/>
              <w:rPr>
                <w:sz w:val="20"/>
                <w:szCs w:val="20"/>
                <w:color w:val="auto"/>
              </w:rPr>
            </w:pPr>
            <w:r>
              <w:rPr>
                <w:rFonts w:ascii="Arial" w:cs="Arial" w:eastAsia="Arial" w:hAnsi="Arial"/>
                <w:sz w:val="14"/>
                <w:szCs w:val="14"/>
                <w:b w:val="1"/>
                <w:bCs w:val="1"/>
                <w:color w:val="auto"/>
                <w:w w:val="91"/>
              </w:rPr>
              <w:t>Balance Sheet Location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94"/>
              </w:rPr>
              <w:t>Other liabilities</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70"/>
        </w:trPr>
        <w:tc>
          <w:tcPr>
            <w:tcW w:w="55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4"/>
              </w:rPr>
              <w:t>Other assets</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94"/>
              </w:rPr>
              <w:t>Other liabilities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effect of cash flow hedge accounting on AOCI for the three months ended September 30, 2023, and September 30, 2022,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 2023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Location of Gain or</w:t>
            </w: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3"/>
              </w:rPr>
              <w:t>Excluded</w:t>
            </w:r>
          </w:p>
        </w:tc>
        <w:tc>
          <w:tcPr>
            <w:tcW w:w="0" w:type="dxa"/>
            <w:vAlign w:val="bottom"/>
          </w:tcPr>
          <w:p>
            <w:pPr>
              <w:spacing w:after="0"/>
              <w:rPr>
                <w:sz w:val="1"/>
                <w:szCs w:val="1"/>
                <w:color w:val="auto"/>
              </w:rPr>
            </w:pPr>
          </w:p>
        </w:tc>
      </w:tr>
      <w:tr>
        <w:trPr>
          <w:trHeight w:val="182"/>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96"/>
              </w:rPr>
              <w:t>Derivative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94"/>
              </w:rPr>
              <w:t>Component</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Component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 2022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100" w:type="dxa"/>
            <w:vAlign w:val="bottom"/>
          </w:tcPr>
          <w:p>
            <w:pPr>
              <w:spacing w:after="0"/>
              <w:rPr>
                <w:sz w:val="11"/>
                <w:szCs w:val="11"/>
                <w:color w:val="auto"/>
              </w:rPr>
            </w:pPr>
          </w:p>
        </w:tc>
        <w:tc>
          <w:tcPr>
            <w:tcW w:w="11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Location of Gain or</w:t>
            </w: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rPr>
              <w:t>OCI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3"/>
              </w:rPr>
              <w:t>Excluded</w:t>
            </w:r>
          </w:p>
        </w:tc>
        <w:tc>
          <w:tcPr>
            <w:tcW w:w="0" w:type="dxa"/>
            <w:vAlign w:val="bottom"/>
          </w:tcPr>
          <w:p>
            <w:pPr>
              <w:spacing w:after="0"/>
              <w:rPr>
                <w:sz w:val="1"/>
                <w:szCs w:val="1"/>
                <w:color w:val="auto"/>
              </w:rPr>
            </w:pPr>
          </w:p>
        </w:tc>
      </w:tr>
      <w:tr>
        <w:trPr>
          <w:trHeight w:val="182"/>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96"/>
              </w:rPr>
              <w:t>Derivative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94"/>
              </w:rPr>
              <w:t>Component</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Component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presents the effect of cash flow hedge accounting on AOCI for the nine months ended September 30, 2023, and September 30, 2022,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1"/>
              </w:rPr>
              <w:t>September 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Amount of Gain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6"/>
              </w:rPr>
              <w:t>Amount of Gain</w:t>
            </w:r>
          </w:p>
        </w:tc>
        <w:tc>
          <w:tcPr>
            <w:tcW w:w="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93"/>
              </w:rPr>
              <w:t>or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5"/>
              </w:rPr>
              <w:t>Location of Gain or</w:t>
            </w:r>
          </w:p>
        </w:tc>
        <w:tc>
          <w:tcPr>
            <w:tcW w:w="140" w:type="dxa"/>
            <w:vAlign w:val="bottom"/>
          </w:tcPr>
          <w:p>
            <w:pPr>
              <w:spacing w:after="0"/>
              <w:rPr>
                <w:sz w:val="11"/>
                <w:szCs w:val="11"/>
                <w:color w:val="auto"/>
              </w:rPr>
            </w:pPr>
          </w:p>
        </w:tc>
        <w:tc>
          <w:tcPr>
            <w:tcW w:w="88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rPr>
              <w:t>OCI 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3"/>
              </w:rPr>
              <w:t>Excluded</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Derivative</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94"/>
              </w:rPr>
              <w:t>Component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1"/>
              </w:rPr>
              <w:t>Component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10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Component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8"/>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Amount of Gain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6"/>
              </w:rPr>
              <w:t>Amount of Gain</w:t>
            </w:r>
          </w:p>
        </w:tc>
        <w:tc>
          <w:tcPr>
            <w:tcW w:w="2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93"/>
              </w:rPr>
              <w:t>or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3"/>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Location of Gain or</w:t>
            </w: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2"/>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rPr>
              <w:t>OCI 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2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from AOCI into</w:t>
            </w: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3"/>
              </w:rPr>
              <w:t>Excluded</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6"/>
              </w:rPr>
              <w:t>Derivative</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3"/>
                <w:szCs w:val="13"/>
                <w:b w:val="1"/>
                <w:bCs w:val="1"/>
                <w:color w:val="auto"/>
                <w:w w:val="91"/>
              </w:rPr>
              <w:t>Component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4"/>
              </w:rPr>
              <w:t>Component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Component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(1,924)</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80"/>
              <w:spacing w:after="0"/>
              <w:rPr>
                <w:sz w:val="20"/>
                <w:szCs w:val="20"/>
                <w:color w:val="auto"/>
              </w:rPr>
            </w:pPr>
            <w:r>
              <w:rPr>
                <w:rFonts w:ascii="Arial" w:cs="Arial" w:eastAsia="Arial" w:hAnsi="Arial"/>
                <w:sz w:val="16"/>
                <w:szCs w:val="16"/>
                <w:color w:val="auto"/>
                <w:w w:val="90"/>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Consolidated Statements of Income for the three and nine months ended September 30, 2023, and September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71323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right="240" w:hanging="161"/>
        <w:spacing w:after="0" w:line="278" w:lineRule="auto"/>
        <w:rPr>
          <w:sz w:val="20"/>
          <w:szCs w:val="20"/>
          <w:color w:val="auto"/>
        </w:rPr>
      </w:pPr>
      <w:r>
        <w:rPr>
          <w:rFonts w:ascii="Arial" w:cs="Arial" w:eastAsia="Arial" w:hAnsi="Arial"/>
          <w:sz w:val="14"/>
          <w:szCs w:val="14"/>
          <w:color w:val="auto"/>
        </w:rPr>
        <w:t>Total amounts of income and expense line items presented in the statement of financial performance in which the effects of fair value or cash flow hedges are recorded.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84" w:lineRule="auto"/>
        <w:rPr>
          <w:sz w:val="20"/>
          <w:szCs w:val="20"/>
          <w:color w:val="auto"/>
        </w:rPr>
      </w:pPr>
      <w:r>
        <w:rPr>
          <w:rFonts w:ascii="Arial" w:cs="Arial" w:eastAsia="Arial" w:hAnsi="Arial"/>
          <w:sz w:val="16"/>
          <w:szCs w:val="16"/>
          <w:b w:val="1"/>
          <w:bCs w:val="1"/>
          <w:color w:val="auto"/>
        </w:rPr>
        <w:t xml:space="preserve">Gain or (loss) on fair value hedging relationships in Subtopic 815-20 </w:t>
      </w:r>
      <w:r>
        <w:rPr>
          <w:rFonts w:ascii="Arial" w:cs="Arial" w:eastAsia="Arial" w:hAnsi="Arial"/>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29" w:lineRule="auto"/>
        <w:rPr>
          <w:sz w:val="20"/>
          <w:szCs w:val="20"/>
          <w:color w:val="auto"/>
        </w:rPr>
      </w:pPr>
      <w:r>
        <w:rPr>
          <w:rFonts w:ascii="Arial" w:cs="Arial" w:eastAsia="Arial" w:hAnsi="Arial"/>
          <w:sz w:val="16"/>
          <w:szCs w:val="16"/>
          <w:color w:val="auto"/>
        </w:rPr>
        <w:t>Hedged items</w:t>
      </w:r>
      <w:r>
        <w:rPr>
          <w:rFonts w:ascii="Arial" w:cs="Arial" w:eastAsia="Arial" w:hAnsi="Arial"/>
          <w:sz w:val="21"/>
          <w:szCs w:val="21"/>
          <w:color w:val="auto"/>
          <w:vertAlign w:val="superscript"/>
        </w:rPr>
        <w:t>(1)</w:t>
      </w:r>
    </w:p>
    <w:p>
      <w:pPr>
        <w:ind w:left="140"/>
        <w:spacing w:after="0"/>
        <w:rPr>
          <w:sz w:val="20"/>
          <w:szCs w:val="20"/>
          <w:color w:val="auto"/>
        </w:rPr>
      </w:pPr>
      <w:r>
        <w:rPr>
          <w:rFonts w:ascii="Arial" w:cs="Arial" w:eastAsia="Arial" w:hAnsi="Arial"/>
          <w:sz w:val="16"/>
          <w:szCs w:val="16"/>
          <w:color w:val="auto"/>
        </w:rPr>
        <w:t>Derivatives designated as hedging instruments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Amount of gain or (loss) reclassified from AOCI into income</w:t>
      </w:r>
    </w:p>
    <w:p>
      <w:pPr>
        <w:spacing w:after="0" w:line="32" w:lineRule="exact"/>
        <w:rPr>
          <w:sz w:val="20"/>
          <w:szCs w:val="20"/>
          <w:color w:val="auto"/>
        </w:rPr>
      </w:pPr>
    </w:p>
    <w:p>
      <w:pPr>
        <w:ind w:left="300" w:hanging="161"/>
        <w:spacing w:after="0"/>
        <w:rPr>
          <w:sz w:val="20"/>
          <w:szCs w:val="20"/>
          <w:color w:val="auto"/>
        </w:rPr>
      </w:pPr>
      <w:r>
        <w:rPr>
          <w:rFonts w:ascii="Arial" w:cs="Arial" w:eastAsia="Arial" w:hAnsi="Arial"/>
          <w:sz w:val="16"/>
          <w:szCs w:val="16"/>
          <w:color w:val="auto"/>
        </w:rPr>
        <w:t>Amount of gain or (loss) reclassified from AOCI into income as a result that a forecasted transaction is no longer probable of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Amount of gain or (loss) reclassified from AOCI into income - included component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866775</wp:posOffset>
            </wp:positionV>
            <wp:extent cx="713232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80" w:right="240" w:hanging="161"/>
        <w:spacing w:after="0" w:line="278" w:lineRule="auto"/>
        <w:rPr>
          <w:sz w:val="20"/>
          <w:szCs w:val="20"/>
          <w:color w:val="auto"/>
        </w:rPr>
      </w:pPr>
      <w:r>
        <w:rPr>
          <w:rFonts w:ascii="Arial" w:cs="Arial" w:eastAsia="Arial" w:hAnsi="Arial"/>
          <w:sz w:val="14"/>
          <w:szCs w:val="14"/>
          <w:color w:val="auto"/>
        </w:rPr>
        <w:t>Total amounts of income and expense line items presented in the statement of financial performance in which the effects of fair value or cash flow hedges are recorded.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78" w:lineRule="auto"/>
        <w:rPr>
          <w:sz w:val="20"/>
          <w:szCs w:val="20"/>
          <w:color w:val="auto"/>
        </w:rPr>
      </w:pPr>
      <w:r>
        <w:rPr>
          <w:rFonts w:ascii="Arial" w:cs="Arial" w:eastAsia="Arial" w:hAnsi="Arial"/>
          <w:sz w:val="16"/>
          <w:szCs w:val="16"/>
          <w:b w:val="1"/>
          <w:bCs w:val="1"/>
          <w:color w:val="auto"/>
        </w:rPr>
        <w:t xml:space="preserve">Gain or (loss) on fair value hedging relationships in Subtopic 815-20 </w:t>
      </w:r>
      <w:r>
        <w:rPr>
          <w:rFonts w:ascii="Arial" w:cs="Arial" w:eastAsia="Arial" w:hAnsi="Arial"/>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8" w:lineRule="auto"/>
        <w:rPr>
          <w:sz w:val="20"/>
          <w:szCs w:val="20"/>
          <w:color w:val="auto"/>
        </w:rPr>
      </w:pPr>
      <w:r>
        <w:rPr>
          <w:rFonts w:ascii="Arial" w:cs="Arial" w:eastAsia="Arial" w:hAnsi="Arial"/>
          <w:sz w:val="16"/>
          <w:szCs w:val="16"/>
          <w:color w:val="auto"/>
        </w:rPr>
        <w:t>Hedged items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Derivatives designated as hedging instruments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Amount of gain or (loss) reclassified from AOCI into income</w:t>
      </w:r>
    </w:p>
    <w:p>
      <w:pPr>
        <w:spacing w:after="0" w:line="32" w:lineRule="exact"/>
        <w:rPr>
          <w:sz w:val="20"/>
          <w:szCs w:val="20"/>
          <w:color w:val="auto"/>
        </w:rPr>
      </w:pPr>
    </w:p>
    <w:p>
      <w:pPr>
        <w:ind w:left="300" w:hanging="161"/>
        <w:spacing w:after="0"/>
        <w:rPr>
          <w:sz w:val="20"/>
          <w:szCs w:val="20"/>
          <w:color w:val="auto"/>
        </w:rPr>
      </w:pPr>
      <w:r>
        <w:rPr>
          <w:rFonts w:ascii="Arial" w:cs="Arial" w:eastAsia="Arial" w:hAnsi="Arial"/>
          <w:sz w:val="16"/>
          <w:szCs w:val="16"/>
          <w:color w:val="auto"/>
        </w:rPr>
        <w:t>Amount of gain or (loss) reclassified from AOCI into income as a result that a forecasted transaction is no longer probable of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Amount of gain or (loss) reclassified from AOCI into income - included component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19" w:right="200"/>
        <w:spacing w:after="0" w:line="245" w:lineRule="auto"/>
        <w:rPr>
          <w:sz w:val="20"/>
          <w:szCs w:val="20"/>
          <w:color w:val="auto"/>
        </w:rPr>
      </w:pPr>
      <w:r>
        <w:rPr>
          <w:rFonts w:ascii="Arial" w:cs="Arial" w:eastAsia="Arial" w:hAnsi="Arial"/>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343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September 30, 2023</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September 30, 2022</w:t>
            </w:r>
          </w:p>
        </w:tc>
        <w:tc>
          <w:tcPr>
            <w:tcW w:w="420" w:type="dxa"/>
            <w:vAlign w:val="bottom"/>
            <w:tcBorders>
              <w:top w:val="single" w:sz="8" w:color="auto"/>
            </w:tcBorders>
          </w:tcPr>
          <w:p>
            <w:pPr>
              <w:spacing w:after="0"/>
              <w:rPr>
                <w:sz w:val="18"/>
                <w:szCs w:val="18"/>
                <w:color w:val="auto"/>
              </w:rPr>
            </w:pPr>
          </w:p>
        </w:tc>
      </w:tr>
      <w:tr>
        <w:trPr>
          <w:trHeight w:val="218"/>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Interest Income</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Interest Expense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Interest Expense</w:t>
            </w:r>
          </w:p>
        </w:tc>
      </w:tr>
      <w:tr>
        <w:trPr>
          <w:trHeight w:val="355"/>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479"/>
              <w:spacing w:after="0"/>
              <w:rPr>
                <w:sz w:val="20"/>
                <w:szCs w:val="20"/>
                <w:color w:val="auto"/>
              </w:rPr>
            </w:pPr>
            <w:r>
              <w:rPr>
                <w:rFonts w:ascii="Arial" w:cs="Arial" w:eastAsia="Arial" w:hAnsi="Arial"/>
                <w:sz w:val="16"/>
                <w:szCs w:val="16"/>
                <w:color w:val="auto"/>
                <w:w w:val="98"/>
              </w:rPr>
              <w:t>(74)</w:t>
            </w:r>
          </w:p>
        </w:tc>
        <w:tc>
          <w:tcPr>
            <w:tcW w:w="1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center"/>
              <w:ind w:left="419"/>
              <w:spacing w:after="0"/>
              <w:rPr>
                <w:sz w:val="20"/>
                <w:szCs w:val="20"/>
                <w:color w:val="auto"/>
              </w:rPr>
            </w:pPr>
            <w:r>
              <w:rPr>
                <w:rFonts w:ascii="Arial" w:cs="Arial" w:eastAsia="Arial" w:hAnsi="Arial"/>
                <w:sz w:val="16"/>
                <w:szCs w:val="16"/>
                <w:color w:val="auto"/>
                <w:w w:val="99"/>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center"/>
              <w:ind w:left="419"/>
              <w:spacing w:after="0"/>
              <w:rPr>
                <w:sz w:val="20"/>
                <w:szCs w:val="20"/>
                <w:color w:val="auto"/>
              </w:rPr>
            </w:pPr>
            <w:r>
              <w:rPr>
                <w:rFonts w:ascii="Arial" w:cs="Arial" w:eastAsia="Arial" w:hAnsi="Arial"/>
                <w:sz w:val="16"/>
                <w:szCs w:val="16"/>
                <w:color w:val="auto"/>
                <w:w w:val="99"/>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648"/>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880" w:type="dxa"/>
            <w:vAlign w:val="bottom"/>
          </w:tcPr>
          <w:p>
            <w:pPr>
              <w:jc w:val="center"/>
              <w:ind w:left="479"/>
              <w:spacing w:after="0"/>
              <w:rPr>
                <w:sz w:val="20"/>
                <w:szCs w:val="20"/>
                <w:color w:val="auto"/>
              </w:rPr>
            </w:pPr>
            <w:r>
              <w:rPr>
                <w:rFonts w:ascii="Arial" w:cs="Arial" w:eastAsia="Arial" w:hAnsi="Arial"/>
                <w:sz w:val="16"/>
                <w:szCs w:val="16"/>
                <w:color w:val="auto"/>
                <w:w w:val="98"/>
              </w:rPr>
              <w:t>(74)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center"/>
              <w:ind w:left="419"/>
              <w:spacing w:after="0"/>
              <w:rPr>
                <w:sz w:val="20"/>
                <w:szCs w:val="20"/>
                <w:color w:val="auto"/>
              </w:rPr>
            </w:pPr>
            <w:r>
              <w:rPr>
                <w:rFonts w:ascii="Arial" w:cs="Arial" w:eastAsia="Arial" w:hAnsi="Arial"/>
                <w:sz w:val="16"/>
                <w:szCs w:val="16"/>
                <w:color w:val="auto"/>
                <w:w w:val="99"/>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Arial" w:cs="Arial" w:eastAsia="Arial" w:hAnsi="Arial"/>
                <w:sz w:val="16"/>
                <w:szCs w:val="16"/>
                <w:color w:val="auto"/>
                <w:w w:val="98"/>
              </w:rPr>
              <w:t>(74)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center"/>
              <w:ind w:left="419"/>
              <w:spacing w:after="0"/>
              <w:rPr>
                <w:sz w:val="20"/>
                <w:szCs w:val="20"/>
                <w:color w:val="auto"/>
              </w:rPr>
            </w:pPr>
            <w:r>
              <w:rPr>
                <w:rFonts w:ascii="Arial" w:cs="Arial" w:eastAsia="Arial" w:hAnsi="Arial"/>
                <w:sz w:val="16"/>
                <w:szCs w:val="16"/>
                <w:color w:val="auto"/>
                <w:w w:val="99"/>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bl>
    <w:p>
      <w:pPr>
        <w:spacing w:after="0" w:line="289" w:lineRule="exact"/>
        <w:rPr>
          <w:sz w:val="20"/>
          <w:szCs w:val="20"/>
          <w:color w:val="auto"/>
        </w:rPr>
      </w:pPr>
    </w:p>
    <w:p>
      <w:pPr>
        <w:jc w:val="center"/>
        <w:ind w:left="-19" w:right="200"/>
        <w:spacing w:after="0" w:line="245" w:lineRule="auto"/>
        <w:rPr>
          <w:sz w:val="20"/>
          <w:szCs w:val="20"/>
          <w:color w:val="auto"/>
        </w:rPr>
      </w:pPr>
      <w:r>
        <w:rPr>
          <w:rFonts w:ascii="Arial" w:cs="Arial" w:eastAsia="Arial" w:hAnsi="Arial"/>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343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September 30, 2023</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September 30, 2022</w:t>
            </w:r>
          </w:p>
        </w:tc>
        <w:tc>
          <w:tcPr>
            <w:tcW w:w="420" w:type="dxa"/>
            <w:vAlign w:val="bottom"/>
            <w:tcBorders>
              <w:top w:val="single" w:sz="8" w:color="auto"/>
            </w:tcBorders>
          </w:tcPr>
          <w:p>
            <w:pPr>
              <w:spacing w:after="0"/>
              <w:rPr>
                <w:sz w:val="18"/>
                <w:szCs w:val="18"/>
                <w:color w:val="auto"/>
              </w:rPr>
            </w:pPr>
          </w:p>
        </w:tc>
      </w:tr>
      <w:tr>
        <w:trPr>
          <w:trHeight w:val="218"/>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Interest Income</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Interest Expense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Interest Expense</w:t>
            </w:r>
          </w:p>
        </w:tc>
      </w:tr>
      <w:tr>
        <w:trPr>
          <w:trHeight w:val="355"/>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864"/>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648"/>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378"/>
        </w:trPr>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5900" w:space="80"/>
            <w:col w:w="5260"/>
          </w:cols>
          <w:pgMar w:left="320" w:top="125" w:right="339" w:bottom="1440" w:gutter="0" w:footer="0" w:header="0"/>
        </w:sectPr>
      </w:pPr>
    </w:p>
    <w:p>
      <w:pPr>
        <w:spacing w:after="0" w:line="30" w:lineRule="exact"/>
        <w:rPr>
          <w:sz w:val="20"/>
          <w:szCs w:val="20"/>
          <w:color w:val="auto"/>
        </w:rPr>
      </w:pPr>
    </w:p>
    <w:p>
      <w:pPr>
        <w:jc w:val="both"/>
        <w:ind w:firstLine="8"/>
        <w:spacing w:after="0" w:line="277" w:lineRule="auto"/>
        <w:tabs>
          <w:tab w:leader="none" w:pos="22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voluntary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fair value of derivatives in a net liability position, which includes accrued interest but excludes any adjustment for non-performance risk related to these agreements, was $1.4 million. As of September 30, 2023, the Company has posted the full amount of collateral related to these agreements.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fund consumer mortgage loans (interest rate lock commitments) to be sold into the secondary market are defined as derivatives under GAAP. The Company enters into best effort forward commitments for the future delivery of mortgage loans to third-party investors. The Company has elected the fair value option (“FVO”) on both the best-efforts forward commitments and the consumer mortgage loans held-for-sale in order to economically hedge the effect of changes in interest rates resulting from the commitment to fund the loans.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Rate lock commitments are not designated as hedging instruments, and therefore, changes in the fair value of these free-standing derivative instruments are reported as non-interest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extension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commercial letters of credit, and revolving lines of credit.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contractual amounts of the Company’s financial instruments outstanding at September 30, 2023, and December 31, 2022,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extend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291,265</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Commercial letters of credit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8,539</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extend credit and commercial letters of credit all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off-balance-sheet credit exposures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provision for credit losses on unfunded commitments of $35.0 thousand for the three months ended September 30, 2023, and a recapture of credit losses on unfunded commitments of $69.8 thousand for the nine months ended September 30, 2023. The ACL on off-balance-sheet credit totaled $205.0 thousand at September 30, 2023, and is included in accrued interest and other liabilities on the accompanying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3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for identical assets or liabilities in active markets that the entity has the ability to access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other inputs that are observable or can be corroborated by observable market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Significant unobservable inputs that reflect our own assumptions that market participants would use in pricing an asset or liability.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held-for-sale, at fair value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gridSpan w:val="10"/>
          </w:tcPr>
          <w:p>
            <w:pPr>
              <w:jc w:val="right"/>
              <w:ind w:right="188"/>
              <w:spacing w:after="0"/>
              <w:rPr>
                <w:sz w:val="20"/>
                <w:szCs w:val="20"/>
                <w:color w:val="auto"/>
              </w:rPr>
            </w:pPr>
            <w:r>
              <w:rPr>
                <w:rFonts w:ascii="Arial" w:cs="Arial" w:eastAsia="Arial" w:hAnsi="Arial"/>
                <w:sz w:val="14"/>
                <w:szCs w:val="14"/>
                <w:b w:val="1"/>
                <w:bCs w:val="1"/>
                <w:color w:val="auto"/>
              </w:rPr>
              <w:t>Fair Value Measurements at September 30, 2023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172,982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172,982</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429,479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429,479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41,836</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282,108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282,108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35,539</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173,344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173,344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81,172</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172,982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1,051,413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1,224,395</w:t>
            </w: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2,732</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4,178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4,178</w:t>
            </w:r>
          </w:p>
        </w:tc>
        <w:tc>
          <w:tcPr>
            <w:tcW w:w="0" w:type="dxa"/>
            <w:vAlign w:val="bottom"/>
          </w:tcPr>
          <w:p>
            <w:pPr>
              <w:spacing w:after="0"/>
              <w:rPr>
                <w:sz w:val="1"/>
                <w:szCs w:val="1"/>
                <w:color w:val="auto"/>
              </w:rPr>
            </w:pPr>
          </w:p>
        </w:tc>
      </w:tr>
      <w:tr>
        <w:trPr>
          <w:trHeight w:val="48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40" w:type="dxa"/>
            <w:vAlign w:val="bottom"/>
            <w:gridSpan w:val="9"/>
          </w:tcPr>
          <w:p>
            <w:pPr>
              <w:jc w:val="right"/>
              <w:ind w:right="208"/>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453,907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453,907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339,295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339,295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183,299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183,299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8,643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1,196,764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CCEEFF"/>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describes the valuation techniques used by the Company to measure certain assets recorded at fair value on a non-recurring basis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Individually evaluated loans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adoption of CECL, loans individually evaluated for credit expected losses included non-accrual loans and other loans that do not share similar risk characteristics to loans in the CECL loan pools and have been classified as Level 3. Individually evaluated loans with an allocation to the ACL are measured at fair value on a non-recurring basis. Any fair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value adjustments are recorded in the period incurred as provision for credit losses on the Consolidated Statements of Income. Prior to adoption of CECL and ASU 2022-02, which eliminated the TDR accounting model, loans were designated as impaired when, in the judgment of management and based on current information and events, it was probable that all amounts due, according to the contractual terms of the loan agreement, would not be collected.</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measurement of loss associated with impaired loans can be based on either the observable market price of the loan, the present value of the expected future cash flows, or the fair value of the collateral. Generally, the fair value of impaired loans will be determined by the present value of the expected future cash flows or if collateral-dependent based on recent real estate appraisals. For collateral-dependent, the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credit losses on the Consolidated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owned</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Assets that were measured at fair value on a non-recurring basis during the period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9"/>
          </w:tcPr>
          <w:p>
            <w:pPr>
              <w:jc w:val="right"/>
              <w:ind w:right="168"/>
              <w:spacing w:after="0"/>
              <w:rPr>
                <w:sz w:val="20"/>
                <w:szCs w:val="20"/>
                <w:color w:val="auto"/>
              </w:rPr>
            </w:pPr>
            <w:r>
              <w:rPr>
                <w:rFonts w:ascii="Arial" w:cs="Arial" w:eastAsia="Arial" w:hAnsi="Arial"/>
                <w:sz w:val="14"/>
                <w:szCs w:val="14"/>
                <w:b w:val="1"/>
                <w:bCs w:val="1"/>
                <w:color w:val="auto"/>
              </w:rPr>
              <w:t>Fair Value Measurements at September 30, 2023 Using:</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5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Identical Assets</w:t>
            </w: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3"/>
          </w:tcPr>
          <w:p>
            <w:pPr>
              <w:ind w:left="1120"/>
              <w:spacing w:after="0"/>
              <w:rPr>
                <w:sz w:val="20"/>
                <w:szCs w:val="20"/>
                <w:color w:val="auto"/>
              </w:rPr>
            </w:pPr>
            <w:r>
              <w:rPr>
                <w:rFonts w:ascii="Arial" w:cs="Arial" w:eastAsia="Arial" w:hAnsi="Arial"/>
                <w:sz w:val="14"/>
                <w:szCs w:val="14"/>
                <w:color w:val="auto"/>
              </w:rPr>
              <w:t>—   $</w:t>
            </w:r>
          </w:p>
        </w:tc>
        <w:tc>
          <w:tcPr>
            <w:tcW w:w="1520" w:type="dxa"/>
            <w:vAlign w:val="bottom"/>
            <w:gridSpan w:val="3"/>
          </w:tcPr>
          <w:p>
            <w:pPr>
              <w:ind w:left="1140"/>
              <w:spacing w:after="0"/>
              <w:rPr>
                <w:sz w:val="20"/>
                <w:szCs w:val="20"/>
                <w:color w:val="auto"/>
              </w:rPr>
            </w:pPr>
            <w:r>
              <w:rPr>
                <w:rFonts w:ascii="Arial" w:cs="Arial" w:eastAsia="Arial" w:hAnsi="Arial"/>
                <w:sz w:val="14"/>
                <w:szCs w:val="14"/>
                <w:color w:val="auto"/>
              </w:rPr>
              <w:t>—   $</w:t>
            </w:r>
          </w:p>
        </w:tc>
        <w:tc>
          <w:tcPr>
            <w:tcW w:w="13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82"/>
        </w:trPr>
        <w:tc>
          <w:tcPr>
            <w:tcW w:w="510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120" w:type="dxa"/>
            <w:vAlign w:val="bottom"/>
          </w:tcPr>
          <w:p>
            <w:pPr>
              <w:spacing w:after="0"/>
              <w:rPr>
                <w:sz w:val="15"/>
                <w:szCs w:val="15"/>
                <w:color w:val="auto"/>
              </w:rPr>
            </w:pPr>
          </w:p>
        </w:tc>
        <w:tc>
          <w:tcPr>
            <w:tcW w:w="156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152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10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120" w:type="dxa"/>
            <w:vAlign w:val="bottom"/>
          </w:tcPr>
          <w:p>
            <w:pPr>
              <w:spacing w:after="0"/>
              <w:rPr>
                <w:sz w:val="15"/>
                <w:szCs w:val="15"/>
                <w:color w:val="auto"/>
              </w:rPr>
            </w:pPr>
          </w:p>
        </w:tc>
        <w:tc>
          <w:tcPr>
            <w:tcW w:w="156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152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10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120" w:type="dxa"/>
            <w:vAlign w:val="bottom"/>
          </w:tcPr>
          <w:p>
            <w:pPr>
              <w:spacing w:after="0"/>
              <w:rPr>
                <w:sz w:val="15"/>
                <w:szCs w:val="15"/>
                <w:color w:val="auto"/>
              </w:rPr>
            </w:pPr>
          </w:p>
        </w:tc>
        <w:tc>
          <w:tcPr>
            <w:tcW w:w="156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152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40" w:type="dxa"/>
            <w:vAlign w:val="bottom"/>
            <w:gridSpan w:val="9"/>
          </w:tcPr>
          <w:p>
            <w:pPr>
              <w:jc w:val="right"/>
              <w:ind w:right="208"/>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   $</w:t>
            </w:r>
          </w:p>
        </w:tc>
        <w:tc>
          <w:tcPr>
            <w:tcW w:w="1400" w:type="dxa"/>
            <w:vAlign w:val="bottom"/>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120" w:type="dxa"/>
            <w:vAlign w:val="bottom"/>
          </w:tcPr>
          <w:p>
            <w:pPr>
              <w:spacing w:after="0"/>
              <w:rPr>
                <w:sz w:val="15"/>
                <w:szCs w:val="15"/>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4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120" w:type="dxa"/>
            <w:vAlign w:val="bottom"/>
          </w:tcPr>
          <w:p>
            <w:pPr>
              <w:spacing w:after="0"/>
              <w:rPr>
                <w:sz w:val="15"/>
                <w:szCs w:val="15"/>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120" w:type="dxa"/>
            <w:vAlign w:val="bottom"/>
          </w:tcPr>
          <w:p>
            <w:pPr>
              <w:spacing w:after="0"/>
              <w:rPr>
                <w:sz w:val="15"/>
                <w:szCs w:val="15"/>
                <w:color w:val="auto"/>
              </w:rPr>
            </w:pPr>
          </w:p>
        </w:tc>
        <w:tc>
          <w:tcPr>
            <w:tcW w:w="1300" w:type="dxa"/>
            <w:vAlign w:val="bottom"/>
          </w:tcPr>
          <w:p>
            <w:pPr>
              <w:ind w:left="11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quantitative information about Level 3 Fair Value Measurements for assets measured at fair value on a non-recurring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(in thousands except for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8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Valuation Techniques</w:t>
            </w:r>
          </w:p>
        </w:tc>
        <w:tc>
          <w:tcPr>
            <w:tcW w:w="24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Unobservable Inputs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Range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2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4"/>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Impaired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 analysis</w:t>
            </w: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Market rate for borrower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3.6% - 8.5%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5.3%</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240"/>
              <w:spacing w:after="0"/>
              <w:rPr>
                <w:sz w:val="20"/>
                <w:szCs w:val="20"/>
                <w:color w:val="auto"/>
              </w:rPr>
            </w:pPr>
            <w:r>
              <w:rPr>
                <w:rFonts w:ascii="Arial" w:cs="Arial" w:eastAsia="Arial" w:hAnsi="Arial"/>
                <w:sz w:val="14"/>
                <w:szCs w:val="14"/>
                <w:color w:val="auto"/>
              </w:rPr>
              <w:t>Impaired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15"/>
                <w:szCs w:val="15"/>
                <w:color w:val="auto"/>
              </w:rPr>
            </w:pP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Discounted cash flow analysis</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Market rate for borrower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4.5% - 6.0%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5.2%</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and estimated fair values of financial instruments not carried at fair value, at September 30, 2023, and December 31,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68"/>
              <w:spacing w:after="0"/>
              <w:rPr>
                <w:sz w:val="20"/>
                <w:szCs w:val="20"/>
                <w:color w:val="auto"/>
              </w:rPr>
            </w:pPr>
            <w:r>
              <w:rPr>
                <w:rFonts w:ascii="Arial" w:cs="Arial" w:eastAsia="Arial" w:hAnsi="Arial"/>
                <w:sz w:val="14"/>
                <w:szCs w:val="14"/>
                <w:b w:val="1"/>
                <w:bCs w:val="1"/>
                <w:color w:val="auto"/>
              </w:rPr>
              <w:t>Fair Value Measurements at September 30, 2023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9,063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9,063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Interest-earning deposits with banks</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32,801</w:t>
            </w: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2,044,505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1,882,989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1,882,989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15,597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15,597</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Non-interest-bearing</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853,385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853,385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853,385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2,132,233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2,132,233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2,132,233</w:t>
            </w: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299,000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298,133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298,133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gridSpan w:val="9"/>
          </w:tcPr>
          <w:p>
            <w:pPr>
              <w:jc w:val="right"/>
              <w:ind w:right="188"/>
              <w:spacing w:after="0"/>
              <w:rPr>
                <w:sz w:val="20"/>
                <w:szCs w:val="20"/>
                <w:color w:val="auto"/>
              </w:rPr>
            </w:pPr>
            <w:r>
              <w:rPr>
                <w:rFonts w:ascii="Arial" w:cs="Arial" w:eastAsia="Arial" w:hAnsi="Arial"/>
                <w:sz w:val="14"/>
                <w:szCs w:val="14"/>
                <w:b w:val="1"/>
                <w:bCs w:val="1"/>
                <w:color w:val="auto"/>
              </w:rPr>
              <w:t>Fair Value Measurements at December 31, 2022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9,124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9,124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 deposits with banks</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1,866,182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1,768,903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1,768,903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Non-interest-bearing</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960,692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960,692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1,959,708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0" w:type="dxa"/>
            <w:vAlign w:val="bottom"/>
          </w:tcPr>
          <w:p>
            <w:pPr>
              <w:spacing w:after="0"/>
              <w:rPr>
                <w:sz w:val="1"/>
                <w:szCs w:val="1"/>
                <w:color w:val="auto"/>
              </w:rPr>
            </w:pPr>
          </w:p>
        </w:tc>
      </w:tr>
      <w:tr>
        <w:trPr>
          <w:trHeight w:val="182"/>
        </w:trPr>
        <w:tc>
          <w:tcPr>
            <w:tcW w:w="350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342,904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342,904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by component, net of tax,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September 30,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6"/>
              </w:rPr>
              <w:t>Three months ended September 30, 2023</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(126,177)</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(20,323)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(146,159)</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6"/>
              </w:rPr>
              <w:t>Three months ended September 30, 2022</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(43,447)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7"/>
              </w:rPr>
              <w:t>Nine months ended September 30, 2023</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(139,495)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(8,589)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(146,159)</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7"/>
              </w:rPr>
              <w:t>Nine months ended September 30, 2022</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3"/>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5"/>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Cash Flow Hedges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Securities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(152,878)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(154,397)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(147,577)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amounts reclassified out of each component of accumulated other comprehensive income (loss) for the three and nine months ended September 30, 2023, and September 30, 2022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6"/>
                <w:szCs w:val="16"/>
                <w:b w:val="1"/>
                <w:bCs w:val="1"/>
                <w:color w:val="auto"/>
                <w:w w:val="95"/>
              </w:rPr>
              <w:t>Amount Reclassified From Accumulated Other Comprehensive Income</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auto"/>
              </w:rPr>
              <w:t>Details about Accumulated Other</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September 30, 2023</w:t>
            </w:r>
          </w:p>
        </w:tc>
        <w:tc>
          <w:tcPr>
            <w:tcW w:w="100" w:type="dxa"/>
            <w:vAlign w:val="bottom"/>
            <w:vMerge w:val="restart"/>
          </w:tcPr>
          <w:p>
            <w:pPr>
              <w:spacing w:after="0"/>
              <w:rPr>
                <w:sz w:val="12"/>
                <w:szCs w:val="12"/>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September 30, 2022</w:t>
            </w:r>
          </w:p>
        </w:tc>
        <w:tc>
          <w:tcPr>
            <w:tcW w:w="100" w:type="dxa"/>
            <w:vAlign w:val="bottom"/>
            <w:vMerge w:val="restart"/>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September 30, 2023</w:t>
            </w:r>
          </w:p>
        </w:tc>
        <w:tc>
          <w:tcPr>
            <w:tcW w:w="80" w:type="dxa"/>
            <w:vAlign w:val="bottom"/>
            <w:vMerge w:val="restart"/>
          </w:tcPr>
          <w:p>
            <w:pPr>
              <w:spacing w:after="0"/>
              <w:rPr>
                <w:sz w:val="12"/>
                <w:szCs w:val="12"/>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September 30, 2022</w:t>
            </w:r>
          </w:p>
        </w:tc>
        <w:tc>
          <w:tcPr>
            <w:tcW w:w="100" w:type="dxa"/>
            <w:vAlign w:val="bottom"/>
          </w:tcPr>
          <w:p>
            <w:pPr>
              <w:spacing w:after="0"/>
              <w:rPr>
                <w:sz w:val="12"/>
                <w:szCs w:val="12"/>
                <w:color w:val="auto"/>
              </w:rPr>
            </w:pPr>
          </w:p>
        </w:tc>
        <w:tc>
          <w:tcPr>
            <w:tcW w:w="180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4"/>
              </w:rPr>
              <w:t>Affected Line Item in the</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 Components</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8"/>
              </w:rPr>
              <w:t>Statements of Income</w:t>
            </w:r>
          </w:p>
        </w:tc>
        <w:tc>
          <w:tcPr>
            <w:tcW w:w="0" w:type="dxa"/>
            <w:vAlign w:val="bottom"/>
          </w:tcPr>
          <w:p>
            <w:pPr>
              <w:spacing w:after="0"/>
              <w:rPr>
                <w:sz w:val="1"/>
                <w:szCs w:val="1"/>
                <w:color w:val="auto"/>
              </w:rPr>
            </w:pPr>
          </w:p>
        </w:tc>
      </w:tr>
      <w:tr>
        <w:trPr>
          <w:trHeight w:val="21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169"/>
        </w:trPr>
        <w:tc>
          <w:tcPr>
            <w:tcW w:w="318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212"/>
        </w:trPr>
        <w:tc>
          <w:tcPr>
            <w:tcW w:w="3180" w:type="dxa"/>
            <w:vAlign w:val="bottom"/>
            <w:gridSpan w:val="2"/>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Net of tax</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Available-for-sale securities: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Realized gains (losses) on securities</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gains/(losses) on</w:t>
            </w:r>
          </w:p>
        </w:tc>
        <w:tc>
          <w:tcPr>
            <w:tcW w:w="0" w:type="dxa"/>
            <w:vAlign w:val="bottom"/>
          </w:tcPr>
          <w:p>
            <w:pPr>
              <w:spacing w:after="0"/>
              <w:rPr>
                <w:sz w:val="1"/>
                <w:szCs w:val="1"/>
                <w:color w:val="auto"/>
              </w:rPr>
            </w:pPr>
          </w:p>
        </w:tc>
      </w:tr>
      <w:tr>
        <w:trPr>
          <w:trHeight w:val="212"/>
        </w:trPr>
        <w:tc>
          <w:tcPr>
            <w:tcW w:w="31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0" w:type="dxa"/>
            <w:vAlign w:val="bottom"/>
          </w:tcPr>
          <w:p>
            <w:pPr>
              <w:spacing w:after="0"/>
              <w:rPr>
                <w:sz w:val="1"/>
                <w:szCs w:val="1"/>
                <w:color w:val="auto"/>
              </w:rPr>
            </w:pPr>
          </w:p>
        </w:tc>
      </w:tr>
      <w:tr>
        <w:trPr>
          <w:trHeight w:val="166"/>
        </w:trPr>
        <w:tc>
          <w:tcPr>
            <w:tcW w:w="3180" w:type="dxa"/>
            <w:vAlign w:val="bottom"/>
            <w:gridSpan w:val="2"/>
          </w:tcPr>
          <w:p>
            <w:pPr>
              <w:ind w:left="240"/>
              <w:spacing w:after="0" w:line="166" w:lineRule="exact"/>
              <w:rPr>
                <w:sz w:val="20"/>
                <w:szCs w:val="20"/>
                <w:color w:val="auto"/>
              </w:rPr>
            </w:pPr>
            <w:r>
              <w:rPr>
                <w:rFonts w:ascii="Arial" w:cs="Arial" w:eastAsia="Arial" w:hAnsi="Arial"/>
                <w:sz w:val="16"/>
                <w:szCs w:val="16"/>
                <w:color w:val="auto"/>
                <w:w w:val="93"/>
              </w:rPr>
              <w:t>Realized gains (losses) on basis adjustment</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0" w:type="dxa"/>
            <w:vAlign w:val="bottom"/>
            <w:vMerge w:val="restart"/>
          </w:tcPr>
          <w:p>
            <w:pPr>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09"/>
        </w:trPr>
        <w:tc>
          <w:tcPr>
            <w:tcW w:w="3180" w:type="dxa"/>
            <w:vAlign w:val="bottom"/>
            <w:gridSpan w:val="2"/>
          </w:tcPr>
          <w:p>
            <w:pPr>
              <w:ind w:left="400"/>
              <w:spacing w:after="0"/>
              <w:rPr>
                <w:sz w:val="20"/>
                <w:szCs w:val="20"/>
                <w:color w:val="auto"/>
              </w:rPr>
            </w:pPr>
            <w:r>
              <w:rPr>
                <w:rFonts w:ascii="Arial" w:cs="Arial" w:eastAsia="Arial" w:hAnsi="Arial"/>
                <w:sz w:val="16"/>
                <w:szCs w:val="16"/>
                <w:color w:val="auto"/>
              </w:rPr>
              <w:t>for fair value hedges</w:t>
            </w: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restart"/>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212"/>
        </w:trPr>
        <w:tc>
          <w:tcPr>
            <w:tcW w:w="3180" w:type="dxa"/>
            <w:vAlign w:val="bottom"/>
            <w:gridSpan w:val="2"/>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Net of tax</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180" w:type="dxa"/>
            <w:vAlign w:val="bottom"/>
            <w:gridSpan w:val="2"/>
          </w:tcPr>
          <w:p>
            <w:pPr>
              <w:ind w:left="240"/>
              <w:spacing w:after="0"/>
              <w:rPr>
                <w:sz w:val="20"/>
                <w:szCs w:val="20"/>
                <w:color w:val="auto"/>
              </w:rPr>
            </w:pPr>
            <w:r>
              <w:rPr>
                <w:rFonts w:ascii="Arial" w:cs="Arial" w:eastAsia="Arial" w:hAnsi="Arial"/>
                <w:sz w:val="16"/>
                <w:szCs w:val="16"/>
                <w:color w:val="auto"/>
              </w:rPr>
              <w:t>Total reclassifications, net of tax</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Operating Expense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from the Consolidated Statements of Income for the three and nine months ended September 30, 2023, and September 30, 2022,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50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FDIC assessment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Historic tax credit amortization</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related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Consultant fees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expense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expense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Legal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 franchise tax</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7,417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15,686</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merger-related expenses of $1.7 million for the nine months ended September 30, 2023 including $1.6 million which were incurred during the three months ended September 30, 2023. These expenses are included in the consultant fees and legal expense line items detailed in other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$610.1 thousand and $492.7 thousand for the three months ended September 30, 2023, and September 30, 2022, respectively. The total income tax benefit was $128.1 thousand and $103.5 thousand for the three months ended September 30, 2023, and September 30, 2022, respectively.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compensation cost that has been charged against income for the share-based awards granted was $1.8 million and $1.5 million for the nine months ended September 30, 2023, and September 30, 2022, respectively. The total income tax benefit was $377.6 thousand and $313.3 thousand for the nine months ended September 30, 2023, and September 30,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Stock Incentive Plan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 has a practice of using shares held as treasury stock to satisfy these share-based awards. Each unit represents a contingent right to receive one common share or an equivalent amount of cash, or a combination of the two, at the discretion of the Company. Currently, we have a sufficient number of treasury shares to satisfy outstanding equity awards.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24,705 and 13,160 shares were issued during the nine months ended September 30, 2023, and September 30, 2022,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time-based RSUs, the fair value was determined by using the closing stock price on the date prior to the grant date. These RSUs vest over three to five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from time to time, approves performance-based RSU awards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upon fulfilling the required service time. If the performance condition is achieved, the grant recipient will receive 100% of the units granted. The market capitalization target will be determined by the Board.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jc w:val="both"/>
        <w:ind w:firstLine="8"/>
        <w:spacing w:after="0" w:line="255"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Grant-Date Fair Value</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there was $3.5 million of total unrecognized compensation costs related to non-vested shares granted under the 2019 SIP. The cost is expected to be recognized over a weighted average period of 1.63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Stock Incentive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a new stock incentive plan (“2023 SIP”) was approved by the Board of directors and shareholders. Upon the plan’s shareholder approval date of March 30, 2023, no further share-based awards will be issued under the 2019 SIP. The plan provides for the issuance of share-based awards to directors and employees of the Company. The 2023 SIP authorized the issuance of 250,000 shares, subject to an annual increase in available shares. As of September 30, 2023, no share-based awards have been issued under the 2023 SIP.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Diluted earnings per share reflects the potential impact of contingently issuable shares.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03"/>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 thousands)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30,660</w:t>
            </w:r>
          </w:p>
        </w:tc>
      </w:tr>
      <w:tr>
        <w:trPr>
          <w:trHeight w:val="256"/>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7,428,710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7,424,862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effect of dilutive shares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33,707</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dilutive shares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7,499,278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7,458,569</w:t>
            </w:r>
          </w:p>
        </w:tc>
      </w:tr>
      <w:tr>
        <w:trPr>
          <w:trHeight w:val="236"/>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890"/>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14"/>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5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awards equivalent to 1,368 and zero shares of Common Stock were not considered in computing diluted earnings per common share for the three months ended September 30, 2023, and September 30, 2022, respectively, because they were antidilutive. Stock awards equivalent to zero and zero shares of Common Stock were not considered in computing diluted earnings per share for the nine months ended September 30, 2023, and September 30, 2022, respectively, because they were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Arial" w:cs="Arial" w:eastAsia="Arial" w:hAnsi="Arial"/>
          <w:sz w:val="16"/>
          <w:szCs w:val="16"/>
          <w:u w:val="single" w:color="auto"/>
          <w:color w:val="0000FF"/>
        </w:rPr>
        <w:t>Item 1. Financial Statements</w:t>
      </w:r>
      <w:r>
        <w:rPr>
          <w:rFonts w:ascii="Arial" w:cs="Arial" w:eastAsia="Arial" w:hAnsi="Arial"/>
          <w:sz w:val="16"/>
          <w:szCs w:val="16"/>
          <w:color w:val="auto"/>
        </w:rPr>
        <w:t xml:space="preserve"> of this Form 10-Q, as well as with the audited consolidated financial statements and notes for the year ended December 31, 2022, included in our Registration Statement on Form 10 filed with the SEC on February 28, 2023, as amended on April 4, 2023, April 20, 2023, and April 21, 2023, and as declared as effective by the SEC on April 21, 2023 (the “Registration Statement”).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Item 1A, under the caption “Risk Factors” in our Registration Statement, and in </w:t>
      </w:r>
      <w:r>
        <w:rPr>
          <w:rFonts w:ascii="Arial" w:cs="Arial" w:eastAsia="Arial" w:hAnsi="Arial"/>
          <w:sz w:val="17"/>
          <w:szCs w:val="17"/>
          <w:u w:val="single" w:color="auto"/>
          <w:color w:val="0000FF"/>
        </w:rPr>
        <w:t>Part II, Item 1A. Risk Factors</w:t>
      </w:r>
      <w:r>
        <w:rPr>
          <w:rFonts w:ascii="Arial" w:cs="Arial" w:eastAsia="Arial" w:hAnsi="Arial"/>
          <w:sz w:val="17"/>
          <w:szCs w:val="17"/>
          <w:color w:val="auto"/>
        </w:rPr>
        <w:t xml:space="preserve"> in this Form 10-Q.</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Burke &amp; Herbert Financial Services Corp. was organized as a Virginia corporation on September 14, 2022, to serve as the holding company for the Bank.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the Company elected to become a financial holding company. As a financial holding company, the Company is subject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regulation and supervision by the Federal Reserve. The Company has no material operations and owns 100% of the Bank. The Bank is a Virginia chartered commercial bank that commenced operations in 1852. The Bank is supervised and regulated by the FDIC and the Virginia BFI.</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we had total consolidated assets of $3.6 billion, gross loans of $2.1 billion, total deposits of $3.0 billion, and total shareholders’ equity of $270.8 million. As of September 30, 2023, we had 404 full-time employees. None of our employees are covered by a collective bargaining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Merger with Summit Financial Group, Inc.</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24, 2023, the Company and Summit Financial Group, Inc. (“Summit”), entered into an Agreement and Plan of Reorganization and Plan of Merger pursuant to which Summit will merge with and into Burke &amp; Herbert, with Burke &amp; Herbert as the continuing corporation (the “merger”). Immediately following the merger, Summit Community Bank, Inc., a West Virginia banking corporation (“SCB”) and a wholly-owned direct subsidiary of Summit, will merge with and into Burke &amp; Herbert Bank &amp; Trust Company, a Virginia banking corporation and a wholly-owned direct subsidiary of Burke</w:t>
      </w:r>
    </w:p>
    <w:p>
      <w:pPr>
        <w:spacing w:after="0" w:line="1" w:lineRule="exact"/>
        <w:rPr>
          <w:sz w:val="20"/>
          <w:szCs w:val="20"/>
          <w:color w:val="auto"/>
        </w:rPr>
      </w:pPr>
    </w:p>
    <w:p>
      <w:pPr>
        <w:jc w:val="both"/>
        <w:ind w:firstLine="8"/>
        <w:spacing w:after="0" w:line="269" w:lineRule="auto"/>
        <w:tabs>
          <w:tab w:leader="none" w:pos="185"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Herbert, with the Bank as the continuing bank (the “bank merger,” and together with the merger, the “mergers”). In the merger, Summit shareholders will receive 0.5043 shares of Burke &amp; Herbert common stock for each share of Summit common stock they own (the “exchange ratio”), subject to the payment of cash in lieu of fractional shares. In addition, each share of Summit series 2021 preferred stock issued and outstanding immediately prior to the effective time of the merger will be converted into the right to receive one share of a newly created series of Burke &amp; Herbert preferred stock having rights, preferences, privileges and voting powers and limitations and restrictions thereof that are not materially less or more favorable to the holders of the Summit series 2021 preferred stock. Completion of the mergers is subject to receipt of the requisite approvals of the Company’s and Summit’s stockholders, receipt of all required regulatory approvals, and fulfillment of other customary closing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in the Financial Services Industry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bank failures that occurred during March and May 2023 and the attendant stress on economic agents, including various financial stock markets, the Company took multiple proactive measures to mitigate any potential financial and operational impacts. Such measures included, but were not limited to:</w:t>
      </w:r>
    </w:p>
    <w:p>
      <w:pPr>
        <w:spacing w:after="0" w:line="130"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dissemination of internal communication to inform the Board and employees of current events and the Company’s condition and desired market response;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of available liquidity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real-time analysis of our deposit composition and deposit concentrations;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assessment of our investment securities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stress testing of liquidity and capital metrics based on observed financial conditions with particular emphasis on the causes of such risk events.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further discussion see Item 1A, under the caption “Risk Factors” in our Registration Statement. The measures taken followed meetings convened by a subcommittee provided for in our Asset/Liability policy more fully described in </w:t>
      </w:r>
      <w:r>
        <w:rPr>
          <w:rFonts w:ascii="Arial" w:cs="Arial" w:eastAsia="Arial" w:hAnsi="Arial"/>
          <w:sz w:val="18"/>
          <w:szCs w:val="18"/>
          <w:u w:val="single" w:color="auto"/>
          <w:color w:val="0000FF"/>
        </w:rPr>
        <w:t>Item 3.- 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Market Risk</w:t>
      </w:r>
      <w:r>
        <w:rPr>
          <w:rFonts w:ascii="Arial" w:cs="Arial" w:eastAsia="Arial" w:hAnsi="Arial"/>
          <w:sz w:val="18"/>
          <w:szCs w:val="18"/>
          <w:color w:val="000000"/>
        </w:rPr>
        <w: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well-capitalized regulatory ratios and liquidity metrics remained within internal policy guidelines. For additional information related to capital, see Notes to the Consolidated Financial Statements – </w:t>
      </w:r>
      <w:r>
        <w:rPr>
          <w:rFonts w:ascii="Arial" w:cs="Arial" w:eastAsia="Arial" w:hAnsi="Arial"/>
          <w:sz w:val="18"/>
          <w:szCs w:val="18"/>
          <w:u w:val="single" w:color="auto"/>
          <w:color w:val="0000FF"/>
        </w:rPr>
        <w:t>Note 8. Regulatory Capital Matters</w:t>
      </w:r>
      <w:r>
        <w:rPr>
          <w:rFonts w:ascii="Arial" w:cs="Arial" w:eastAsia="Arial" w:hAnsi="Arial"/>
          <w:sz w:val="18"/>
          <w:szCs w:val="18"/>
          <w:color w:val="auto"/>
        </w:rPr>
        <w:t>. The Company intends to continue conducting such stress tests on an interim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accounting and reporting policies are in accordance with GAAP and follow accounting and reporting guidelines prescribed by bank regulatory and general practices within the financial services industry. Our financial position and results of operations are affected by management’s application of accounting policies, including estimates, assumptions, and judgements that affect the amounts reported in the consolidated financial statements and accompanying notes.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 The more critical accounting estimates include accounting for credit losses and valuation methodologies. Additional disclosures regarding the effects of new pronouncements, ASU 2016-13 and ASU 2022-02, are included in this report in </w:t>
      </w:r>
      <w:r>
        <w:rPr>
          <w:rFonts w:ascii="Arial" w:cs="Arial" w:eastAsia="Arial" w:hAnsi="Arial"/>
          <w:sz w:val="17"/>
          <w:szCs w:val="17"/>
          <w:u w:val="single" w:color="auto"/>
          <w:color w:val="0000FF"/>
        </w:rPr>
        <w:t>Note 1, Nature of Business Activities and Significant Accounting Policies</w:t>
      </w:r>
      <w:r>
        <w:rPr>
          <w:rFonts w:ascii="Arial" w:cs="Arial" w:eastAsia="Arial" w:hAnsi="Arial"/>
          <w:sz w:val="17"/>
          <w:szCs w:val="17"/>
          <w:color w:val="auto"/>
        </w:rPr>
        <w:t xml:space="preserve">, to the consolidated financial statements under </w:t>
      </w:r>
      <w:r>
        <w:rPr>
          <w:rFonts w:ascii="Arial" w:cs="Arial" w:eastAsia="Arial" w:hAnsi="Arial"/>
          <w:sz w:val="17"/>
          <w:szCs w:val="17"/>
          <w:u w:val="single" w:color="auto"/>
          <w:color w:val="0000FF"/>
        </w:rPr>
        <w:t>Part 1, Item 1,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Management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believes that the current sources of liquidity are adequate to meet the Company’s requirements and plans for continued growth. See </w:t>
      </w:r>
      <w:r>
        <w:rPr>
          <w:rFonts w:ascii="Arial" w:cs="Arial" w:eastAsia="Arial" w:hAnsi="Arial"/>
          <w:sz w:val="18"/>
          <w:szCs w:val="18"/>
          <w:u w:val="single" w:color="auto"/>
          <w:color w:val="0000FF"/>
        </w:rPr>
        <w:t>Note 6 -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Advances and Other Borrowings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10 - Commitments and Contingencies</w:t>
      </w:r>
      <w:r>
        <w:rPr>
          <w:rFonts w:ascii="Arial" w:cs="Arial" w:eastAsia="Arial" w:hAnsi="Arial"/>
          <w:sz w:val="18"/>
          <w:szCs w:val="18"/>
          <w:color w:val="000000"/>
        </w:rPr>
        <w:t>, in Notes to Consolidated Financial Statements for additional information</w:t>
      </w:r>
      <w:r>
        <w:rPr>
          <w:rFonts w:ascii="Arial" w:cs="Arial" w:eastAsia="Arial" w:hAnsi="Arial"/>
          <w:sz w:val="18"/>
          <w:szCs w:val="18"/>
          <w:color w:val="0000FF"/>
        </w:rPr>
        <w:t xml:space="preserve"> </w:t>
      </w:r>
      <w:r>
        <w:rPr>
          <w:rFonts w:ascii="Arial" w:cs="Arial" w:eastAsia="Arial" w:hAnsi="Arial"/>
          <w:sz w:val="18"/>
          <w:szCs w:val="18"/>
          <w:color w:val="000000"/>
        </w:rPr>
        <w:t>regarding outstanding balances of sources of liquidity and contractual commitments and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2013, the Federal Reserve published the final rules that established a new comprehensive capital framework for banking organizations, commonly referred to as Basel III. These final rules substantially revised the risk-based capital requirements applicable to financial holding companies and depository institutions. The final rule became effective January 1, 2015, for smaller, non-complex banking organizations with full implementation by January 1, 2019.</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Basel III Capital Rules require the Holding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Holding Company or the Bank.</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capital adequacy guidelines and the regulatory framework for “prompt corrective action”, the Holding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September 30, 2023, and December 31, 2022, the Bank complied with all regulatory capital standards and qualifies as “well capitalized”. </w:t>
      </w:r>
      <w:r>
        <w:rPr>
          <w:rFonts w:ascii="Arial" w:cs="Arial" w:eastAsia="Arial" w:hAnsi="Arial"/>
          <w:sz w:val="18"/>
          <w:szCs w:val="18"/>
          <w:u w:val="single" w:color="auto"/>
          <w:color w:val="0000FF"/>
        </w:rPr>
        <w:t>Note 8 -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Regulatory Capital Matters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contains additional discussion and analysis regarding the Company and the</w:t>
      </w:r>
      <w:r>
        <w:rPr>
          <w:rFonts w:ascii="Arial" w:cs="Arial" w:eastAsia="Arial" w:hAnsi="Arial"/>
          <w:sz w:val="18"/>
          <w:szCs w:val="18"/>
          <w:color w:val="0000FF"/>
        </w:rPr>
        <w:t xml:space="preserve"> </w:t>
      </w:r>
      <w:r>
        <w:rPr>
          <w:rFonts w:ascii="Arial" w:cs="Arial" w:eastAsia="Arial" w:hAnsi="Arial"/>
          <w:sz w:val="18"/>
          <w:szCs w:val="18"/>
          <w:color w:val="000000"/>
        </w:rPr>
        <w:t>Bank’s regulatory capital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 than normal rates in order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maintain an appropriate equity-to-assets ratio. Inflation also affects other expenses that tend to rise during periods of general inflation.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Financial Performance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2022, included in our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managing capital and liquidity, including: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Continuing to maintain and, over time, grow our deposit base as a low-cost stable funding source,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Prudent liquidity and capital management to meet evolving regulatory capital, capital planning, stress testing, and liquidity standards, and</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Actions we take within the capital and other financial markets,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of credit risk and interest rate risk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and implement strategic business objectives within the changing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legal and regulatory-related 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appropriateness of critical accounting estimates and related contingencies,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operational risks related to new products and services, changes in processes and procedures, or the implementation of new technology,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execute our strategic objectives while satisfying the obligations associated with being a public company that will require significant resources and management attention and may divert management’s attention from our business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conditions, including the length and extent of the economic impacts of a pandemic, and the actions taken to mitigate and manage it,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climate change on our business and performance, including indirectly through impacts on our customers,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actions by the Federal Reserve, U.S. Treasury, and other government agencies, including those that impact money supply and market interest rates and inflation,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and direction, timing, and magnitude of movement in interest rates and the shape of the interest rate yield curve,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functioning and other performance of, and availability of liquidity in U.S. and global financial markets, including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tariffs and other trade policies of the U.S. and its global trading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of changes in federal, state, and local governmental policy, including on the regulatory landscape, capital markets, taxes, infrastructure spending, and social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market credit spreads on asset 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customers, counterparties, and issuers to perform in accordance with contractual terms, and the resulting impact on our asset quality,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 demand, utilization of credit commitments, and standby letters of credit,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on customers and changes in customer behavior due to changing business and economic conditions or regulatory or legislative initiatives,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the Summit merger will not close when expected or at all because required shareholder, regulatory or other approvals are not received or other conditions to the closing are not satisfied on a timely basis or at all,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eventually and successfully integrate into our operations Summit’s assets, liabilities or systems we acquired, as well as new management personnel or customers, and our ability to realize related revenue synergies and cost savings within expected time frames and any goodwill charges related thereto.</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Arial" w:cs="Arial" w:eastAsia="Arial" w:hAnsi="Arial"/>
          <w:sz w:val="18"/>
          <w:szCs w:val="18"/>
          <w:u w:val="single" w:color="auto"/>
          <w:color w:val="0000FF"/>
        </w:rPr>
        <w:t>Part II,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selected historical consolidated financial data as of the dates and for the periods shown. The selected balance sheet data as of September 30, 2023, and September 30, 2022, and the selected income statement data for the three months and nine months ended September 30, 2023, and September 30, 2022, have been derived from our consolidated financial statements included elsewhere in this Form 10-Q and should be read in conjunction with the other information contained in this Form 10-Q.</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As of the Three Months Ended September 30,</w:t>
            </w:r>
          </w:p>
        </w:tc>
        <w:tc>
          <w:tcPr>
            <w:tcW w:w="322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As of the Nine Months Ended September 30,</w:t>
            </w: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ratios, share and per share data)</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2"/>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3,585,188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3,501,145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3,585,188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3,501,145</w:t>
            </w: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41,116</w:t>
            </w: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Total investment securities, at fair value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1,453,104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1,453,104</w:t>
            </w: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2,044,505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1,730,874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2,044,505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1,730,874</w:t>
            </w: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Company-owned life insurance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94,213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92,703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94,213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92,703</w:t>
            </w: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Premises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56,558</w:t>
            </w: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Total deposits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2,985,618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2,977,660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2,985,618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2,977,660</w:t>
            </w: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Advances and other borrowings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243,000</w:t>
            </w: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Total shareholders’ equity</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270,819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255,471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270,819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255,471</w:t>
            </w:r>
          </w:p>
        </w:tc>
      </w:tr>
      <w:tr>
        <w:trPr>
          <w:trHeight w:val="273"/>
        </w:trPr>
        <w:tc>
          <w:tcPr>
            <w:tcW w:w="4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5"/>
          </w:tcPr>
          <w:p>
            <w:pPr>
              <w:ind w:left="100"/>
              <w:spacing w:after="0" w:line="162" w:lineRule="exact"/>
              <w:rPr>
                <w:sz w:val="20"/>
                <w:szCs w:val="20"/>
                <w:color w:val="auto"/>
              </w:rPr>
            </w:pPr>
            <w:r>
              <w:rPr>
                <w:rFonts w:ascii="Arial" w:cs="Arial" w:eastAsia="Arial" w:hAnsi="Arial"/>
                <w:sz w:val="16"/>
                <w:szCs w:val="16"/>
                <w:b w:val="1"/>
                <w:bCs w:val="1"/>
                <w:color w:val="auto"/>
              </w:rPr>
              <w:t>As of or for the Three Months Ended</w:t>
            </w:r>
          </w:p>
        </w:tc>
        <w:tc>
          <w:tcPr>
            <w:tcW w:w="220" w:type="dxa"/>
            <w:vAlign w:val="bottom"/>
          </w:tcPr>
          <w:p>
            <w:pPr>
              <w:spacing w:after="0"/>
              <w:rPr>
                <w:sz w:val="14"/>
                <w:szCs w:val="14"/>
                <w:color w:val="auto"/>
              </w:rPr>
            </w:pPr>
          </w:p>
        </w:tc>
        <w:tc>
          <w:tcPr>
            <w:tcW w:w="3000" w:type="dxa"/>
            <w:vAlign w:val="bottom"/>
            <w:gridSpan w:val="4"/>
          </w:tcPr>
          <w:p>
            <w:pPr>
              <w:jc w:val="right"/>
              <w:ind w:right="299"/>
              <w:spacing w:after="0" w:line="162" w:lineRule="exact"/>
              <w:rPr>
                <w:sz w:val="20"/>
                <w:szCs w:val="20"/>
                <w:color w:val="auto"/>
              </w:rPr>
            </w:pPr>
            <w:r>
              <w:rPr>
                <w:rFonts w:ascii="Arial" w:cs="Arial" w:eastAsia="Arial" w:hAnsi="Arial"/>
                <w:sz w:val="16"/>
                <w:szCs w:val="16"/>
                <w:b w:val="1"/>
                <w:bCs w:val="1"/>
                <w:color w:val="auto"/>
                <w:w w:val="96"/>
              </w:rPr>
              <w:t>As of or for the Nine Months Ended</w:t>
            </w:r>
          </w:p>
        </w:tc>
      </w:tr>
      <w:tr>
        <w:trPr>
          <w:trHeight w:val="213"/>
        </w:trPr>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209"/>
        </w:trPr>
        <w:tc>
          <w:tcPr>
            <w:tcW w:w="4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Selected Operating Data:</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37,272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29,265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108,716</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80,059</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37,261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4,277</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22,889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71,455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75,782</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(7,564)</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Total non-interest income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4,289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13,128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12,872</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non-interest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64,136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59,485</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19,483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36,733</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6,073</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17,614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30,660</w:t>
            </w:r>
          </w:p>
        </w:tc>
      </w:tr>
      <w:tr>
        <w:trPr>
          <w:trHeight w:val="273"/>
        </w:trPr>
        <w:tc>
          <w:tcPr>
            <w:tcW w:w="4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shares of Common Stock outstanding, basic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7,428,710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7,427,817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7,424,862</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Average shares of Common Stock outstanding, diluted</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7,499,278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7,467,693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7,506,509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7,458,569</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shares of Common Stock outstanding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7,428,710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7,428,710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7,425,760</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Basic net income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4.13</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1.59</w:t>
            </w: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Dividend payout ratio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38.69 %</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Book value (at period end)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36.46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36.46</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34.40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3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2"/>
              </w:rPr>
              <w:t>As of or for the Three Months Ended</w:t>
            </w:r>
          </w:p>
        </w:tc>
        <w:tc>
          <w:tcPr>
            <w:tcW w:w="32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As of or for the Nine Months Ended</w:t>
            </w:r>
          </w:p>
        </w:tc>
      </w:tr>
      <w:tr>
        <w:trPr>
          <w:trHeight w:val="213"/>
        </w:trPr>
        <w:tc>
          <w:tcPr>
            <w:tcW w:w="474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6"/>
                <w:szCs w:val="16"/>
                <w:b w:val="1"/>
                <w:bCs w:val="1"/>
                <w:color w:val="auto"/>
                <w:w w:val="91"/>
              </w:rPr>
              <w:t>September 30,</w:t>
            </w:r>
          </w:p>
        </w:tc>
        <w:tc>
          <w:tcPr>
            <w:tcW w:w="1020" w:type="dxa"/>
            <w:vAlign w:val="bottom"/>
            <w:tcBorders>
              <w:bottom w:val="single" w:sz="8" w:color="auto"/>
            </w:tcBorders>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Performance Ratios: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0.45 %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0.65 %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on average equity</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12.59</w:t>
            </w: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rate spread </w:t>
            </w:r>
            <w:r>
              <w:rPr>
                <w:rFonts w:ascii="Arial" w:cs="Arial" w:eastAsia="Arial" w:hAnsi="Arial"/>
                <w:sz w:val="21"/>
                <w:szCs w:val="21"/>
                <w:color w:val="auto"/>
                <w:vertAlign w:val="superscript"/>
              </w:rPr>
              <w:t>(2)</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3.02</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1"/>
                <w:szCs w:val="21"/>
                <w:color w:val="auto"/>
                <w:vertAlign w:val="superscript"/>
              </w:rPr>
              <w:t>(3)</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w:t>
            </w: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1"/>
                <w:szCs w:val="21"/>
                <w:color w:val="auto"/>
                <w:vertAlign w:val="superscript"/>
              </w:rPr>
              <w:t>(4)</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82.50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64.48</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75.83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67.10</w:t>
            </w:r>
          </w:p>
        </w:tc>
      </w:tr>
      <w:tr>
        <w:trPr>
          <w:trHeight w:val="270"/>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Capital Ratios: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Common equity tier 1 (CET 1) capital to risk-weighted assets </w:t>
            </w:r>
            <w:r>
              <w:rPr>
                <w:rFonts w:ascii="Arial" w:cs="Arial" w:eastAsia="Arial" w:hAnsi="Arial"/>
                <w:sz w:val="21"/>
                <w:szCs w:val="21"/>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18.23 %</w:t>
            </w: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Total risk-based capital to risk-weighted assets </w:t>
            </w:r>
            <w:r>
              <w:rPr>
                <w:rFonts w:ascii="Arial" w:cs="Arial" w:eastAsia="Arial" w:hAnsi="Arial"/>
                <w:sz w:val="21"/>
                <w:szCs w:val="21"/>
                <w:color w:val="auto"/>
                <w:vertAlign w:val="superscript"/>
              </w:rPr>
              <w:t>(5)</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17.48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19.18</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Tier 1 capital to risk-weighted assets </w:t>
            </w:r>
            <w:r>
              <w:rPr>
                <w:rFonts w:ascii="Arial" w:cs="Arial" w:eastAsia="Arial" w:hAnsi="Arial"/>
                <w:sz w:val="21"/>
                <w:szCs w:val="21"/>
                <w:color w:val="auto"/>
                <w:vertAlign w:val="superscript"/>
              </w:rPr>
              <w:t>(5)</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18.23</w:t>
            </w: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Tier 1 capital to average assets </w:t>
            </w:r>
            <w:r>
              <w:rPr>
                <w:rFonts w:ascii="Arial" w:cs="Arial" w:eastAsia="Arial" w:hAnsi="Arial"/>
                <w:sz w:val="21"/>
                <w:szCs w:val="21"/>
                <w:color w:val="auto"/>
                <w:vertAlign w:val="superscript"/>
              </w:rPr>
              <w:t>(5)</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11.32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11.03</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Average equity to average assets </w:t>
            </w:r>
            <w:r>
              <w:rPr>
                <w:rFonts w:ascii="Arial" w:cs="Arial" w:eastAsia="Arial" w:hAnsi="Arial"/>
                <w:sz w:val="21"/>
                <w:szCs w:val="21"/>
                <w:color w:val="auto"/>
                <w:vertAlign w:val="superscript"/>
              </w:rPr>
              <w:t>(5)</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9.10</w:t>
            </w:r>
          </w:p>
        </w:tc>
      </w:tr>
      <w:tr>
        <w:trPr>
          <w:trHeight w:val="270"/>
        </w:trPr>
        <w:tc>
          <w:tcPr>
            <w:tcW w:w="47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 Quality Ratios: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Allowance coverage ratio</w:t>
            </w:r>
          </w:p>
        </w:tc>
        <w:tc>
          <w:tcPr>
            <w:tcW w:w="1560" w:type="dxa"/>
            <w:vAlign w:val="bottom"/>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1.26 %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Allowance for credit losses as a percentage of non-performing loans</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914.25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914.25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374.29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charge-offs to average outstanding loans during the period</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0.18</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 loans as a percentage of total loans</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0.32</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Non-performing assets as a percentage of total assets</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0.08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0.16</w:t>
            </w:r>
          </w:p>
        </w:tc>
      </w:tr>
      <w:tr>
        <w:trPr>
          <w:trHeight w:val="273"/>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full-service branches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Number of full-time equivalent employees</w:t>
            </w:r>
          </w:p>
        </w:tc>
        <w:tc>
          <w:tcPr>
            <w:tcW w:w="156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w:t>
            </w:r>
          </w:p>
        </w:tc>
      </w:tr>
    </w:tbl>
    <w:p>
      <w:pPr>
        <w:spacing w:after="0" w:line="82" w:lineRule="exact"/>
        <w:rPr>
          <w:sz w:val="20"/>
          <w:szCs w:val="20"/>
          <w:color w:val="auto"/>
        </w:rPr>
      </w:pP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dividend payout ratio represents per share dividends declared divided by diluted earnings per share.</w:t>
      </w:r>
    </w:p>
    <w:p>
      <w:pPr>
        <w:spacing w:after="0" w:line="109" w:lineRule="exact"/>
        <w:rPr>
          <w:rFonts w:ascii="Arial" w:cs="Arial" w:eastAsia="Arial" w:hAnsi="Arial"/>
          <w:sz w:val="14"/>
          <w:szCs w:val="14"/>
          <w:color w:val="auto"/>
        </w:rPr>
      </w:pPr>
    </w:p>
    <w:p>
      <w:pPr>
        <w:ind w:left="340" w:hanging="8"/>
        <w:spacing w:after="0" w:line="293" w:lineRule="auto"/>
        <w:tabs>
          <w:tab w:leader="none" w:pos="54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22" w:lineRule="exact"/>
        <w:rPr>
          <w:rFonts w:ascii="Arial" w:cs="Arial" w:eastAsia="Arial" w:hAnsi="Arial"/>
          <w:sz w:val="14"/>
          <w:szCs w:val="14"/>
          <w:color w:val="auto"/>
        </w:rPr>
      </w:pP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efficiency ratio represents non-interest expense as a percentage of the sum of net interest income and non-interest income.</w:t>
      </w:r>
    </w:p>
    <w:p>
      <w:pPr>
        <w:spacing w:after="0" w:line="122" w:lineRule="exact"/>
        <w:rPr>
          <w:rFonts w:ascii="Arial" w:cs="Arial" w:eastAsia="Arial" w:hAnsi="Arial"/>
          <w:sz w:val="14"/>
          <w:szCs w:val="14"/>
          <w:color w:val="auto"/>
        </w:rPr>
      </w:pPr>
    </w:p>
    <w:p>
      <w:pPr>
        <w:ind w:left="540" w:hanging="208"/>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2023 capital ratios are for Burke &amp; Herbert Financial Services Corp. and the 2022 capital ratios are for Burke &amp; Herbert Bank &amp; Trust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for the nine months ended September 30, 2023, was $17.6 million compared to $30.7 million for the nine months ended September 30, 2022. The $13.0 million, or 42.6%, decrease in net income was primarily the result of a large recapture of provision expense in the first half of 2022 along with a decrease in net interest income and an increase in non-interest expense for the nine months ended September 30, 2023 compared to the nine months ended September 30,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decreased by $4.3 million to $71.5 million for the nine months ended September 30, 2023, compared to $75.8 million for the nine months ended September 30, 2022. The main driver for this decrease was higher deposit and borrowing interest expense, partially offset by higher interest income from growth in loans in addition to increases in interest rates on loans and securities.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the Company recorded credit provision expense of $1.0 million compared to a recapture of provision of $7.6 million for the nine months ended September 30, 2022. For the nine months ended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September 30, 2022, the Company was able to recapture a provision related to the initial uncertainty of the COVID-19 pandemic and the sale of a non-performing loan note. This non-performing loan had a specific reserve prior to the sale of the note. For the current period, the adoption of CECL (which requires the Company to estimate provision of credit losses using an expected life-time loss approach versus an incurred model), along with increased loan portfolio balances resulted in a higher credit expense for the nine months ended September 30, 2023, compared to the nine months ended, September 30, 2022.</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income increased by $0.3 million, or 2.0%, to $13.1 million for the nine months ended September 30, 2023, as compared to $12.9 million for the nine months ended September 30, 2022. The increase in non-interest income was primarily due to increases in other non-interest income, including dividend income from FHLB stock that increased by $236 thousand and income from loan swap fees of $414 thousand, which were partially offset by a decrease in other non-interest income items of $301 thousand and a decrease in service charges and fees of $171 thousand for the nine months ended September 30, 2023, as compared to the nine months ended September 30, 2022.</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expense increased by $4.7 million, or 7.8%, to $64.1 million for the nine months ended September 30, 2023, as compared to $59.5 million for the nine months ended September 30, 2022. The increase was primarily due to higher employee benefit costs and higher legal, consulting, and audit fees related to the filing of our initial Registration Statement, and merger-related filings. For the nine months ended September 30, 2023, the Company incurred $1.7 million of legal, consulting and audit fees related to the announced merger with Summit Financial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Net Interest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totaled $71.5 million for the nine months ended September 30, 2023, compared to $75.8 million for the nine months ended September 30, 2022. The decrease in net interest income was primarily driven by higher interest rates and slightly higher average balances on interest-bearing liabilities, mostly offset by higher interest rates on interest-earning assets. A significant increase in cost of funds for both interest-bearing deposits and borrowed funds was the primary driver of the substantial increase in interest expense. Interest income from loans and securities increased substantially as well for the nine months ended September 30, 2023, driven primarily by higher interest rates and an increase in the volume of loans. However, this increase in interest income did not completely offset the increase in interest expense, which has increased due to the increased pace of rate hikes from the Federal Reserve resulting in higher deposit rates to retain depositors and increased the cost of borrowings from the FHLB and the Federal Reserve.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net interest margin was 2.90% for the nine months ended September 30, 2023, compared to 3.10% for the nine months ended September 30, 2022. The decrease in tax-adjusted net interest margin was primarily driven by the increase in market rates that increased the cost of deposits and other borrowings in excess of the increase in interest income from interest-earning assets.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yield for the loan portfolio was 5.01% for the nine months ended September 30, 2023, compared to 3.99% for the nine months ended September 30, 2022. The increase was primarily the result of loan production with higher interest rates in a rising rate environment.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yield on the total investment securities portfolio was 3.42% for the nine months ended September 30, 2023, compared to 2.53% for the nine months ended September 30, 2022. The increase was primarily due to higher market interest rates that increased the effective rate earned on investment securities and reduced the fair value of these investment securities.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interest-bearing deposits increased to 1.70% during the nine months ended September 30, 2023, from 0.12% during the nine months ended September 30, 2022. The increase was a result of market and economic conditions, which led to an increase in our paid rates for selected parts of our deposit portfolio. Increases in deposit rates rose at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faster pace due to the increases in the Federal Funds Rate that occurred in the second half of 2022. Continuing rate increases by the Federal Reserve and in the market rates may negatively impact our cost of funds rate.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our borrowings for the nine months ended September 30, 2023, was 4.67%, compared to 1.27% for the corresponding period in 2022. The increase was due to the increase in short-term borrowing costs, driven by increases in the Federal Funds Rate during the year. Further increases in the Federal Funds Rate may continue to increase our overall borrowing costs.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major components of net interest income and the related yields and rates for the nine months ended September 30, 2023, and September 30, 2022, for comparison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3"/>
              </w:rPr>
              <w:t>For the Nine Months Ended September 30,</w:t>
            </w: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Rate Earned/Paid</w:t>
            </w:r>
          </w:p>
        </w:tc>
        <w:tc>
          <w:tcPr>
            <w:tcW w:w="11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Rate Earned/Paid</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8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Loans, gross </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1,985,898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74,485</w:t>
            </w:r>
          </w:p>
        </w:tc>
        <w:tc>
          <w:tcPr>
            <w:tcW w:w="1800" w:type="dxa"/>
            <w:vAlign w:val="bottom"/>
            <w:gridSpan w:val="4"/>
          </w:tcPr>
          <w:p>
            <w:pPr>
              <w:ind w:left="1060"/>
              <w:spacing w:after="0"/>
              <w:rPr>
                <w:sz w:val="20"/>
                <w:szCs w:val="20"/>
                <w:color w:val="auto"/>
              </w:rPr>
            </w:pPr>
            <w:r>
              <w:rPr>
                <w:rFonts w:ascii="Arial" w:cs="Arial" w:eastAsia="Arial" w:hAnsi="Arial"/>
                <w:sz w:val="16"/>
                <w:szCs w:val="16"/>
                <w:color w:val="auto"/>
              </w:rPr>
              <w:t>5.01 %  $</w:t>
            </w:r>
          </w:p>
        </w:tc>
        <w:tc>
          <w:tcPr>
            <w:tcW w:w="1160" w:type="dxa"/>
            <w:vAlign w:val="bottom"/>
          </w:tcPr>
          <w:p>
            <w:pPr>
              <w:jc w:val="right"/>
              <w:spacing w:after="0"/>
              <w:rPr>
                <w:sz w:val="20"/>
                <w:szCs w:val="20"/>
                <w:color w:val="auto"/>
              </w:rPr>
            </w:pPr>
            <w:r>
              <w:rPr>
                <w:rFonts w:ascii="Arial" w:cs="Arial" w:eastAsia="Arial" w:hAnsi="Arial"/>
                <w:sz w:val="16"/>
                <w:szCs w:val="16"/>
                <w:color w:val="auto"/>
              </w:rPr>
              <w:t>1,758,267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52,486</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w w:val="92"/>
              </w:rPr>
              <w:t>3.99 %</w:t>
            </w: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Interest-earning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55,870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54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48,232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56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1,040,695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28,130</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1,163,840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20,100</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267,135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381,216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securities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1,307,830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33,501</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1,545,056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29,246</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interest-earning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109,844</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3,351,555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81,980</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248,292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224,770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40"/>
              <w:spacing w:after="0"/>
              <w:rPr>
                <w:sz w:val="20"/>
                <w:szCs w:val="20"/>
                <w:color w:val="auto"/>
              </w:rPr>
            </w:pPr>
            <w:r>
              <w:rPr>
                <w:rFonts w:ascii="Arial" w:cs="Arial" w:eastAsia="Arial" w:hAnsi="Arial"/>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554,724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1,520</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w w:val="92"/>
              </w:rPr>
              <w:t>0.37 %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583,080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w w:val="92"/>
              </w:rPr>
              <w:t>0.02 %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983,046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Time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2,097,223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26,708</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1,996,557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7"/>
        </w:trPr>
        <w:tc>
          <w:tcPr>
            <w:tcW w:w="2520" w:type="dxa"/>
            <w:vAlign w:val="bottom"/>
          </w:tcPr>
          <w:p>
            <w:pPr>
              <w:ind w:left="680"/>
              <w:spacing w:after="0"/>
              <w:rPr>
                <w:sz w:val="20"/>
                <w:szCs w:val="20"/>
                <w:color w:val="auto"/>
              </w:rPr>
            </w:pPr>
            <w:r>
              <w:rPr>
                <w:rFonts w:ascii="Arial" w:cs="Arial" w:eastAsia="Arial" w:hAnsi="Arial"/>
                <w:sz w:val="16"/>
                <w:szCs w:val="16"/>
                <w:color w:val="auto"/>
              </w:rPr>
              <w:t>Total deposits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2,984,934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26,708</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2,962,416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1,723</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99"/>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FHLB advances and 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10,553</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37,261</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24,485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20,355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3,597,890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3,576,325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line="166" w:lineRule="exact"/>
              <w:rPr>
                <w:sz w:val="20"/>
                <w:szCs w:val="20"/>
                <w:color w:val="auto"/>
              </w:rPr>
            </w:pPr>
            <w:r>
              <w:rPr>
                <w:rFonts w:ascii="Arial" w:cs="Arial" w:eastAsia="Arial" w:hAnsi="Arial"/>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72,583</w:t>
            </w:r>
          </w:p>
        </w:tc>
        <w:tc>
          <w:tcPr>
            <w:tcW w:w="8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Arial" w:cs="Arial" w:eastAsia="Arial" w:hAnsi="Arial"/>
                <w:sz w:val="16"/>
                <w:szCs w:val="16"/>
                <w:color w:val="auto"/>
                <w:w w:val="92"/>
              </w:rPr>
              <w:t>2.30 %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77,703</w:t>
            </w:r>
          </w:p>
        </w:tc>
        <w:tc>
          <w:tcPr>
            <w:tcW w:w="10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Arial" w:cs="Arial" w:eastAsia="Arial" w:hAnsi="Arial"/>
                <w:sz w:val="16"/>
                <w:szCs w:val="16"/>
                <w:color w:val="auto"/>
                <w:w w:val="92"/>
              </w:rPr>
              <w:t>3.02 %</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income /net interest spread </w:t>
            </w:r>
            <w:r>
              <w:rPr>
                <w:rFonts w:ascii="Arial" w:cs="Arial" w:eastAsia="Arial" w:hAnsi="Arial"/>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2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w w:val="92"/>
              </w:rPr>
              <w:t>2.90 %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w w:val="92"/>
              </w:rPr>
              <w:t>3.10 %</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Taxable-equivalent net adjustment</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8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71,455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75,782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950,315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gridSpan w:val="3"/>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1,087,050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122" w:lineRule="exact"/>
        <w:rPr>
          <w:rFonts w:ascii="Arial" w:cs="Arial" w:eastAsia="Arial" w:hAnsi="Arial"/>
          <w:sz w:val="14"/>
          <w:szCs w:val="14"/>
          <w:color w:val="auto"/>
        </w:rPr>
      </w:pPr>
    </w:p>
    <w:p>
      <w:pPr>
        <w:ind w:left="660" w:right="20" w:hanging="328"/>
        <w:spacing w:after="0" w:line="293"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2" w:lineRule="exact"/>
        <w:rPr>
          <w:rFonts w:ascii="Arial" w:cs="Arial" w:eastAsia="Arial" w:hAnsi="Arial"/>
          <w:sz w:val="14"/>
          <w:szCs w:val="14"/>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Taxable-equivalent 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 FTE basis, yields on taxable, nontaxable, and partially taxable assets are comparable; however, the adjustment to a FTE basis has no impact on net income. FTE net interest income is calculated by adding the tax benefit on certain financial interest earning assets, whose interest is tax-exempt, to total interest income and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September 30, 2022</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Loans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74,485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52,486</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Securities taxable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20,101</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Securities tax-exempt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7,224</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Other interest income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Expense - Deposits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1,723</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 Borrowed funds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75,782</w:t>
            </w:r>
          </w:p>
        </w:tc>
      </w:tr>
      <w:tr>
        <w:trPr>
          <w:trHeight w:val="253"/>
        </w:trPr>
        <w:tc>
          <w:tcPr>
            <w:tcW w:w="7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 Tax Benefit on Tax-Exempt Interest Income -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r>
      <w:tr>
        <w:trPr>
          <w:trHeight w:val="213"/>
        </w:trPr>
        <w:tc>
          <w:tcPr>
            <w:tcW w:w="75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Total Tax Benefit on Tax-Exempt Interest Income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w:t>
            </w:r>
          </w:p>
        </w:tc>
      </w:tr>
      <w:tr>
        <w:trPr>
          <w:trHeight w:val="207"/>
        </w:trPr>
        <w:tc>
          <w:tcPr>
            <w:tcW w:w="7500" w:type="dxa"/>
            <w:vAlign w:val="bottom"/>
          </w:tcPr>
          <w:p>
            <w:pPr>
              <w:ind w:left="20"/>
              <w:spacing w:after="0"/>
              <w:rPr>
                <w:sz w:val="20"/>
                <w:szCs w:val="20"/>
                <w:color w:val="auto"/>
              </w:rPr>
            </w:pPr>
            <w:r>
              <w:rPr>
                <w:rFonts w:ascii="Arial" w:cs="Arial" w:eastAsia="Arial" w:hAnsi="Arial"/>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77,703</w:t>
            </w:r>
          </w:p>
        </w:tc>
      </w:tr>
    </w:tbl>
    <w:p>
      <w:pPr>
        <w:spacing w:after="0" w:line="184"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nine months ended September 30, 2023, and September 30, 2022,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6580"/>
        <w:spacing w:after="0"/>
        <w:rPr>
          <w:sz w:val="20"/>
          <w:szCs w:val="20"/>
          <w:color w:val="auto"/>
        </w:rPr>
      </w:pPr>
      <w:r>
        <w:rPr>
          <w:rFonts w:ascii="Arial" w:cs="Arial" w:eastAsia="Arial" w:hAnsi="Arial"/>
          <w:sz w:val="16"/>
          <w:szCs w:val="16"/>
          <w:b w:val="1"/>
          <w:bCs w:val="1"/>
          <w:color w:val="auto"/>
        </w:rPr>
        <w:t>Nine Months Ended September 30, 2023, compared to</w:t>
      </w:r>
    </w:p>
    <w:p>
      <w:pPr>
        <w:jc w:val="center"/>
        <w:ind w:left="6580"/>
        <w:spacing w:after="0"/>
        <w:rPr>
          <w:sz w:val="20"/>
          <w:szCs w:val="20"/>
          <w:color w:val="auto"/>
        </w:rPr>
      </w:pPr>
      <w:r>
        <w:rPr>
          <w:rFonts w:ascii="Arial" w:cs="Arial" w:eastAsia="Arial" w:hAnsi="Arial"/>
          <w:sz w:val="16"/>
          <w:szCs w:val="16"/>
          <w:b w:val="1"/>
          <w:bCs w:val="1"/>
          <w:color w:val="auto"/>
        </w:rPr>
        <w:t>September 30, 2022</w:t>
      </w:r>
    </w:p>
    <w:p>
      <w:pPr>
        <w:spacing w:after="0" w:line="14"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Dollar Increase (Decrease) Due to Change 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Average Volume</w:t>
            </w: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400"/>
              <w:spacing w:after="0" w:line="161" w:lineRule="exact"/>
              <w:rPr>
                <w:sz w:val="20"/>
                <w:szCs w:val="20"/>
                <w:color w:val="auto"/>
              </w:rPr>
            </w:pPr>
            <w:r>
              <w:rPr>
                <w:rFonts w:ascii="Arial" w:cs="Arial" w:eastAsia="Arial" w:hAnsi="Arial"/>
                <w:sz w:val="16"/>
                <w:szCs w:val="16"/>
                <w:b w:val="1"/>
                <w:bCs w:val="1"/>
                <w:color w:val="auto"/>
                <w:w w:val="88"/>
              </w:rPr>
              <w:t>Average</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9"/>
              <w:spacing w:after="0" w:line="161"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8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Loans,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11,356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18,057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29,413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Securities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37,255</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14,152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33,404</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44,100</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interest income was $108.7 million for the nine months ended September 30, 2023, compared to $80.1 million for the nine months ended September 30, 2022, an increase of 35.8%. The increase in interest income was primarily driven by an increase in both higher interest rates and average volume for the loan portfolio along with increasing rates for the securities portfolio. Interest income on loans and securities increased by $22.0 million and $5.0 million, respectively, for the nine months ended September 30, 2023, compared to the nine months ended September 30,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interest expense was $37.3 million for the nine months ended September 30, 2023, compared to $4.3 million for the nine months ended September 30, 2022. The increase in interest expense was primarily driven by increasing interest rates for both interest-bearing deposits and borrowed funds and by a lesser extent from balance increases in both deposits and borrowed funds. Interest expense on interest-bearing deposits and borrowed funds increased by $25.0 million and $8.0 million, respectively, for the nine months ended September 30, 2023, compared to the nine months ended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provision for credit losses was $1.0 million for the nine months ended September 30, 2023, compared to a recapture of $7.6 million for the nine months ended September 30, 2022. The increased provision expense was partly due to the Company estimating credit losses using an expected life-time loss model versus an incurred model but primarily the result of a large recapture in 2022. The provision recapture in 2022 was a result of reassessing COVID-19 qualitative factors and the sale of a non-performing loan note. Proceeds obtained for this non-performing loan note were greater than the net of the loan note’s carrying value and specific reserve. Additionally, loan balances have risen significantly for the nine months ended September 30, 2023, versus the nine months ended September 30, 2022. See </w:t>
      </w:r>
      <w:r>
        <w:rPr>
          <w:rFonts w:ascii="Arial" w:cs="Arial" w:eastAsia="Arial" w:hAnsi="Arial"/>
          <w:sz w:val="18"/>
          <w:szCs w:val="18"/>
          <w:u w:val="single" w:color="auto"/>
          <w:color w:val="0000FF"/>
        </w:rPr>
        <w:t>Note 4 - Allowance for Credit Losses</w:t>
      </w:r>
      <w:r>
        <w:rPr>
          <w:rFonts w:ascii="Arial" w:cs="Arial" w:eastAsia="Arial" w:hAnsi="Arial"/>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income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100" w:type="dxa"/>
            <w:vAlign w:val="bottom"/>
            <w:gridSpan w:val="6"/>
          </w:tcPr>
          <w:p>
            <w:pPr>
              <w:ind w:left="30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(3.3)</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(277.8)</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5.3</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r>
      <w:tr>
        <w:trPr>
          <w:trHeight w:val="207"/>
        </w:trPr>
        <w:tc>
          <w:tcPr>
            <w:tcW w:w="4980" w:type="dxa"/>
            <w:vAlign w:val="bottom"/>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13,128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Non-interest income increased 2.0% for the nine months ended September 30, 2023, compared to the nine months ended September 30, 2022. The increase was primarily driven by an increase in other non-interest income of $515 thousand when compared to the nine months ended September 30, 2022. This increase in other non-interest income was primarily due to an increase of $236 thousand in dividends from the FHLB and an increase of $414 thousand from customer swap fees compared to the nine months ended September 30, 2022. The increase in other non-interest income was partially offset by a decrease in other non-interest income items of $301 thousand for the nine months ended September 30, 2023. The increase in total non-interest income was also offset by a decrease of $175 thousand in net gains/(losses) on securities and a decrease of $171 thousand in service charges and fees when compared to the nine months ended September 30,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expense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100" w:type="dxa"/>
            <w:vAlign w:val="bottom"/>
            <w:gridSpan w:val="6"/>
          </w:tcPr>
          <w:p>
            <w:pPr>
              <w:ind w:left="30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29,283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1,159</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19.5</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19,042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21.4</w:t>
            </w:r>
          </w:p>
        </w:tc>
      </w:tr>
      <w:tr>
        <w:trPr>
          <w:trHeight w:val="206"/>
        </w:trPr>
        <w:tc>
          <w:tcPr>
            <w:tcW w:w="4980" w:type="dxa"/>
            <w:vAlign w:val="bottom"/>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64,136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Non-interest expense increased 7.8% for the nine months ended September 30, 2023, compared to September 30, 2022. The main drivers for this increase included pensions and other employee benefits which increased by $1.2 million primarily due to increases in the costs of employee benefit plans and an increase of $3.4 million in other non-interest expense. The Company incurred legal and consulting expenses associated with filing its initial Registration Statement and merger-related filings. For the nine months ended September 30, 2023, the Company incurred $1.7 million of legal, consulting and audit fees related to the announced merger with Summit Financial Group, Inc. that are included in other non-interest expense for the nine months ended September 30, 2023. See </w:t>
      </w:r>
      <w:r>
        <w:rPr>
          <w:rFonts w:ascii="Arial" w:cs="Arial" w:eastAsia="Arial" w:hAnsi="Arial"/>
          <w:sz w:val="18"/>
          <w:szCs w:val="18"/>
          <w:u w:val="single" w:color="auto"/>
          <w:color w:val="0000FF"/>
        </w:rPr>
        <w:t>Note 13 — Other Operating Expenses</w:t>
      </w:r>
      <w:r>
        <w:rPr>
          <w:rFonts w:ascii="Arial" w:cs="Arial" w:eastAsia="Arial" w:hAnsi="Arial"/>
          <w:sz w:val="18"/>
          <w:szCs w:val="18"/>
          <w:color w:val="auto"/>
        </w:rPr>
        <w:t xml:space="preserve"> in Notes to Consolidated Financial Statements for further information on “Other” non-interest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$1.9 million for the nine months ended September 30, 2023, a decrease of $4.2 million from the tax provision for the nine months ended September 30, 2022. The decrease was due to the decrease in net income for the nine months ended September 30, 2023, when compared to the nine months ended September 30, 2022. For the nine months ended September 30, 2023, and September 30, 2022, our effective tax rates were 9.6% and 16.5%, respectively.</w:t>
      </w:r>
    </w:p>
    <w:p>
      <w:pPr>
        <w:spacing w:after="0" w:line="129" w:lineRule="exact"/>
        <w:rPr>
          <w:sz w:val="20"/>
          <w:szCs w:val="20"/>
          <w:color w:val="auto"/>
        </w:rPr>
      </w:pPr>
    </w:p>
    <w:p>
      <w:pPr>
        <w:ind w:right="5000"/>
        <w:spacing w:after="0" w:line="440" w:lineRule="auto"/>
        <w:rPr>
          <w:sz w:val="20"/>
          <w:szCs w:val="20"/>
          <w:color w:val="auto"/>
        </w:rPr>
      </w:pPr>
      <w:r>
        <w:rPr>
          <w:rFonts w:ascii="Arial" w:cs="Arial" w:eastAsia="Arial" w:hAnsi="Arial"/>
          <w:sz w:val="18"/>
          <w:szCs w:val="18"/>
          <w:b w:val="1"/>
          <w:bCs w:val="1"/>
          <w:color w:val="auto"/>
        </w:rPr>
        <w:t xml:space="preserve">Results of Operations for the Three Months Ended September 30, 2023, and 2022 </w:t>
      </w:r>
      <w:r>
        <w:rPr>
          <w:rFonts w:ascii="Arial" w:cs="Arial" w:eastAsia="Arial" w:hAnsi="Arial"/>
          <w:sz w:val="18"/>
          <w:szCs w:val="18"/>
          <w:b w:val="1"/>
          <w:bCs w:val="1"/>
          <w:i w:val="1"/>
          <w:iCs w:val="1"/>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income for the three months ended September 30, 2023, was $4.1 million, compared to $11.1 million earned during the three months ended September 30, 2022. The $7.1 million, or 63.6%, decrease in net income is primarily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 recapture of provision expense in the prior year quarter, a decrease in net interest income, and an increase in non-interest expense compared to the prior year quarter ended September 30, 2022.</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income decreased by $3.8 million to $22.9 million for the three months ended September 30, 2023, compared to $26.7 million for the three months ended September 30, 2022. The main driver for this decrease was higher funding costs on both our deposits and borrowings, which was partially offset by higher interest income from growth in loans in addition to increases in interest rates on loans and securities.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September 30, 2023, the Company recorded credit loss expense of $0.2 million compared to a recapture of provision losses of $2.4 million. For the three months ended September 30, 2022, the Company was able to recapture provision that was booked to reflect the uncertainty of the COVID-19 pandemic. For the current period, the increased loan growth and the adoption of CECL, which requires the Company to estimate provision of credit losses using an expected life-time loss approach versus an incurred model, resulted in a higher credit expense for the three months ended September 30, 2023, compared to the three months ended September 30, 2022.</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slightly increased by $28 thousand, or 0.7%, to $4.3 million for the three months ended September 30, 2023, as compared to $4.3 million for the three months ended September 30, 2022. The increase in non-interest income was primarily due to small increases in most non-interest categories which were mostly offset by a decline in service charges and fees of $153 thousand in the three months ended September 30, 2023, compared to September 30, 2022.</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expense increased by $2.5 million, or 12.4%, to $22.4 million for the three months ended September 30, 2023, as compared to $20.0 million for the three months ended September 30, 2022. The increase was primarily due to increases in other non-interest expenses including higher legal, consulting, and audit fees arising from merger-related filings. The increase was also driven by increases in employee benefit expenses and occupancy related expenses when compared to the quarter ended September 30,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Net Interest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totaled $22.9 million for the three months ended September 30, 2023, compared to $26.7 million for the three months ended September 30, 2022. The decrease in net interest income was primarily driven by both higher interest rates and higher volume of interest-bearing liabilities. The impact of higher rates on interest-bearing liabilities was partially offset by the increase in volume and rates of interest-earning assets. However, the increased pace of rate hikes from the Federal Reserve has resulted in higher deposit rates to retain depositors and increased the cost of borrowings from the FHLB and the Federal Reserve.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net interest margin was 2.76% for the three months ended September 30, 2023, compared to 3.25% for the three months ended September 30, 2022. The decrease in tax-adjusted net interest margin was primarily driven by the increase in market rates that increased the cost of deposit and other borrowings in excess of the increase in the interest income from interest-earning assets.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yield for the loan portfolio was 5.15% for the three months ended September 30, 2023, compared to 4.19% for the three months ended September 30, 2022. The increase was primarily the result of increasing loan production with higher interest rates in a rising rate environment.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tax-adjusted yield on the total investment securities portfolio was 3.37% for the three months ended September 30, 2023, compared to 2.89% for the three months ended September 30, 2022. The increase was primarily due to higher market interest rates that increased the effective rate earned by reducing the fair value of the average outstanding balance of the investment securities.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rate paid on interest-bearing deposits increased to 2.09% during the three months ended September 30, 2023, from 0.19% during the three months ended September 30, 2022. The increase was a result of market and economic conditions, which led to an increase in our offering rate for selected parts of our deposit portfolio. Increases in deposit rates rose at a faster pace due to the increases in the Federal Funds Rate that continued in the second half of 2022. Additional increases by the Federal Reserve and in the market rates may negatively impact our cost of funds rate.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our borrowings for the three months ended September 30, 2023, was 4.69%, compared to 2.31% for the corresponding period in 2022. The increase was due to the increase in short-term borrowing costs, driven by increases in the Federal Funds Rate during the year. Further increases in the Federal Funds Rate may continue to increase our overall borrowing costs.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major components of net interest income and the related yields and rates for the three months ended September 30, 2023, and September 30, 2022, for comparison (dollars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Rate Earned/Paid</w:t>
            </w:r>
          </w:p>
        </w:tc>
        <w:tc>
          <w:tcPr>
            <w:tcW w:w="11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Rate Earned/Paid</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8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Loans, gross </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2,034,275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26,425</w:t>
            </w:r>
          </w:p>
        </w:tc>
        <w:tc>
          <w:tcPr>
            <w:tcW w:w="1800" w:type="dxa"/>
            <w:vAlign w:val="bottom"/>
            <w:gridSpan w:val="4"/>
          </w:tcPr>
          <w:p>
            <w:pPr>
              <w:ind w:left="1060"/>
              <w:spacing w:after="0"/>
              <w:rPr>
                <w:sz w:val="20"/>
                <w:szCs w:val="20"/>
                <w:color w:val="auto"/>
              </w:rPr>
            </w:pPr>
            <w:r>
              <w:rPr>
                <w:rFonts w:ascii="Arial" w:cs="Arial" w:eastAsia="Arial" w:hAnsi="Arial"/>
                <w:sz w:val="16"/>
                <w:szCs w:val="16"/>
                <w:color w:val="auto"/>
              </w:rPr>
              <w:t>5.15 %  $</w:t>
            </w:r>
          </w:p>
        </w:tc>
        <w:tc>
          <w:tcPr>
            <w:tcW w:w="1160" w:type="dxa"/>
            <w:vAlign w:val="bottom"/>
          </w:tcPr>
          <w:p>
            <w:pPr>
              <w:jc w:val="right"/>
              <w:spacing w:after="0"/>
              <w:rPr>
                <w:sz w:val="20"/>
                <w:szCs w:val="20"/>
                <w:color w:val="auto"/>
              </w:rPr>
            </w:pPr>
            <w:r>
              <w:rPr>
                <w:rFonts w:ascii="Arial" w:cs="Arial" w:eastAsia="Arial" w:hAnsi="Arial"/>
                <w:sz w:val="16"/>
                <w:szCs w:val="16"/>
                <w:color w:val="auto"/>
              </w:rPr>
              <w:t>1,763,540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18,618</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w w:val="92"/>
              </w:rPr>
              <w:t>4.19 %</w:t>
            </w: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Interest-earning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54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56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991,170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8,909</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1,153,564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8,171</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374,977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securities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1,253,506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10,651</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1,528,541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11,126</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interest-earning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37,638</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29,886</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244,488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252,262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860,983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40"/>
              <w:spacing w:after="0"/>
              <w:rPr>
                <w:sz w:val="20"/>
                <w:szCs w:val="20"/>
                <w:color w:val="auto"/>
              </w:rPr>
            </w:pPr>
            <w:r>
              <w:rPr>
                <w:rFonts w:ascii="Arial" w:cs="Arial" w:eastAsia="Arial" w:hAnsi="Arial"/>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757</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w w:val="92"/>
              </w:rPr>
              <w:t>0.56 %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557,232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w w:val="92"/>
              </w:rPr>
              <w:t>0.03 %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Time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654,952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6,150</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2,144,597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2,000,142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6"/>
        </w:trPr>
        <w:tc>
          <w:tcPr>
            <w:tcW w:w="2520" w:type="dxa"/>
            <w:vAlign w:val="bottom"/>
          </w:tcPr>
          <w:p>
            <w:pPr>
              <w:ind w:left="680"/>
              <w:spacing w:after="0"/>
              <w:rPr>
                <w:sz w:val="20"/>
                <w:szCs w:val="20"/>
                <w:color w:val="auto"/>
              </w:rPr>
            </w:pPr>
            <w:r>
              <w:rPr>
                <w:rFonts w:ascii="Arial" w:cs="Arial" w:eastAsia="Arial" w:hAnsi="Arial"/>
                <w:sz w:val="16"/>
                <w:szCs w:val="16"/>
                <w:color w:val="auto"/>
              </w:rPr>
              <w:t>Total deposits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3,005,580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11,277</w:t>
            </w:r>
          </w:p>
        </w:tc>
        <w:tc>
          <w:tcPr>
            <w:tcW w:w="1540" w:type="dxa"/>
            <w:vAlign w:val="bottom"/>
            <w:gridSpan w:val="2"/>
          </w:tcPr>
          <w:p>
            <w:pPr>
              <w:ind w:left="106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2,985,345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954</w:t>
            </w: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99"/>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FHLB advances and 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20,604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3,581,770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3,580,856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line="166" w:lineRule="exact"/>
              <w:rPr>
                <w:sz w:val="20"/>
                <w:szCs w:val="20"/>
                <w:color w:val="auto"/>
              </w:rPr>
            </w:pPr>
            <w:r>
              <w:rPr>
                <w:rFonts w:ascii="Arial" w:cs="Arial" w:eastAsia="Arial" w:hAnsi="Arial"/>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23,255</w:t>
            </w:r>
          </w:p>
        </w:tc>
        <w:tc>
          <w:tcPr>
            <w:tcW w:w="8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Arial" w:cs="Arial" w:eastAsia="Arial" w:hAnsi="Arial"/>
                <w:sz w:val="16"/>
                <w:szCs w:val="16"/>
                <w:color w:val="auto"/>
                <w:w w:val="92"/>
              </w:rPr>
              <w:t>2.10 %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27,301</w:t>
            </w:r>
          </w:p>
        </w:tc>
        <w:tc>
          <w:tcPr>
            <w:tcW w:w="10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Arial" w:cs="Arial" w:eastAsia="Arial" w:hAnsi="Arial"/>
                <w:sz w:val="16"/>
                <w:szCs w:val="16"/>
                <w:color w:val="auto"/>
                <w:w w:val="92"/>
              </w:rPr>
              <w:t>3.11 %</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income /net interest spread </w:t>
            </w:r>
            <w:r>
              <w:rPr>
                <w:rFonts w:ascii="Arial" w:cs="Arial" w:eastAsia="Arial" w:hAnsi="Arial"/>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2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w w:val="92"/>
              </w:rPr>
              <w:t>2.76 %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w w:val="92"/>
              </w:rPr>
              <w:t>3.25 %</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Taxable-equivalent net adjustment</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8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gridSpan w:val="3"/>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1,048,383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9" w:lineRule="exact"/>
        <w:rPr>
          <w:rFonts w:ascii="Arial" w:cs="Arial" w:eastAsia="Arial" w:hAnsi="Arial"/>
          <w:sz w:val="14"/>
          <w:szCs w:val="14"/>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122" w:lineRule="exact"/>
        <w:rPr>
          <w:rFonts w:ascii="Arial" w:cs="Arial" w:eastAsia="Arial" w:hAnsi="Arial"/>
          <w:sz w:val="14"/>
          <w:szCs w:val="14"/>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122" w:lineRule="exact"/>
        <w:rPr>
          <w:rFonts w:ascii="Arial" w:cs="Arial" w:eastAsia="Arial" w:hAnsi="Arial"/>
          <w:sz w:val="14"/>
          <w:szCs w:val="14"/>
          <w:color w:val="auto"/>
        </w:rPr>
      </w:pPr>
    </w:p>
    <w:p>
      <w:pPr>
        <w:ind w:left="660" w:right="20" w:hanging="328"/>
        <w:spacing w:after="0" w:line="293" w:lineRule="auto"/>
        <w:tabs>
          <w:tab w:leader="none" w:pos="6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 FTE basis, yields on taxable, nontaxable, and partially taxable assets are comparable; however, the adjustment to a FTE basis has no impact 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FTE net interest income is calculated by adding the tax benefit on certain financial interest 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9"/>
                <w:szCs w:val="19"/>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September 30, 2022</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Financial Measurements</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Loans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26,425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18,618</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Securities taxable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Securities tax-exempt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2,334</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Other interest income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Expense - Deposits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 Borrowed funds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 - Other</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26,680</w:t>
            </w:r>
          </w:p>
        </w:tc>
      </w:tr>
      <w:tr>
        <w:trPr>
          <w:trHeight w:val="253"/>
        </w:trPr>
        <w:tc>
          <w:tcPr>
            <w:tcW w:w="7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 Tax Benefit on Tax-Exempt Interest Income -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75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Total Tax Benefit on Tax-Exempt Interest Income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07"/>
        </w:trPr>
        <w:tc>
          <w:tcPr>
            <w:tcW w:w="7500" w:type="dxa"/>
            <w:vAlign w:val="bottom"/>
          </w:tcPr>
          <w:p>
            <w:pPr>
              <w:ind w:left="20"/>
              <w:spacing w:after="0"/>
              <w:rPr>
                <w:sz w:val="20"/>
                <w:szCs w:val="20"/>
                <w:color w:val="auto"/>
              </w:rPr>
            </w:pPr>
            <w:r>
              <w:rPr>
                <w:rFonts w:ascii="Arial" w:cs="Arial" w:eastAsia="Arial" w:hAnsi="Arial"/>
                <w:sz w:val="16"/>
                <w:szCs w:val="16"/>
                <w:color w:val="auto"/>
              </w:rPr>
              <w:t>Tax-Equivalent Net Interest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27,301</w:t>
            </w:r>
          </w:p>
        </w:tc>
      </w:tr>
    </w:tbl>
    <w:p>
      <w:pPr>
        <w:spacing w:after="0" w:line="184"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September 30, 2023, and September 30, 2022, are annualized using an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147" w:lineRule="exact"/>
        <w:rPr>
          <w:sz w:val="20"/>
          <w:szCs w:val="20"/>
          <w:color w:val="auto"/>
        </w:rPr>
      </w:pPr>
    </w:p>
    <w:p>
      <w:pPr>
        <w:jc w:val="center"/>
        <w:ind w:left="6580"/>
        <w:spacing w:after="0"/>
        <w:rPr>
          <w:sz w:val="20"/>
          <w:szCs w:val="20"/>
          <w:color w:val="auto"/>
        </w:rPr>
      </w:pPr>
      <w:r>
        <w:rPr>
          <w:rFonts w:ascii="Arial" w:cs="Arial" w:eastAsia="Arial" w:hAnsi="Arial"/>
          <w:sz w:val="16"/>
          <w:szCs w:val="16"/>
          <w:b w:val="1"/>
          <w:bCs w:val="1"/>
          <w:color w:val="auto"/>
        </w:rPr>
        <w:t>Three Months Ended September 30, 2023, compared to</w:t>
      </w:r>
    </w:p>
    <w:p>
      <w:pPr>
        <w:jc w:val="center"/>
        <w:ind w:left="6580"/>
        <w:spacing w:after="0"/>
        <w:rPr>
          <w:sz w:val="20"/>
          <w:szCs w:val="20"/>
          <w:color w:val="auto"/>
        </w:rPr>
      </w:pPr>
      <w:r>
        <w:rPr>
          <w:rFonts w:ascii="Arial" w:cs="Arial" w:eastAsia="Arial" w:hAnsi="Arial"/>
          <w:sz w:val="16"/>
          <w:szCs w:val="16"/>
          <w:b w:val="1"/>
          <w:bCs w:val="1"/>
          <w:color w:val="auto"/>
        </w:rPr>
        <w:t>September 30, 2022</w:t>
      </w:r>
    </w:p>
    <w:p>
      <w:pPr>
        <w:spacing w:after="0" w:line="14"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Dollar Increase (Decrease) Due to Change 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Average Volume</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Average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 Change</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Loans,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14,122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16,858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30,980</w:t>
            </w: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Securities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r>
      <w:tr>
        <w:trPr>
          <w:trHeight w:val="212"/>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30,759</w:t>
            </w: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16,265</w:t>
            </w: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21,833</w:t>
            </w:r>
          </w:p>
        </w:tc>
      </w:tr>
      <w:tr>
        <w:trPr>
          <w:trHeight w:val="206"/>
        </w:trPr>
        <w:tc>
          <w:tcPr>
            <w:tcW w:w="6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40,954</w:t>
            </w:r>
          </w:p>
        </w:tc>
      </w:tr>
      <w:tr>
        <w:trPr>
          <w:trHeight w:val="213"/>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46,812</w:t>
            </w:r>
          </w:p>
        </w:tc>
      </w:tr>
      <w:tr>
        <w:trPr>
          <w:trHeight w:val="210"/>
        </w:trPr>
        <w:tc>
          <w:tcPr>
            <w:tcW w:w="660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(16,053)</w:t>
            </w:r>
          </w:p>
        </w:tc>
      </w:tr>
    </w:tbl>
    <w:p>
      <w:pPr>
        <w:spacing w:after="0" w:line="184"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income was $37.3 million for the three months ended September 30, 2023, compared to $29.3 million for the three months ended September 30, 2022, an increase of 27.4%. The increase in interest income was primarily driven by an increase in both rates and volume for the loan portfolio. Interest income on loans increased by $7.8 million and interest income on securities decreased $(0.2) million, for the three months ended September 30, 2023, compared to the three months ended September 30,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interest expense was $14.4 million for the three months ended September 30, 2023, compared to $2.6 million for the three months ended September 30, 2022. The increase in interest expense was primarily driven by increasing rates for both deposits and borrowed funds. The average interest-bearing balances of deposits also increased, but primarily, the increase in interest rate expense was due to higher rates. Interest expense on interest-bearing deposits and borrowed funds increased by $10.3 million and $1.5 million, respectively, for the three months ended September 30, 2023 compared to the three months ended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provision for credit losses was $0.2 million for the three months ended September 30, 2023, compared to a recapture of $2.4 million for the three months ended September 30, 2022. The increased provision expense was primarily due to a recapture of provision that was booked to reflect the uncertainty of the COVID-19 pandemic for three months ended September 30, 2022 and the Company estimating credit losses using an expected life-time loss model versus an incurred model for the three months ended September 30, 2023. Additionally, loan balances have risen significantly for the three months ended September 30, 2023, versus the three months ended September 30, 2022. See </w:t>
      </w:r>
      <w:r>
        <w:rPr>
          <w:rFonts w:ascii="Arial" w:cs="Arial" w:eastAsia="Arial" w:hAnsi="Arial"/>
          <w:sz w:val="18"/>
          <w:szCs w:val="18"/>
          <w:u w:val="single" w:color="auto"/>
          <w:color w:val="0000FF"/>
        </w:rPr>
        <w:t>Note 4 - Allowance for Credit Losses</w:t>
      </w:r>
      <w:r>
        <w:rPr>
          <w:rFonts w:ascii="Arial" w:cs="Arial" w:eastAsia="Arial" w:hAnsi="Arial"/>
          <w:sz w:val="18"/>
          <w:szCs w:val="18"/>
          <w:color w:val="auto"/>
        </w:rPr>
        <w:t xml:space="preserve"> in Notes to Consolidated Financial Statements for further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income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Fiduciary and wealth management</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1,354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Service charges and fees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(8.8)</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(97.6)</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Income from company-owned life insurance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6.1</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11.9</w:t>
            </w:r>
          </w:p>
        </w:tc>
      </w:tr>
      <w:tr>
        <w:trPr>
          <w:trHeight w:val="207"/>
        </w:trPr>
        <w:tc>
          <w:tcPr>
            <w:tcW w:w="4980" w:type="dxa"/>
            <w:vAlign w:val="bottom"/>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4,289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increased 0.7% for the three months ended September 30, 2023, compared to the three months ended September 30, 2022. The increase was primarily driven by an increase in other non-interest income of $81 thousand, and a small increase in fiduciary and wealth management income as well as small increases in income from company-owned life insurance and a decline in losses on securities. This increase was partially offset by a decline in service charges and fees in the three months ended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expense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2880" w:type="dxa"/>
            <w:vAlign w:val="bottom"/>
            <w:gridSpan w:val="3"/>
          </w:tcPr>
          <w:p>
            <w:pPr>
              <w:ind w:left="620"/>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600" w:type="dxa"/>
            <w:vAlign w:val="bottom"/>
            <w:tcBorders>
              <w:top w:val="single" w:sz="8" w:color="auto"/>
            </w:tcBorders>
          </w:tcPr>
          <w:p>
            <w:pPr>
              <w:ind w:left="540"/>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w w:val="97"/>
              </w:rPr>
              <w:t>(2.2)%</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1600" w:type="dxa"/>
            <w:vAlign w:val="bottom"/>
          </w:tcPr>
          <w:p>
            <w:pPr>
              <w:ind w:left="1120"/>
              <w:spacing w:after="0"/>
              <w:rPr>
                <w:sz w:val="20"/>
                <w:szCs w:val="20"/>
                <w:color w:val="auto"/>
              </w:rPr>
            </w:pPr>
            <w:r>
              <w:rPr>
                <w:rFonts w:ascii="Arial" w:cs="Arial" w:eastAsia="Arial" w:hAnsi="Arial"/>
                <w:sz w:val="16"/>
                <w:szCs w:val="16"/>
                <w:color w:val="auto"/>
              </w:rPr>
              <w:t>11.2</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27.0</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600" w:type="dxa"/>
            <w:vAlign w:val="bottom"/>
          </w:tcPr>
          <w:p>
            <w:pPr>
              <w:ind w:left="1120"/>
              <w:spacing w:after="0"/>
              <w:rPr>
                <w:sz w:val="20"/>
                <w:szCs w:val="20"/>
                <w:color w:val="auto"/>
              </w:rPr>
            </w:pPr>
            <w:r>
              <w:rPr>
                <w:rFonts w:ascii="Arial" w:cs="Arial" w:eastAsia="Arial" w:hAnsi="Arial"/>
                <w:sz w:val="16"/>
                <w:szCs w:val="16"/>
                <w:color w:val="auto"/>
              </w:rPr>
              <w:t>(6.5)</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43.9</w:t>
            </w:r>
          </w:p>
        </w:tc>
      </w:tr>
      <w:tr>
        <w:trPr>
          <w:trHeight w:val="207"/>
        </w:trPr>
        <w:tc>
          <w:tcPr>
            <w:tcW w:w="4980" w:type="dxa"/>
            <w:vAlign w:val="bottom"/>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22,423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w:t>
            </w:r>
          </w:p>
        </w:tc>
        <w:tc>
          <w:tcPr>
            <w:tcW w:w="80" w:type="dxa"/>
            <w:vAlign w:val="bottom"/>
          </w:tcPr>
          <w:p>
            <w:pPr>
              <w:spacing w:after="0"/>
              <w:rPr>
                <w:sz w:val="17"/>
                <w:szCs w:val="17"/>
                <w:color w:val="auto"/>
              </w:rPr>
            </w:pPr>
          </w:p>
        </w:tc>
        <w:tc>
          <w:tcPr>
            <w:tcW w:w="160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w w:val="92"/>
              </w:rPr>
              <w:t>12.4 %</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Non-interest expense increased $2.5 million or 12.4% for the three months ended September 30, 2023, compared to September 30, 2022. The main drivers for this increase include an increase in employee benefit expenses, an increase in occupancy related expenses, and a large increase of $2.3 million in other non-interest expenses. For the three months ended September 30, 2023, the Company incurred $1.6 million of legal, consulting, and audit fees related to the announced merger with Summit Financial Group, Inc. that are included in other non-interest expense for the three months ended September 30, 2023. See </w:t>
      </w:r>
      <w:r>
        <w:rPr>
          <w:rFonts w:ascii="Arial" w:cs="Arial" w:eastAsia="Arial" w:hAnsi="Arial"/>
          <w:sz w:val="16"/>
          <w:szCs w:val="16"/>
          <w:u w:val="single" w:color="auto"/>
          <w:color w:val="0000FF"/>
        </w:rPr>
        <w:t>Note 13 — Other Operating Expenses</w:t>
      </w:r>
      <w:r>
        <w:rPr>
          <w:rFonts w:ascii="Arial" w:cs="Arial" w:eastAsia="Arial" w:hAnsi="Arial"/>
          <w:sz w:val="16"/>
          <w:szCs w:val="16"/>
          <w:color w:val="0000FF"/>
        </w:rPr>
        <w:t xml:space="preserve"> </w:t>
      </w:r>
      <w:r>
        <w:rPr>
          <w:rFonts w:ascii="Arial" w:cs="Arial" w:eastAsia="Arial" w:hAnsi="Arial"/>
          <w:sz w:val="16"/>
          <w:szCs w:val="16"/>
          <w:color w:val="000000"/>
        </w:rPr>
        <w:t>in Notes to Consolidated Financial Statements for further information on “Other” non-interest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$0.5 million for the three months ended September 30, 2023, a decrease of $1.8 million from the tax provision for the three months ended September 30, 2022. The decrease was due to the decrease in net income for the three months ended September 30, 2023, when compared to the prior year three months ended September 30, 2022. For the three months ended September 30, 2023, and September 30, 2022, our effective tax rates were 10.3% and 16.7%,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for the Period Ended September 30, 2023, and December 31, 2022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increased by $22.3 million to $3.59 billion as of September 30, 2023, compared to $3.56 billion as of December 31, 2022. Loans, net of ACL, increased by $178.3 million from $1.87 billion as of December 31, 2022, to $2.04 billion as of September 30, 2023. Deposits increased by $65.2 million and amounted to $2.99 billion at September 30, 2023, compared to $2.92 billion at December 31, 2022. Borrowed funds decreased by $44.1 million to $299.0 million as of September 30, 2023, compared to $343.1 million at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nine months ended September 30, 2023, the unrealized losses on our holdings increased from December 31, 2022, as the increase in long-term interest rate expectations, portfolio runoff, and rebalancing had a negative impact on the value of our AFS portfolio.</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2023, the Company adopted the new CECL standard in accordance with ASU 2016-13, which changed the accounting framework by replacing the other-than-temporary impairment (“OTTI”) assessment with the recognition of an ACL. The Company determined that the declines in market value were due to increases in interest rates and market movements and not due to credit factors. Therefore, the Company has concluded that the unrealized losses for the AFS securities do not require an ACL at September 30, 2023. Under the prior OTTI framework, the Company did not record any cumulative OTTI expense as of December 31, 2022.</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the amortized cost and fair market values for the total portfolio for each category of investment for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September 30, 2023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197,310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24,328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172,982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429,479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41,836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282,108</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35,539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81,172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7,935</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1,400,481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176,128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1,224,395</w:t>
            </w: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198,154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23,161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174,993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53,061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59,933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183,299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98,626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1,537,420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1,371,757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investment maturity table below summarizes contractual maturities for our investment securities at September 30, 2023. The actual timing of principal payments may differ from remaining contractual maturities because obligors may have the right to repay certain obligations with or without penalties. The overall weighted average duration of the Company’s investment portfolio is 4.0 years at September 30, 2023.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240"/>
              <w:spacing w:after="0"/>
              <w:rPr>
                <w:sz w:val="20"/>
                <w:szCs w:val="20"/>
                <w:color w:val="auto"/>
              </w:rPr>
            </w:pPr>
            <w:r>
              <w:rPr>
                <w:rFonts w:ascii="Arial" w:cs="Arial" w:eastAsia="Arial" w:hAnsi="Arial"/>
                <w:sz w:val="11"/>
                <w:szCs w:val="11"/>
                <w:b w:val="1"/>
                <w:bCs w:val="1"/>
                <w:color w:val="auto"/>
              </w:rPr>
              <w:t>September 30, 2023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ind w:left="340"/>
              <w:spacing w:after="0"/>
              <w:rPr>
                <w:sz w:val="20"/>
                <w:szCs w:val="20"/>
                <w:color w:val="auto"/>
              </w:rPr>
            </w:pPr>
            <w:r>
              <w:rPr>
                <w:rFonts w:ascii="Arial" w:cs="Arial" w:eastAsia="Arial" w:hAnsi="Arial"/>
                <w:sz w:val="11"/>
                <w:szCs w:val="11"/>
                <w:b w:val="1"/>
                <w:bCs w:val="1"/>
                <w:color w:val="auto"/>
              </w:rPr>
              <w:t>One Year or Less</w:t>
            </w:r>
          </w:p>
        </w:tc>
        <w:tc>
          <w:tcPr>
            <w:tcW w:w="180" w:type="dxa"/>
            <w:vAlign w:val="bottom"/>
          </w:tcPr>
          <w:p>
            <w:pPr>
              <w:spacing w:after="0"/>
              <w:rPr>
                <w:sz w:val="11"/>
                <w:szCs w:val="11"/>
                <w:color w:val="auto"/>
              </w:rPr>
            </w:pPr>
          </w:p>
        </w:tc>
        <w:tc>
          <w:tcPr>
            <w:tcW w:w="1640" w:type="dxa"/>
            <w:vAlign w:val="bottom"/>
            <w:gridSpan w:val="4"/>
          </w:tcPr>
          <w:p>
            <w:pPr>
              <w:ind w:left="280"/>
              <w:spacing w:after="0"/>
              <w:rPr>
                <w:sz w:val="20"/>
                <w:szCs w:val="20"/>
                <w:color w:val="auto"/>
              </w:rPr>
            </w:pPr>
            <w:r>
              <w:rPr>
                <w:rFonts w:ascii="Arial" w:cs="Arial" w:eastAsia="Arial" w:hAnsi="Arial"/>
                <w:sz w:val="11"/>
                <w:szCs w:val="11"/>
                <w:b w:val="1"/>
                <w:bCs w:val="1"/>
                <w:color w:val="auto"/>
              </w:rPr>
              <w:t>One to Five Years</w:t>
            </w:r>
          </w:p>
        </w:tc>
        <w:tc>
          <w:tcPr>
            <w:tcW w:w="200" w:type="dxa"/>
            <w:vAlign w:val="bottom"/>
          </w:tcPr>
          <w:p>
            <w:pPr>
              <w:spacing w:after="0"/>
              <w:rPr>
                <w:sz w:val="11"/>
                <w:szCs w:val="11"/>
                <w:color w:val="auto"/>
              </w:rPr>
            </w:pPr>
          </w:p>
        </w:tc>
        <w:tc>
          <w:tcPr>
            <w:tcW w:w="1620" w:type="dxa"/>
            <w:vAlign w:val="bottom"/>
            <w:gridSpan w:val="4"/>
          </w:tcPr>
          <w:p>
            <w:pPr>
              <w:ind w:left="260"/>
              <w:spacing w:after="0"/>
              <w:rPr>
                <w:sz w:val="20"/>
                <w:szCs w:val="20"/>
                <w:color w:val="auto"/>
              </w:rPr>
            </w:pPr>
            <w:r>
              <w:rPr>
                <w:rFonts w:ascii="Arial" w:cs="Arial" w:eastAsia="Arial" w:hAnsi="Arial"/>
                <w:sz w:val="11"/>
                <w:szCs w:val="11"/>
                <w:b w:val="1"/>
                <w:bCs w:val="1"/>
                <w:color w:val="auto"/>
              </w:rPr>
              <w:t>Five to Ten Years</w:t>
            </w:r>
          </w:p>
        </w:tc>
        <w:tc>
          <w:tcPr>
            <w:tcW w:w="200" w:type="dxa"/>
            <w:vAlign w:val="bottom"/>
          </w:tcPr>
          <w:p>
            <w:pPr>
              <w:spacing w:after="0"/>
              <w:rPr>
                <w:sz w:val="11"/>
                <w:szCs w:val="11"/>
                <w:color w:val="auto"/>
              </w:rPr>
            </w:pPr>
          </w:p>
        </w:tc>
        <w:tc>
          <w:tcPr>
            <w:tcW w:w="1620" w:type="dxa"/>
            <w:vAlign w:val="bottom"/>
            <w:gridSpan w:val="4"/>
          </w:tcPr>
          <w:p>
            <w:pPr>
              <w:ind w:left="300"/>
              <w:spacing w:after="0"/>
              <w:rPr>
                <w:sz w:val="20"/>
                <w:szCs w:val="20"/>
                <w:color w:val="auto"/>
              </w:rPr>
            </w:pPr>
            <w:r>
              <w:rPr>
                <w:rFonts w:ascii="Arial" w:cs="Arial" w:eastAsia="Arial" w:hAnsi="Arial"/>
                <w:sz w:val="11"/>
                <w:szCs w:val="11"/>
                <w:b w:val="1"/>
                <w:bCs w:val="1"/>
                <w:color w:val="auto"/>
              </w:rPr>
              <w:t>After Ten Years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2"/>
              </w:rPr>
              <w:t>Amortized</w:t>
            </w:r>
          </w:p>
        </w:tc>
        <w:tc>
          <w:tcPr>
            <w:tcW w:w="8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8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860" w:type="dxa"/>
            <w:vAlign w:val="bottom"/>
            <w:tcBorders>
              <w:top w:val="single" w:sz="8" w:color="auto"/>
            </w:tcBorders>
          </w:tcPr>
          <w:p>
            <w:pPr>
              <w:ind w:left="220"/>
              <w:spacing w:after="0" w:line="10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8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8"/>
                <w:szCs w:val="8"/>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w w:val="86"/>
              </w:rPr>
              <w:t>Amortized Cost</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Cost</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Average Yield</w:t>
            </w:r>
          </w:p>
        </w:tc>
        <w:tc>
          <w:tcPr>
            <w:tcW w:w="860" w:type="dxa"/>
            <w:vAlign w:val="bottom"/>
            <w:gridSpan w:val="3"/>
            <w:vMerge w:val="continue"/>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Average Yield</w:t>
            </w:r>
          </w:p>
        </w:tc>
        <w:tc>
          <w:tcPr>
            <w:tcW w:w="860" w:type="dxa"/>
            <w:vAlign w:val="bottom"/>
            <w:gridSpan w:val="3"/>
            <w:vMerge w:val="continue"/>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Average Yield</w:t>
            </w:r>
          </w:p>
        </w:tc>
        <w:tc>
          <w:tcPr>
            <w:tcW w:w="860" w:type="dxa"/>
            <w:vAlign w:val="bottom"/>
            <w:gridSpan w:val="3"/>
            <w:vMerge w:val="continue"/>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Average Yield</w:t>
            </w: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1"/>
              </w:rPr>
              <w:t>Yield</w:t>
            </w:r>
          </w:p>
        </w:tc>
        <w:tc>
          <w:tcPr>
            <w:tcW w:w="0" w:type="dxa"/>
            <w:vAlign w:val="bottom"/>
          </w:tcPr>
          <w:p>
            <w:pPr>
              <w:spacing w:after="0"/>
              <w:rPr>
                <w:sz w:val="1"/>
                <w:szCs w:val="1"/>
                <w:color w:val="auto"/>
              </w:rPr>
            </w:pPr>
          </w:p>
        </w:tc>
      </w:tr>
      <w:tr>
        <w:trPr>
          <w:trHeight w:val="22"/>
        </w:trPr>
        <w:tc>
          <w:tcPr>
            <w:tcW w:w="2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20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Securities Available-for-Sale</w:t>
            </w: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240"/>
              <w:spacing w:after="0"/>
              <w:rPr>
                <w:sz w:val="20"/>
                <w:szCs w:val="20"/>
                <w:color w:val="auto"/>
              </w:rPr>
            </w:pPr>
            <w:r>
              <w:rPr>
                <w:rFonts w:ascii="Arial" w:cs="Arial" w:eastAsia="Arial" w:hAnsi="Arial"/>
                <w:sz w:val="11"/>
                <w:szCs w:val="11"/>
                <w:color w:val="auto"/>
                <w:w w:val="94"/>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29,802</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1.61 %</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78,123</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89,385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Arial" w:cs="Arial" w:eastAsia="Arial" w:hAnsi="Arial"/>
                <w:sz w:val="13"/>
                <w:szCs w:val="13"/>
                <w:color w:val="auto"/>
                <w:w w:val="88"/>
              </w:rPr>
              <w:t>1.38 %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 %</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197,310</w:t>
            </w:r>
          </w:p>
        </w:tc>
        <w:tc>
          <w:tcPr>
            <w:tcW w:w="1000" w:type="dxa"/>
            <w:vAlign w:val="bottom"/>
            <w:gridSpan w:val="3"/>
          </w:tcPr>
          <w:p>
            <w:pPr>
              <w:ind w:left="620"/>
              <w:spacing w:after="0"/>
              <w:rPr>
                <w:sz w:val="20"/>
                <w:szCs w:val="20"/>
                <w:color w:val="auto"/>
              </w:rPr>
            </w:pPr>
            <w:r>
              <w:rPr>
                <w:rFonts w:ascii="Arial" w:cs="Arial" w:eastAsia="Arial" w:hAnsi="Arial"/>
                <w:sz w:val="13"/>
                <w:szCs w:val="13"/>
                <w:color w:val="auto"/>
                <w:w w:val="88"/>
              </w:rPr>
              <w:t>1.36 %</w:t>
            </w: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285,926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536,885</w:t>
            </w:r>
          </w:p>
        </w:tc>
        <w:tc>
          <w:tcPr>
            <w:tcW w:w="100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8"/>
        </w:trPr>
        <w:tc>
          <w:tcPr>
            <w:tcW w:w="2200" w:type="dxa"/>
            <w:vAlign w:val="bottom"/>
          </w:tcPr>
          <w:p>
            <w:pPr>
              <w:ind w:left="240"/>
              <w:spacing w:after="0"/>
              <w:rPr>
                <w:sz w:val="20"/>
                <w:szCs w:val="20"/>
                <w:color w:val="auto"/>
              </w:rPr>
            </w:pPr>
            <w:r>
              <w:rPr>
                <w:rFonts w:ascii="Arial" w:cs="Arial" w:eastAsia="Arial" w:hAnsi="Arial"/>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808</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46,644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47,494</w:t>
            </w:r>
          </w:p>
        </w:tc>
        <w:tc>
          <w:tcPr>
            <w:tcW w:w="1000" w:type="dxa"/>
            <w:vAlign w:val="bottom"/>
            <w:gridSpan w:val="3"/>
          </w:tcPr>
          <w:p>
            <w:pPr>
              <w:ind w:left="620"/>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2"/>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72,280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137,888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95,182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6.56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307,763</w:t>
            </w:r>
          </w:p>
        </w:tc>
        <w:tc>
          <w:tcPr>
            <w:tcW w:w="100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8"/>
        </w:trPr>
        <w:tc>
          <w:tcPr>
            <w:tcW w:w="2200" w:type="dxa"/>
            <w:vAlign w:val="bottom"/>
          </w:tcPr>
          <w:p>
            <w:pPr>
              <w:ind w:left="240"/>
              <w:spacing w:after="0"/>
              <w:rPr>
                <w:sz w:val="20"/>
                <w:szCs w:val="20"/>
                <w:color w:val="auto"/>
              </w:rPr>
            </w:pPr>
            <w:r>
              <w:rPr>
                <w:rFonts w:ascii="Arial" w:cs="Arial" w:eastAsia="Arial" w:hAnsi="Arial"/>
                <w:sz w:val="11"/>
                <w:szCs w:val="11"/>
                <w:color w:val="auto"/>
              </w:rPr>
              <w:t>Commercial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19,531</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5.40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17,178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Arial" w:cs="Arial" w:eastAsia="Arial" w:hAnsi="Arial"/>
                <w:sz w:val="13"/>
                <w:szCs w:val="13"/>
                <w:color w:val="auto"/>
              </w:rPr>
              <w:t>4.88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36,874</w:t>
            </w:r>
          </w:p>
        </w:tc>
        <w:tc>
          <w:tcPr>
            <w:tcW w:w="1000" w:type="dxa"/>
            <w:vAlign w:val="bottom"/>
            <w:gridSpan w:val="3"/>
          </w:tcPr>
          <w:p>
            <w:pPr>
              <w:ind w:left="620"/>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7.04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163,088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181,844</w:t>
            </w:r>
          </w:p>
        </w:tc>
        <w:tc>
          <w:tcPr>
            <w:tcW w:w="100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8"/>
        </w:trPr>
        <w:tc>
          <w:tcPr>
            <w:tcW w:w="2200" w:type="dxa"/>
            <w:vAlign w:val="bottom"/>
          </w:tcPr>
          <w:p>
            <w:pPr>
              <w:ind w:left="240"/>
              <w:spacing w:after="0"/>
              <w:rPr>
                <w:sz w:val="20"/>
                <w:szCs w:val="20"/>
                <w:color w:val="auto"/>
              </w:rPr>
            </w:pPr>
            <w:r>
              <w:rPr>
                <w:rFonts w:ascii="Arial" w:cs="Arial" w:eastAsia="Arial" w:hAnsi="Arial"/>
                <w:sz w:val="11"/>
                <w:szCs w:val="11"/>
                <w:color w:val="auto"/>
              </w:rPr>
              <w:t>Asset 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8,247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41,248</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33,316</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82,811</w:t>
            </w:r>
          </w:p>
        </w:tc>
        <w:tc>
          <w:tcPr>
            <w:tcW w:w="1000" w:type="dxa"/>
            <w:vAlign w:val="bottom"/>
            <w:gridSpan w:val="3"/>
          </w:tcPr>
          <w:p>
            <w:pPr>
              <w:ind w:left="62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w:t>
            </w:r>
          </w:p>
        </w:tc>
        <w:tc>
          <w:tcPr>
            <w:tcW w:w="100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124,519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456,675</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4.09 %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530,948</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w w:val="88"/>
              </w:rPr>
              <w:t>2.77 %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288,339</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1,400,481</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w w:val="88"/>
              </w:rPr>
              <w:t>3.11 %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Arial" w:cs="Arial" w:eastAsia="Arial" w:hAnsi="Arial"/>
          <w:sz w:val="18"/>
          <w:szCs w:val="18"/>
          <w:u w:val="single" w:color="auto"/>
          <w:color w:val="0000FF"/>
        </w:rPr>
        <w:t>Note 3 — Loans</w:t>
      </w:r>
      <w:r>
        <w:rPr>
          <w:rFonts w:ascii="Arial" w:cs="Arial" w:eastAsia="Arial" w:hAnsi="Arial"/>
          <w:sz w:val="18"/>
          <w:szCs w:val="18"/>
          <w:color w:val="auto"/>
        </w:rPr>
        <w:t xml:space="preserve"> in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composition of our loan portfolio as of the dates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2022</w:t>
            </w:r>
          </w:p>
        </w:tc>
      </w:tr>
      <w:tr>
        <w:trPr>
          <w:trHeight w:val="24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1,260,653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1,109,315</w:t>
            </w:r>
          </w:p>
        </w:tc>
      </w:tr>
      <w:tr>
        <w:trPr>
          <w:trHeight w:val="233"/>
        </w:trPr>
        <w:tc>
          <w:tcPr>
            <w:tcW w:w="736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123,496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127,114</w:t>
            </w:r>
          </w:p>
        </w:tc>
      </w:tr>
      <w:tr>
        <w:trPr>
          <w:trHeight w:val="25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94,450</w:t>
            </w:r>
          </w:p>
        </w:tc>
      </w:tr>
      <w:tr>
        <w:trPr>
          <w:trHeight w:val="233"/>
        </w:trPr>
        <w:tc>
          <w:tcPr>
            <w:tcW w:w="736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61,571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53,514</w:t>
            </w:r>
          </w:p>
        </w:tc>
      </w:tr>
      <w:tr>
        <w:trPr>
          <w:trHeight w:val="25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Single family residential (1-4 units)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525,558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499,362</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gross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2,070,616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1,887,221</w:t>
            </w:r>
          </w:p>
        </w:tc>
      </w:tr>
      <w:tr>
        <w:trPr>
          <w:trHeight w:val="22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(21,039)</w:t>
            </w:r>
          </w:p>
        </w:tc>
      </w:tr>
      <w:tr>
        <w:trPr>
          <w:trHeight w:val="23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2,044,505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1,866,182</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loan portfolio, excluding ACL, at September 30, 2023, increased by $183.4 million primarily due to growth in our commercial and residential real estate loan production. The Company’s organic growth has occurred in both legacy and newer markets, principally in commercial real estate.</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maturity distribution for total loans outstanding as of September 30, 2023. The maturity distribution is grouped by remaining scheduled principal payments that are due in the following periods. The principal balance of loans are indicated by both fixed and floating rate categories in the table below (in thousands).</w:t>
      </w:r>
    </w:p>
    <w:p>
      <w:pPr>
        <w:spacing w:after="0" w:line="16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One Year to Five Years</w:t>
            </w:r>
          </w:p>
        </w:tc>
        <w:tc>
          <w:tcPr>
            <w:tcW w:w="1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Five Years to 15 Years</w:t>
            </w: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After 15 Years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0"/>
              <w:spacing w:after="0" w:line="121" w:lineRule="exact"/>
              <w:rPr>
                <w:sz w:val="20"/>
                <w:szCs w:val="20"/>
                <w:color w:val="auto"/>
              </w:rPr>
            </w:pPr>
            <w:r>
              <w:rPr>
                <w:rFonts w:ascii="Arial" w:cs="Arial" w:eastAsia="Arial" w:hAnsi="Arial"/>
                <w:sz w:val="13"/>
                <w:szCs w:val="13"/>
                <w:b w:val="1"/>
                <w:bCs w:val="1"/>
                <w:color w:val="auto"/>
                <w:w w:val="87"/>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1" w:lineRule="exact"/>
              <w:rPr>
                <w:sz w:val="20"/>
                <w:szCs w:val="20"/>
                <w:color w:val="auto"/>
              </w:rPr>
            </w:pPr>
            <w:r>
              <w:rPr>
                <w:rFonts w:ascii="Arial" w:cs="Arial" w:eastAsia="Arial" w:hAnsi="Arial"/>
                <w:sz w:val="13"/>
                <w:szCs w:val="13"/>
                <w:b w:val="1"/>
                <w:bCs w:val="1"/>
                <w:color w:val="auto"/>
                <w:w w:val="87"/>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1" w:lineRule="exact"/>
              <w:rPr>
                <w:sz w:val="20"/>
                <w:szCs w:val="20"/>
                <w:color w:val="auto"/>
              </w:rPr>
            </w:pPr>
            <w:r>
              <w:rPr>
                <w:rFonts w:ascii="Arial" w:cs="Arial" w:eastAsia="Arial" w:hAnsi="Arial"/>
                <w:sz w:val="13"/>
                <w:szCs w:val="13"/>
                <w:b w:val="1"/>
                <w:bCs w:val="1"/>
                <w:color w:val="auto"/>
                <w:w w:val="90"/>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1" w:lineRule="exact"/>
              <w:rPr>
                <w:sz w:val="20"/>
                <w:szCs w:val="20"/>
                <w:color w:val="auto"/>
              </w:rPr>
            </w:pPr>
            <w:r>
              <w:rPr>
                <w:rFonts w:ascii="Arial" w:cs="Arial" w:eastAsia="Arial" w:hAnsi="Arial"/>
                <w:sz w:val="13"/>
                <w:szCs w:val="13"/>
                <w:b w:val="1"/>
                <w:bCs w:val="1"/>
                <w:color w:val="auto"/>
                <w:w w:val="90"/>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Fixed Rates</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Rates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92,343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34,169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538,416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110,177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388,283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95,660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1,260,653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2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Owner-occupied commercial real</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5,337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123,496</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estate</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40"/>
              <w:spacing w:after="0" w:line="135" w:lineRule="exact"/>
              <w:rPr>
                <w:sz w:val="20"/>
                <w:szCs w:val="20"/>
                <w:color w:val="auto"/>
              </w:rPr>
            </w:pPr>
            <w:r>
              <w:rPr>
                <w:rFonts w:ascii="Arial" w:cs="Arial" w:eastAsia="Arial" w:hAnsi="Arial"/>
                <w:sz w:val="14"/>
                <w:szCs w:val="14"/>
                <w:color w:val="auto"/>
              </w:rPr>
              <w:t>Acquisition, construction &amp;</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22,613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6,988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57,800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96,535</w:t>
            </w:r>
          </w:p>
        </w:tc>
        <w:tc>
          <w:tcPr>
            <w:tcW w:w="0" w:type="dxa"/>
            <w:vAlign w:val="bottom"/>
          </w:tcPr>
          <w:p>
            <w:pPr>
              <w:spacing w:after="0"/>
              <w:rPr>
                <w:sz w:val="1"/>
                <w:szCs w:val="1"/>
                <w:color w:val="auto"/>
              </w:rPr>
            </w:pPr>
          </w:p>
        </w:tc>
      </w:tr>
      <w:tr>
        <w:trPr>
          <w:trHeight w:val="182"/>
        </w:trPr>
        <w:tc>
          <w:tcPr>
            <w:tcW w:w="2520" w:type="dxa"/>
            <w:vAlign w:val="bottom"/>
          </w:tcPr>
          <w:p>
            <w:pPr>
              <w:ind w:left="400"/>
              <w:spacing w:after="0"/>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6,019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61,571</w:t>
            </w:r>
          </w:p>
        </w:tc>
        <w:tc>
          <w:tcPr>
            <w:tcW w:w="0" w:type="dxa"/>
            <w:vAlign w:val="bottom"/>
          </w:tcPr>
          <w:p>
            <w:pPr>
              <w:spacing w:after="0"/>
              <w:rPr>
                <w:sz w:val="1"/>
                <w:szCs w:val="1"/>
                <w:color w:val="auto"/>
              </w:rPr>
            </w:pPr>
          </w:p>
        </w:tc>
      </w:tr>
      <w:tr>
        <w:trPr>
          <w:trHeight w:val="176"/>
        </w:trPr>
        <w:tc>
          <w:tcPr>
            <w:tcW w:w="2520" w:type="dxa"/>
            <w:vAlign w:val="bottom"/>
          </w:tcPr>
          <w:p>
            <w:pPr>
              <w:ind w:left="460"/>
              <w:spacing w:after="0"/>
              <w:rPr>
                <w:sz w:val="20"/>
                <w:szCs w:val="20"/>
                <w:color w:val="auto"/>
              </w:rPr>
            </w:pPr>
            <w:r>
              <w:rPr>
                <w:rFonts w:ascii="Arial" w:cs="Arial" w:eastAsia="Arial" w:hAnsi="Arial"/>
                <w:sz w:val="14"/>
                <w:szCs w:val="14"/>
                <w:color w:val="auto"/>
              </w:rPr>
              <w:t>Total commercial loans</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123,861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51,867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631,702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179,333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452,630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97,983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1,542,255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Single family residential (1-4 units)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13,326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273,931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191,633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525,558</w:t>
            </w:r>
          </w:p>
        </w:tc>
        <w:tc>
          <w:tcPr>
            <w:tcW w:w="0" w:type="dxa"/>
            <w:vAlign w:val="bottom"/>
          </w:tcPr>
          <w:p>
            <w:pPr>
              <w:spacing w:after="0"/>
              <w:rPr>
                <w:sz w:val="1"/>
                <w:szCs w:val="1"/>
                <w:color w:val="auto"/>
              </w:rPr>
            </w:pPr>
          </w:p>
        </w:tc>
      </w:tr>
      <w:tr>
        <w:trPr>
          <w:trHeight w:val="182"/>
        </w:trPr>
        <w:tc>
          <w:tcPr>
            <w:tcW w:w="2520" w:type="dxa"/>
            <w:vAlign w:val="bottom"/>
          </w:tcPr>
          <w:p>
            <w:pPr>
              <w:ind w:left="240"/>
              <w:spacing w:after="0"/>
              <w:rPr>
                <w:sz w:val="20"/>
                <w:szCs w:val="20"/>
                <w:color w:val="auto"/>
              </w:rPr>
            </w:pPr>
            <w:r>
              <w:rPr>
                <w:rFonts w:ascii="Arial" w:cs="Arial" w:eastAsia="Arial" w:hAnsi="Arial"/>
                <w:sz w:val="14"/>
                <w:szCs w:val="14"/>
                <w:color w:val="auto"/>
              </w:rPr>
              <w:t>Consumer non-real estate and other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127,752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642,528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193,208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472,667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109,551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275,581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2,070,616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asset quality remained stable through the second quarter of 2023. The Company’s non-performing assets, which includes non-performing loans consisting of non-accrual loans, loans that are more than 90 days past due and still accruing, and other real estate owned as of September 30, 2023, totaled $2.9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non-performing assets as of September 30, 2023, and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Non-accrual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90 days past due and still accruing</w:t>
            </w:r>
          </w:p>
        </w:tc>
        <w:tc>
          <w:tcPr>
            <w:tcW w:w="18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non-performing loans</w:t>
            </w: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70"/>
        </w:trPr>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real estate owned</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4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spacing w:after="0"/>
              <w:rPr>
                <w:sz w:val="22"/>
                <w:szCs w:val="22"/>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non-performing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the discussion in </w:t>
      </w:r>
      <w:r>
        <w:rPr>
          <w:rFonts w:ascii="Arial" w:cs="Arial" w:eastAsia="Arial" w:hAnsi="Arial"/>
          <w:sz w:val="18"/>
          <w:szCs w:val="18"/>
          <w:u w:val="single" w:color="auto"/>
          <w:color w:val="0000FF"/>
        </w:rPr>
        <w:t>Note 1. Nature of Business Activities and Significant Accounting Policies</w:t>
      </w:r>
      <w:r>
        <w:rPr>
          <w:rFonts w:ascii="Arial" w:cs="Arial" w:eastAsia="Arial" w:hAnsi="Arial"/>
          <w:sz w:val="18"/>
          <w:szCs w:val="18"/>
          <w:color w:val="auto"/>
        </w:rPr>
        <w:t xml:space="preserve"> in Notes to Consolidated Financial Statements for management’s approach to estimating the ACL.</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maintains the ACL at a level deemed adequate by management for expected credit losses. As disclosed in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4</w:t>
      </w:r>
      <w:r>
        <w:rPr>
          <w:rFonts w:ascii="Arial" w:cs="Arial" w:eastAsia="Arial" w:hAnsi="Arial"/>
          <w:sz w:val="17"/>
          <w:szCs w:val="17"/>
          <w:color w:val="auto"/>
        </w:rPr>
        <w:t>,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charged-off loans were $13.0 thousand and $54.0 thousand for the three months ended September 30, 2023, and September 30, 2022, respectively, and $134.0 thousand and $3.4 million for the nine months ended September 30, 2023, and September 30, 2022, respectively. Gross recoveries totaled $5.0 thousand and $33.0 thousand for the three months ended September 30, 2023, and September 30, 2022, respectively, and $48.0 thousand and $219.0 thousand for the nine months ended September 30, 2023, and September 30, 2022, respectively. The ACL as a percentage of gross loans, net of unearned income, was 1.26% and 1.20% as of September 30, 2023, and September 30, 2022, respectively.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provision of $200 thousand and a provision recapture of $2.4 million for the three months ended September 30, 2023, and September 30, 2022, respectively, and a provision of $1.0 million and a provision recapture of $7.6 million for the nine months ended September 30, 2023, and September 30, 2022, respectively. The provision recapture was as a result of removing COVID-19 qualitative factors and the sale of a non-performing loan note in the first half of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credit loss experience by portfolio as of the three and nine months ended September 30, 2023, and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180" w:type="dxa"/>
            <w:vAlign w:val="bottom"/>
            <w:gridSpan w:val="4"/>
          </w:tcPr>
          <w:p>
            <w:pPr>
              <w:jc w:val="right"/>
              <w:ind w:right="89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9"/>
                <w:szCs w:val="19"/>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b w:val="1"/>
                <w:bCs w:val="1"/>
                <w:color w:val="auto"/>
                <w:w w:val="89"/>
              </w:rPr>
              <w:t>September 30, 2022</w:t>
            </w:r>
          </w:p>
        </w:tc>
        <w:tc>
          <w:tcPr>
            <w:tcW w:w="0" w:type="dxa"/>
            <w:vAlign w:val="bottom"/>
          </w:tcPr>
          <w:p>
            <w:pPr>
              <w:spacing w:after="0"/>
              <w:rPr>
                <w:sz w:val="1"/>
                <w:szCs w:val="1"/>
                <w:color w:val="auto"/>
              </w:rPr>
            </w:pPr>
          </w:p>
        </w:tc>
      </w:tr>
      <w:tr>
        <w:trPr>
          <w:trHeight w:val="21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outstanding at end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2,070,616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1,751,827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2,070,616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1,751,827</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Balance of allowance at beginning of period</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(25,919)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(23,362)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98"/>
              <w:spacing w:after="0"/>
              <w:rPr>
                <w:sz w:val="20"/>
                <w:szCs w:val="20"/>
                <w:color w:val="auto"/>
              </w:rPr>
            </w:pPr>
            <w:r>
              <w:rPr>
                <w:rFonts w:ascii="Arial" w:cs="Arial" w:eastAsia="Arial" w:hAnsi="Arial"/>
                <w:sz w:val="16"/>
                <w:szCs w:val="16"/>
                <w:color w:val="auto"/>
              </w:rPr>
              <w:t>(21,039)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(31,709)</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the adoption of CECL</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Loans charged-off: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213"/>
        </w:trPr>
        <w:tc>
          <w:tcPr>
            <w:tcW w:w="4560" w:type="dxa"/>
            <w:vAlign w:val="bottom"/>
          </w:tcPr>
          <w:p>
            <w:pPr>
              <w:ind w:left="240"/>
              <w:spacing w:after="0"/>
              <w:rPr>
                <w:sz w:val="20"/>
                <w:szCs w:val="20"/>
                <w:color w:val="auto"/>
              </w:rPr>
            </w:pPr>
            <w:r>
              <w:rPr>
                <w:rFonts w:ascii="Arial" w:cs="Arial" w:eastAsia="Arial" w:hAnsi="Arial"/>
                <w:sz w:val="16"/>
                <w:szCs w:val="16"/>
                <w:color w:val="auto"/>
              </w:rPr>
              <w:t>Owner-occupied commercial real estate</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construction &amp; development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60" w:type="dxa"/>
            <w:vAlign w:val="bottom"/>
          </w:tcPr>
          <w:p>
            <w:pPr>
              <w:ind w:left="240"/>
              <w:spacing w:after="0"/>
              <w:rPr>
                <w:sz w:val="20"/>
                <w:szCs w:val="20"/>
                <w:color w:val="auto"/>
              </w:rPr>
            </w:pPr>
            <w:r>
              <w:rPr>
                <w:rFonts w:ascii="Arial" w:cs="Arial" w:eastAsia="Arial" w:hAnsi="Arial"/>
                <w:sz w:val="16"/>
                <w:szCs w:val="16"/>
                <w:color w:val="auto"/>
              </w:rPr>
              <w:t>Commercial &amp; industrial</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Consumer non-real estate and other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loans charged-off</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Recoveries of loans charged-off: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4560" w:type="dxa"/>
            <w:vAlign w:val="bottom"/>
          </w:tcPr>
          <w:p>
            <w:pPr>
              <w:ind w:left="240"/>
              <w:spacing w:after="0"/>
              <w:rPr>
                <w:sz w:val="20"/>
                <w:szCs w:val="20"/>
                <w:color w:val="auto"/>
              </w:rPr>
            </w:pPr>
            <w:r>
              <w:rPr>
                <w:rFonts w:ascii="Arial" w:cs="Arial" w:eastAsia="Arial" w:hAnsi="Arial"/>
                <w:sz w:val="16"/>
                <w:szCs w:val="16"/>
                <w:color w:val="auto"/>
              </w:rPr>
              <w:t>Owner-occupied commercial real estate</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construction &amp; development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60" w:type="dxa"/>
            <w:vAlign w:val="bottom"/>
          </w:tcPr>
          <w:p>
            <w:pPr>
              <w:ind w:left="240"/>
              <w:spacing w:after="0"/>
              <w:rPr>
                <w:sz w:val="20"/>
                <w:szCs w:val="20"/>
                <w:color w:val="auto"/>
              </w:rPr>
            </w:pPr>
            <w:r>
              <w:rPr>
                <w:rFonts w:ascii="Arial" w:cs="Arial" w:eastAsia="Arial" w:hAnsi="Arial"/>
                <w:sz w:val="16"/>
                <w:szCs w:val="16"/>
                <w:color w:val="auto"/>
              </w:rPr>
              <w:t>Commercial &amp; industrial</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4560" w:type="dxa"/>
            <w:vAlign w:val="bottom"/>
          </w:tcPr>
          <w:p>
            <w:pPr>
              <w:ind w:left="240"/>
              <w:spacing w:after="0"/>
              <w:rPr>
                <w:sz w:val="20"/>
                <w:szCs w:val="20"/>
                <w:color w:val="auto"/>
              </w:rPr>
            </w:pPr>
            <w:r>
              <w:rPr>
                <w:rFonts w:ascii="Arial" w:cs="Arial" w:eastAsia="Arial" w:hAnsi="Arial"/>
                <w:sz w:val="16"/>
                <w:szCs w:val="16"/>
                <w:color w:val="auto"/>
              </w:rPr>
              <w:t>Consumer non-real estate and other</w:t>
            </w: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98"/>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98"/>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2"/>
        </w:trPr>
        <w:tc>
          <w:tcPr>
            <w:tcW w:w="45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recoveries of loans charged-off</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7"/>
        </w:trPr>
        <w:tc>
          <w:tcPr>
            <w:tcW w:w="4560" w:type="dxa"/>
            <w:vAlign w:val="bottom"/>
          </w:tcPr>
          <w:p>
            <w:pPr>
              <w:ind w:left="20"/>
              <w:spacing w:after="0"/>
              <w:rPr>
                <w:sz w:val="20"/>
                <w:szCs w:val="20"/>
                <w:color w:val="auto"/>
              </w:rPr>
            </w:pPr>
            <w:r>
              <w:rPr>
                <w:rFonts w:ascii="Arial" w:cs="Arial" w:eastAsia="Arial" w:hAnsi="Arial"/>
                <w:sz w:val="16"/>
                <w:szCs w:val="16"/>
                <w:color w:val="auto"/>
              </w:rPr>
              <w:t>Net loan charge-offs (recoveries)</w:t>
            </w:r>
          </w:p>
        </w:tc>
        <w:tc>
          <w:tcPr>
            <w:tcW w:w="10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3,192</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(recapture of) credit losses for the period</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(2,388)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1,033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(7,564)</w:t>
            </w:r>
          </w:p>
        </w:tc>
        <w:tc>
          <w:tcPr>
            <w:tcW w:w="0" w:type="dxa"/>
            <w:vAlign w:val="bottom"/>
          </w:tcPr>
          <w:p>
            <w:pPr>
              <w:spacing w:after="0"/>
              <w:rPr>
                <w:sz w:val="1"/>
                <w:szCs w:val="1"/>
                <w:color w:val="auto"/>
              </w:rPr>
            </w:pPr>
          </w:p>
        </w:tc>
      </w:tr>
      <w:tr>
        <w:trPr>
          <w:trHeight w:val="20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Ending allowance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(26,111)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(20,953)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(26,111)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(20,953)</w:t>
            </w:r>
          </w:p>
        </w:tc>
        <w:tc>
          <w:tcPr>
            <w:tcW w:w="0" w:type="dxa"/>
            <w:vAlign w:val="bottom"/>
          </w:tcPr>
          <w:p>
            <w:pPr>
              <w:spacing w:after="0"/>
              <w:rPr>
                <w:sz w:val="1"/>
                <w:szCs w:val="1"/>
                <w:color w:val="auto"/>
              </w:rPr>
            </w:pPr>
          </w:p>
        </w:tc>
      </w:tr>
      <w:tr>
        <w:trPr>
          <w:trHeight w:val="253"/>
        </w:trPr>
        <w:tc>
          <w:tcPr>
            <w:tcW w:w="4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Average loans outstanding during the period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2,034,275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1,763,540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38"/>
              <w:spacing w:after="0"/>
              <w:rPr>
                <w:sz w:val="20"/>
                <w:szCs w:val="20"/>
                <w:color w:val="auto"/>
              </w:rPr>
            </w:pPr>
            <w:r>
              <w:rPr>
                <w:rFonts w:ascii="Arial" w:cs="Arial" w:eastAsia="Arial" w:hAnsi="Arial"/>
                <w:sz w:val="16"/>
                <w:szCs w:val="16"/>
                <w:color w:val="auto"/>
              </w:rPr>
              <w:t>1,985,898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8"/>
              <w:spacing w:after="0"/>
              <w:rPr>
                <w:sz w:val="20"/>
                <w:szCs w:val="20"/>
                <w:color w:val="auto"/>
              </w:rPr>
            </w:pPr>
            <w:r>
              <w:rPr>
                <w:rFonts w:ascii="Arial" w:cs="Arial" w:eastAsia="Arial" w:hAnsi="Arial"/>
                <w:sz w:val="16"/>
                <w:szCs w:val="16"/>
                <w:color w:val="auto"/>
              </w:rPr>
              <w:t>1,758,267</w:t>
            </w: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20"/>
              <w:spacing w:after="0" w:line="233" w:lineRule="exact"/>
              <w:rPr>
                <w:sz w:val="20"/>
                <w:szCs w:val="20"/>
                <w:color w:val="auto"/>
              </w:rPr>
            </w:pPr>
            <w:r>
              <w:rPr>
                <w:rFonts w:ascii="Arial" w:cs="Arial" w:eastAsia="Arial" w:hAnsi="Arial"/>
                <w:sz w:val="16"/>
                <w:szCs w:val="16"/>
                <w:color w:val="auto"/>
              </w:rPr>
              <w:t>Allowance coverage ratio</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line="230" w:lineRule="exact"/>
              <w:rPr>
                <w:sz w:val="20"/>
                <w:szCs w:val="20"/>
                <w:color w:val="auto"/>
              </w:rPr>
            </w:pPr>
            <w:r>
              <w:rPr>
                <w:rFonts w:ascii="Arial" w:cs="Arial" w:eastAsia="Arial" w:hAnsi="Arial"/>
                <w:sz w:val="16"/>
                <w:szCs w:val="16"/>
                <w:color w:val="auto"/>
                <w:w w:val="98"/>
              </w:rPr>
              <w:t>Net charge-offs to average outstanding loans during the period</w:t>
            </w:r>
            <w:r>
              <w:rPr>
                <w:rFonts w:ascii="Arial" w:cs="Arial" w:eastAsia="Arial" w:hAnsi="Arial"/>
                <w:sz w:val="21"/>
                <w:szCs w:val="21"/>
                <w:color w:val="auto"/>
                <w:w w:val="98"/>
                <w:vertAlign w:val="superscript"/>
              </w:rPr>
              <w:t>(2)</w:t>
            </w:r>
          </w:p>
        </w:tc>
        <w:tc>
          <w:tcPr>
            <w:tcW w:w="10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38"/>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3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Allowance for credit losses as a percentage of non-performing</w:t>
            </w: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914.25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374.29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914.25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374.29</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loans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allowance coverage ratio is calculated by dividing the ACL at the end of the period by gross loans, net of unearned income at the end of the period.</w:t>
      </w:r>
    </w:p>
    <w:p>
      <w:pPr>
        <w:spacing w:after="0" w:line="109" w:lineRule="exact"/>
        <w:rPr>
          <w:rFonts w:ascii="Arial" w:cs="Arial" w:eastAsia="Arial" w:hAnsi="Arial"/>
          <w:sz w:val="14"/>
          <w:szCs w:val="14"/>
          <w:color w:val="auto"/>
        </w:rPr>
      </w:pPr>
    </w:p>
    <w:p>
      <w:pPr>
        <w:ind w:left="660" w:hanging="328"/>
        <w:spacing w:after="0" w:line="293" w:lineRule="auto"/>
        <w:tabs>
          <w:tab w:leader="none" w:pos="6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65" w:lineRule="exact"/>
        <w:rPr>
          <w:rFonts w:ascii="Arial" w:cs="Arial" w:eastAsia="Arial" w:hAnsi="Arial"/>
          <w:sz w:val="14"/>
          <w:szCs w:val="14"/>
          <w:color w:val="auto"/>
        </w:rPr>
      </w:pPr>
    </w:p>
    <w:p>
      <w:pPr>
        <w:ind w:left="640" w:hanging="308"/>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summarizes the ACL and the allowance for credit losses by portfolio with a comparison of the percentage composition in relation to total ACL and allowance for credit losses and total loans as of September 30, 2023, and December 31, 2022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 2023</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Allowance for credit</w:t>
            </w:r>
          </w:p>
        </w:tc>
        <w:tc>
          <w:tcPr>
            <w:tcW w:w="18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Percent of Allowance in</w:t>
            </w: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0"/>
              </w:rPr>
              <w:t>losses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Allocated ACL</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19,612</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75.10 %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60.89 %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26,111</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Allowance for credit</w:t>
            </w:r>
          </w:p>
        </w:tc>
        <w:tc>
          <w:tcPr>
            <w:tcW w:w="18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Percent of Allowance in</w:t>
            </w: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0"/>
              </w:rPr>
              <w:t>losses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Allocated Allowance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73.56 %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58.78 %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21,039</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Arial" w:cs="Arial" w:eastAsia="Arial" w:hAnsi="Arial"/>
          <w:sz w:val="16"/>
          <w:szCs w:val="16"/>
          <w:u w:val="single" w:color="auto"/>
          <w:color w:val="0000FF"/>
        </w:rPr>
        <w:t>Note 9 — Derivatives</w:t>
      </w:r>
      <w:r>
        <w:rPr>
          <w:rFonts w:ascii="Arial" w:cs="Arial" w:eastAsia="Arial" w:hAnsi="Arial"/>
          <w:sz w:val="16"/>
          <w:szCs w:val="16"/>
          <w:color w:val="auto"/>
        </w:rPr>
        <w:t xml:space="preserve"> in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Arial" w:cs="Arial" w:eastAsia="Arial" w:hAnsi="Arial"/>
          <w:sz w:val="16"/>
          <w:szCs w:val="16"/>
          <w:u w:val="single" w:color="auto"/>
          <w:color w:val="0000FF"/>
        </w:rPr>
        <w:t>Note 10 — Commitments and Contingencies</w:t>
      </w:r>
      <w:r>
        <w:rPr>
          <w:rFonts w:ascii="Arial" w:cs="Arial" w:eastAsia="Arial" w:hAnsi="Arial"/>
          <w:sz w:val="16"/>
          <w:szCs w:val="16"/>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Sources of borrowings include advances from the FHLB of Atlanta, borrowings from correspondent banks, and the Fed Discount Window. The Company also utilizes brokered time deposits. For more discussion of brokered time deposits, see the Deposits heading below this section.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Company has available unused borrowing capacity of $883.5 million through its available lines of credit with the FHLB of Atlanta and unsecured federal fund lines of credit from correspondent banking relationships. Advances on credit lines are secured by both securities and loans.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certain information regarding borrowings as of the three months ended September 30, 2023, and December 31, 2022, respectively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299,000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343,100</w:t>
            </w: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Weighted average interest rate at end of period</w:t>
            </w:r>
          </w:p>
        </w:tc>
        <w:tc>
          <w:tcPr>
            <w:tcW w:w="120" w:type="dxa"/>
            <w:vAlign w:val="bottom"/>
          </w:tcPr>
          <w:p>
            <w:pPr>
              <w:spacing w:after="0"/>
              <w:rPr>
                <w:sz w:val="18"/>
                <w:szCs w:val="18"/>
                <w:color w:val="auto"/>
              </w:rPr>
            </w:pPr>
          </w:p>
        </w:tc>
        <w:tc>
          <w:tcPr>
            <w:tcW w:w="1700" w:type="dxa"/>
            <w:vAlign w:val="bottom"/>
          </w:tcPr>
          <w:p>
            <w:pPr>
              <w:ind w:left="110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Arial" w:cs="Arial" w:eastAsia="Arial" w:hAnsi="Arial"/>
                <w:sz w:val="16"/>
                <w:szCs w:val="16"/>
                <w:color w:val="auto"/>
              </w:rPr>
              <w:t>4.42%</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deposits increased by $65.2 million from December 31, 2022, to September 30, 2023, due to an increase in the balance of brokered time deposits. The Company has issued brokered time deposits that amounted to $389.0 million as of September 30, 2023, and $100.3 million at December 31, 2022, which are included in the table below within “Time deposits, other”. The following table sets forth the balance of each category of deposits as of the dates indicated (in thousands):</w:t>
      </w:r>
    </w:p>
    <w:p>
      <w:pPr>
        <w:sectPr>
          <w:pgSz w:w="11900" w:h="16838" w:orient="portrait"/>
          <w:cols w:equalWidth="0" w:num="1">
            <w:col w:w="11240"/>
          </w:cols>
          <w:pgMar w:left="320" w:top="125" w:right="339" w:bottom="1440" w:gutter="0" w:footer="0" w:header="0"/>
        </w:sectPr>
      </w:pPr>
    </w:p>
    <w:p>
      <w:pPr>
        <w:spacing w:after="0" w:line="17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34925</wp:posOffset>
            </wp:positionV>
            <wp:extent cx="1200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center"/>
        <w:ind w:left="7640"/>
        <w:spacing w:after="0"/>
        <w:rPr>
          <w:sz w:val="20"/>
          <w:szCs w:val="20"/>
          <w:color w:val="auto"/>
        </w:rPr>
      </w:pPr>
      <w:r>
        <w:rPr>
          <w:rFonts w:ascii="Arial" w:cs="Arial" w:eastAsia="Arial" w:hAnsi="Arial"/>
          <w:sz w:val="16"/>
          <w:szCs w:val="16"/>
          <w:b w:val="1"/>
          <w:bCs w:val="1"/>
          <w:color w:val="auto"/>
        </w:rPr>
        <w:t>Balance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34925</wp:posOffset>
            </wp:positionV>
            <wp:extent cx="1200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Balance</w:t>
      </w:r>
    </w:p>
    <w:p>
      <w:pPr>
        <w:spacing w:after="0" w:line="26" w:lineRule="exact"/>
        <w:rPr>
          <w:sz w:val="20"/>
          <w:szCs w:val="20"/>
          <w:color w:val="auto"/>
        </w:rPr>
      </w:pPr>
    </w:p>
    <w:p>
      <w:pPr>
        <w:sectPr>
          <w:pgSz w:w="11900" w:h="16838" w:orient="portrait"/>
          <w:cols w:equalWidth="0" w:num="2">
            <w:col w:w="8980" w:space="660"/>
            <w:col w:w="1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Demand, non-interest-bearing</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853,385</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960,692</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Demand, interest-bearing</w:t>
            </w: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530,360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616,665</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and savings</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1,044,152</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deposits, other</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674,838</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298,891</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2,132,233</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1,959,708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2,985,618</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2,920,400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deposits that meet or exceed the FDIC insurance limit of $250,000 in the amounts of $670.7 million and $843.4 million at September 30, 2023, and December 31,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maturity ranges of time deposits as of September 30, 2023, that meet or exceed the FDIC insurance limit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6"/>
              </w:rPr>
              <w:t>September 30, 2023</w:t>
            </w:r>
          </w:p>
        </w:tc>
      </w:tr>
      <w:tr>
        <w:trPr>
          <w:trHeight w:val="213"/>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3 months or less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8,909</w:t>
            </w:r>
          </w:p>
        </w:tc>
      </w:tr>
      <w:tr>
        <w:trPr>
          <w:trHeight w:val="213"/>
        </w:trPr>
        <w:tc>
          <w:tcPr>
            <w:tcW w:w="9240" w:type="dxa"/>
            <w:vAlign w:val="bottom"/>
          </w:tcPr>
          <w:p>
            <w:pPr>
              <w:ind w:left="20"/>
              <w:spacing w:after="0"/>
              <w:rPr>
                <w:sz w:val="20"/>
                <w:szCs w:val="20"/>
                <w:color w:val="auto"/>
              </w:rPr>
            </w:pPr>
            <w:r>
              <w:rPr>
                <w:rFonts w:ascii="Arial" w:cs="Arial" w:eastAsia="Arial" w:hAnsi="Arial"/>
                <w:sz w:val="16"/>
                <w:szCs w:val="16"/>
                <w:color w:val="auto"/>
              </w:rPr>
              <w:t>Due after 3 months and within 6 months</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24,287</w:t>
            </w:r>
          </w:p>
        </w:tc>
      </w:tr>
      <w:tr>
        <w:trPr>
          <w:trHeight w:val="219"/>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6 months and within 12 months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27,441</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4,840</w:t>
            </w:r>
          </w:p>
        </w:tc>
      </w:tr>
      <w:tr>
        <w:trPr>
          <w:trHeight w:val="210"/>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uninsured, time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65,477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shareholders’ equity at September 30, 2023, was $270.8 million, compared to $273.5 million at December 31, 2022. Shareholders’ equity decreased by $2.6 million in part due to an increase in unrealized losses in the AFS securities portfolio since December 31, 2022. Accumulated other comprehensive income decreased $6.7 million from December 31, 2022, to September 30, 2023, primarily as a result of an increase in unrealized losses on AFS investment securities.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Arial" w:cs="Arial" w:eastAsia="Arial" w:hAnsi="Arial"/>
          <w:sz w:val="17"/>
          <w:szCs w:val="17"/>
          <w:u w:val="single" w:color="auto"/>
          <w:color w:val="0000FF"/>
        </w:rPr>
        <w:t>Item 2. Management’s Discussion and Analysis of Financial Condition and Results of Operations</w:t>
      </w:r>
      <w:r>
        <w:rPr>
          <w:rFonts w:ascii="Arial" w:cs="Arial" w:eastAsia="Arial" w:hAnsi="Arial"/>
          <w:sz w:val="17"/>
          <w:szCs w:val="17"/>
          <w:color w:val="auto"/>
        </w:rPr>
        <w:t>, Recent Events in the Financial Services Industry.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Arial" w:cs="Arial" w:eastAsia="Arial" w:hAnsi="Arial"/>
          <w:sz w:val="18"/>
          <w:szCs w:val="18"/>
          <w:u w:val="single" w:color="auto"/>
          <w:color w:val="0000FF"/>
        </w:rPr>
        <w:t>Note 9 -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for a discussion of our hedging activity.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As of September 30, 2023</w:t>
            </w:r>
          </w:p>
        </w:tc>
        <w:tc>
          <w:tcPr>
            <w:tcW w:w="3740" w:type="dxa"/>
            <w:vAlign w:val="bottom"/>
          </w:tcPr>
          <w:p>
            <w:pPr>
              <w:ind w:left="1120"/>
              <w:spacing w:after="0"/>
              <w:rPr>
                <w:sz w:val="20"/>
                <w:szCs w:val="20"/>
                <w:color w:val="auto"/>
              </w:rPr>
            </w:pPr>
            <w:r>
              <w:rPr>
                <w:rFonts w:ascii="Arial" w:cs="Arial" w:eastAsia="Arial" w:hAnsi="Arial"/>
                <w:sz w:val="14"/>
                <w:szCs w:val="14"/>
                <w:b w:val="1"/>
                <w:bCs w:val="1"/>
                <w:color w:val="auto"/>
              </w:rPr>
              <w:t>As of December 31, 2022</w:t>
            </w:r>
          </w:p>
        </w:tc>
      </w:tr>
      <w:tr>
        <w:trPr>
          <w:trHeight w:val="203"/>
        </w:trPr>
        <w:tc>
          <w:tcPr>
            <w:tcW w:w="366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 in Interest Rates (in Basis Points)</w:t>
            </w:r>
          </w:p>
        </w:tc>
        <w:tc>
          <w:tcPr>
            <w:tcW w:w="3820" w:type="dxa"/>
            <w:vAlign w:val="bottom"/>
            <w:gridSpan w:val="2"/>
          </w:tcPr>
          <w:p>
            <w:pPr>
              <w:ind w:left="560"/>
              <w:spacing w:after="0"/>
              <w:rPr>
                <w:sz w:val="20"/>
                <w:szCs w:val="20"/>
                <w:color w:val="auto"/>
              </w:rPr>
            </w:pPr>
            <w:r>
              <w:rPr>
                <w:rFonts w:ascii="Arial" w:cs="Arial" w:eastAsia="Arial" w:hAnsi="Arial"/>
                <w:sz w:val="14"/>
                <w:szCs w:val="14"/>
                <w:b w:val="1"/>
                <w:bCs w:val="1"/>
                <w:color w:val="auto"/>
              </w:rPr>
              <w:t>Percentage Change in Net Interest Income</w:t>
            </w:r>
          </w:p>
        </w:tc>
        <w:tc>
          <w:tcPr>
            <w:tcW w:w="3740" w:type="dxa"/>
            <w:vAlign w:val="bottom"/>
          </w:tcPr>
          <w:p>
            <w:pPr>
              <w:ind w:left="580"/>
              <w:spacing w:after="0"/>
              <w:rPr>
                <w:sz w:val="20"/>
                <w:szCs w:val="20"/>
                <w:color w:val="auto"/>
              </w:rPr>
            </w:pPr>
            <w:r>
              <w:rPr>
                <w:rFonts w:ascii="Arial" w:cs="Arial" w:eastAsia="Arial" w:hAnsi="Arial"/>
                <w:sz w:val="14"/>
                <w:szCs w:val="14"/>
                <w:b w:val="1"/>
                <w:bCs w:val="1"/>
                <w:color w:val="auto"/>
              </w:rPr>
              <w:t>Percentage Change in Net Interest Income</w:t>
            </w:r>
          </w:p>
        </w:tc>
      </w:tr>
      <w:tr>
        <w:trPr>
          <w:trHeight w:val="26"/>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86"/>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Arial" w:cs="Arial" w:eastAsia="Arial" w:hAnsi="Arial"/>
                <w:sz w:val="18"/>
                <w:szCs w:val="18"/>
                <w:color w:val="auto"/>
                <w:w w:val="94"/>
              </w:rPr>
              <w:t>(6.9)%</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Arial" w:cs="Arial" w:eastAsia="Arial" w:hAnsi="Arial"/>
                <w:sz w:val="18"/>
                <w:szCs w:val="18"/>
                <w:color w:val="auto"/>
                <w:w w:val="94"/>
              </w:rPr>
              <w:t>(9.2)%</w:t>
            </w:r>
          </w:p>
        </w:tc>
      </w:tr>
      <w:tr>
        <w:trPr>
          <w:trHeight w:val="229"/>
        </w:trPr>
        <w:tc>
          <w:tcPr>
            <w:tcW w:w="3560" w:type="dxa"/>
            <w:vAlign w:val="bottom"/>
          </w:tcPr>
          <w:p>
            <w:pPr>
              <w:jc w:val="center"/>
              <w:ind w:left="3053"/>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19"/>
                <w:szCs w:val="19"/>
                <w:color w:val="auto"/>
              </w:rPr>
            </w:pPr>
          </w:p>
        </w:tc>
        <w:tc>
          <w:tcPr>
            <w:tcW w:w="3740" w:type="dxa"/>
            <w:vAlign w:val="bottom"/>
          </w:tcPr>
          <w:p>
            <w:pPr>
              <w:ind w:left="32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3740" w:type="dxa"/>
            <w:vAlign w:val="bottom"/>
          </w:tcPr>
          <w:p>
            <w:pPr>
              <w:ind w:left="3220"/>
              <w:spacing w:after="0"/>
              <w:rPr>
                <w:sz w:val="20"/>
                <w:szCs w:val="20"/>
                <w:color w:val="auto"/>
              </w:rPr>
            </w:pPr>
            <w:r>
              <w:rPr>
                <w:rFonts w:ascii="Arial" w:cs="Arial" w:eastAsia="Arial" w:hAnsi="Arial"/>
                <w:sz w:val="18"/>
                <w:szCs w:val="18"/>
                <w:color w:val="auto"/>
              </w:rPr>
              <w:t>(6.2)</w:t>
            </w:r>
          </w:p>
        </w:tc>
      </w:tr>
      <w:tr>
        <w:trPr>
          <w:trHeight w:val="230"/>
        </w:trPr>
        <w:tc>
          <w:tcPr>
            <w:tcW w:w="356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(3.0)</w:t>
            </w:r>
          </w:p>
        </w:tc>
      </w:tr>
      <w:tr>
        <w:trPr>
          <w:trHeight w:val="229"/>
        </w:trPr>
        <w:tc>
          <w:tcPr>
            <w:tcW w:w="3560" w:type="dxa"/>
            <w:vAlign w:val="bottom"/>
          </w:tcPr>
          <w:p>
            <w:pPr>
              <w:jc w:val="center"/>
              <w:ind w:left="3033"/>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3740" w:type="dxa"/>
            <w:vAlign w:val="bottom"/>
          </w:tcPr>
          <w:p>
            <w:pPr>
              <w:ind w:left="32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3740" w:type="dxa"/>
            <w:vAlign w:val="bottom"/>
          </w:tcPr>
          <w:p>
            <w:pPr>
              <w:ind w:left="3220"/>
              <w:spacing w:after="0"/>
              <w:rPr>
                <w:sz w:val="20"/>
                <w:szCs w:val="20"/>
                <w:color w:val="auto"/>
              </w:rPr>
            </w:pPr>
            <w:r>
              <w:rPr>
                <w:rFonts w:ascii="Arial" w:cs="Arial" w:eastAsia="Arial" w:hAnsi="Arial"/>
                <w:sz w:val="18"/>
                <w:szCs w:val="18"/>
                <w:color w:val="auto"/>
              </w:rPr>
              <w:t>(2.0)</w:t>
            </w:r>
          </w:p>
        </w:tc>
      </w:tr>
      <w:tr>
        <w:trPr>
          <w:trHeight w:val="229"/>
        </w:trPr>
        <w:tc>
          <w:tcPr>
            <w:tcW w:w="3560" w:type="dxa"/>
            <w:vAlign w:val="bottom"/>
            <w:shd w:val="clear" w:color="auto" w:fill="CCEEFF"/>
          </w:tcPr>
          <w:p>
            <w:pPr>
              <w:jc w:val="center"/>
              <w:ind w:left="3033"/>
              <w:spacing w:after="0"/>
              <w:rPr>
                <w:sz w:val="20"/>
                <w:szCs w:val="20"/>
                <w:color w:val="auto"/>
              </w:rPr>
            </w:pPr>
            <w:r>
              <w:rPr>
                <w:rFonts w:ascii="Arial" w:cs="Arial" w:eastAsia="Arial" w:hAnsi="Arial"/>
                <w:sz w:val="18"/>
                <w:szCs w:val="18"/>
                <w:color w:val="auto"/>
                <w:w w:val="95"/>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(5.8)</w:t>
            </w:r>
          </w:p>
        </w:tc>
      </w:tr>
    </w:tbl>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Economic Value of Equity Analysis (“EVE”). </w:t>
      </w:r>
      <w:r>
        <w:rPr>
          <w:rFonts w:ascii="Arial" w:cs="Arial" w:eastAsia="Arial" w:hAnsi="Arial"/>
          <w:sz w:val="18"/>
          <w:szCs w:val="18"/>
          <w:color w:val="auto"/>
        </w:rPr>
        <w:t>We analyze the sensitivity of our financial condition to changes in interest rates through our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 September 30, 2023</w:t>
            </w:r>
          </w:p>
        </w:tc>
        <w:tc>
          <w:tcPr>
            <w:tcW w:w="3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As of December 31, 2022</w:t>
            </w:r>
          </w:p>
        </w:tc>
      </w:tr>
      <w:tr>
        <w:trPr>
          <w:trHeight w:val="203"/>
        </w:trPr>
        <w:tc>
          <w:tcPr>
            <w:tcW w:w="366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Percentage Change in EVE</w:t>
            </w:r>
          </w:p>
        </w:tc>
        <w:tc>
          <w:tcPr>
            <w:tcW w:w="3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Percentage Change in EVE</w:t>
            </w:r>
          </w:p>
        </w:tc>
      </w:tr>
      <w:tr>
        <w:trPr>
          <w:trHeight w:val="25"/>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86"/>
              </w:rPr>
              <w:t>300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r>
      <w:tr>
        <w:trPr>
          <w:trHeight w:val="229"/>
        </w:trPr>
        <w:tc>
          <w:tcPr>
            <w:tcW w:w="3560" w:type="dxa"/>
            <w:vAlign w:val="bottom"/>
          </w:tcPr>
          <w:p>
            <w:pPr>
              <w:jc w:val="center"/>
              <w:ind w:left="3053"/>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3740" w:type="dxa"/>
            <w:vAlign w:val="bottom"/>
          </w:tcPr>
          <w:p>
            <w:pPr>
              <w:jc w:val="right"/>
              <w:ind w:right="135"/>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3740" w:type="dxa"/>
            <w:vAlign w:val="bottom"/>
          </w:tcPr>
          <w:p>
            <w:pPr>
              <w:jc w:val="right"/>
              <w:ind w:right="135"/>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Arial" w:cs="Arial" w:eastAsia="Arial" w:hAnsi="Arial"/>
                <w:sz w:val="18"/>
                <w:szCs w:val="18"/>
                <w:color w:val="auto"/>
                <w:w w:val="95"/>
              </w:rPr>
              <w:t>(200)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jc w:val="right"/>
              <w:ind w:right="1595"/>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2023.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below, there have been no material changes in the risk factors that were disclosed in Item 1A, under the caption “Risk Factors” in our Form 10 for the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Consummation of the Merger and Burke &amp; Herbert Following the Merger</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price of Burke &amp; Herbert common stock after the merger may be affected by factors different from those currently affecting the shares of Burke &amp; Herbert common stock or Summit common stock.</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merger, Summit shareholders will become Burke &amp; Herbert shareholders. Burke &amp; Herbert’s business differs from that of Summit and certain adjustments may be made to the Burke &amp; Herbert’s business as a result of the merger. Accordingly, the results of operations of the continuing corporation and the market price of Burke &amp; Herbert’s common stock after the completion of the merger may be affected by factors different from those currently affecting the independent results of operations of each of Burke &amp; Herbert and Summit.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costs related to the merger and integration.</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Burke &amp; Herbert has incurred and expects to incur a number of non-recurring costs associated with the merger. These costs include legal, financial advisory, accounting, consulting and other advisory fees, severance/employee benefit-related costs, public company filing fees and other regulatory fees, financial printing and other printing costs and other related costs. Some of these costs are payable by us regardless of whether the merger is completed.</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also incurred and expect to incur significant costs in connection with negotiating the merger agreement and closing the merger. In addition, the continuing corporation will incur integration costs following the completion of the merger as Burke &amp; Herbert and Summit integrate their businesses, including facilities and systems consolidation costs and employment-related costs. Burke &amp; Herbert may also incur additional costs to maintain employee morale and to retain key employees. There are a large number of processes, policies, procedures, operations, technologies and systems that may need to be integrated, including purchasing, accounting and finance, payroll, compliance, treasury management, branch operations, vendor management, risk management, lines of business, pricing and benefits. While we have assumed that a certain level of costs will be incurred, there are many factors beyond our control that could affect the total amount or the timing of the integration costs. Moreover, many of the costs that will be incurred are, by their nature, difficult to estimate accurately. These integration costs may result in the continuing corporation taking charges against earnings following the completion of the merger, and the amount and timing of such charges are uncertain at present. There can be no assurances that the expected benefits and efficiencies related to the integration of the businesses will be realized to offset these transaction and integration costs over time. Anticipated future merger and integration-related pre-tax costs are currently estimated to be approximately $57 million.</w:t>
      </w:r>
    </w:p>
    <w:p>
      <w:pPr>
        <w:spacing w:after="0" w:line="1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Combining Burke &amp; Herbert and Summit may be more difficult, costly or time-consuming than expected, and we may fail to realize the anticipated benefits of the merger.</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merger is a transaction combining two financial institutions of relatively similar asset size. The success of the merger will depend, in part, on the ability to realize the anticipated cost savings from combining the businesses of Burke &amp; Herbert and Summit. To realize the anticipated benefits and cost savings from the merger, we must successfully integrate and combine Summit’s businesses in a manner that permits those cost savings to be realized, without adversely affecting current revenues and future growth. If we are not able to successfully achieve these objectives, the anticipated benefits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may not be realized fully, or at all, or may take longer to realize than expected. In addition, the actual cost savings of the merger could be less than anticipated, and integration may result in additional and unforeseen expenses.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the continuing corporation following the completion of the merger, which may adversely affect the value of the common stock of the continuing corporation following the completion of the merger.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merger. Integration efforts between the two companies may also divert management attention and resources. These integration matters could have an adverse effect on us during this transition period and for an undetermined period after completion of the merger on the continuing corporation.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the board of directors of the continuing corporation will consist of former directors from each of Burke &amp; Herbert and Summit. Combining the boards of directors of each company into a single board could require the reconciliation of differing priorities and philosophies.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future results of the continuing corporation following the merger may suffer if the continuing corporation does not effectively manage its expanded operations, including complying with any enhanced regulatory requirements.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merger, the size of the business of the continuing corporation will increase beyond the current size of our business. The continuing corporation’s future success will depend, in part, upon our ability to manage this expanded business, which may pose challenges for management, including challenges related to the management and monitoring of new operations and associated increased costs and complexity. There can be no assurances that the continuing corporation will be successful or that it will realize the expected operating efficiencies, revenue enhancement or other benefits currently anticipated from the merger.</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continuing corporation may also face increased scrutiny from governmental authorities as a result of the increased size of its business, including if the total assets of the continuing corporation grow to exceed $10 billion as of December 31 of any calendar year. Banks with $10 billion or more in total assets are, among other things: examined directly by the CFPB with respect to various federal consumer financial laws; subject to reduced dividends on any holdings of Federal Reserve Bank of Richmond common stock; subject to limits on interchange fees pursuant to the Durbin amendment to the Dodd-Frank Act; subject to certain enhanced prudential standards; no longer treated as a “small institution” for FDIC deposit insurance assessment purposes; and no longer eligible to elect to be subject to the “community bank leverage ratio.” Compliance with these additional ongoing requirements may necessitate additional personnel, the design and implementation of additional internal controls, and the incurrence of significant expenses which could have a significant adverse effect on the Company’s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continuing corporation may be unable to retain Company personnel successfully after the merger is completed.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the merger will depend in part on the ability of us and the continuing corporation to retain the talents and dedication of key employees currently employed. It is possible that these employees may decide not to remain with Burke &amp; Herbert or Summit, as applicable, while the merger is pending or with the continuing corporation after the merger is consummated. If we are unable to retain key employees, including management, who are critical to the successful integration and future operations of the companies, we could face disruptions in their operations, loss of existing customers, loss of key information, expertise or know-how and unanticipated additional recruitment costs. In addition, following the merger, if key employees terminate their employment, the continuing corporation’s business activities may be adversely affected, and management’s attention may be diverted from successfully hiring suitable replacements, all of which may cause the continuing corporation’s business to suffer and we may not be able to locate or retain suitable replacements for any key employees who leave.</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Regulatory approvals may not be received, may take longer than expected, or may impose conditions that are not presently anticipated or that could have an adverse effect on the continuing corporation following the merger.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the merger and the bank merger may be completed, various approvals and consents must be obtained from the Federal Reserve Board (unless a waiver is granted), the FDIC, the Virginia BFI, the West Virginia Division of Financial Institutions (“WVDFI”), and other regulatory authorities in the United States. In determining whether to grant these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approvals, such regulatory authorities consider a variety of factors, including the regulatory standing of each party and various other factors.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approvals that are granted may impose terms and conditions, limitations, obligations or costs, or place restrictions on the conduct of the continuing corporation’s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the continuing corporation following the merger or otherwise reduce the anticipated benefits of the merger if the merger were consummated successfully within the expected timeframe. In addition, there can be no assurance that any such conditions, terms, obligations or restrictions will not result in the delay or abandonment of the merger. The completion of the merger is conditioned on the receipt of the requisite regulatory approvals and the expiration of all statutory waiting periods without the imposition of any material burdensome regulatory condition. Additionally, the completion of the merger is conditioned on the absence of certain orders, injunctions or decrees by any court or governmental entity of competent jurisdiction that would prohibit or make illegal the completion of any of the transactions contemplated by the merger agreement.</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despite the parties’ commitments to using their reasonable best efforts to comply with conditions imposed by regulators, under the terms of the merger agreement, neither Burke &amp; Herbert nor Summit, nor any of their respective subsidiaries, is permitted (without the written consent of the other party), to take any action, or commit to take any action, or agree to any condition or restriction, in connection with obtaining the required permits, consents, approvals and authorizations of governmental entities or regulatory agencies that would reasonably be expected to have a material adverse effect on the continuing corporation and its subsidiaries, taken as a whole, after giving effect to the merger and the bank merger.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Burke &amp; Herbert’s and Summit’s directors and executive officers may have interests in the merger that may differ from, or are in addition to, the interests of Burke &amp; Herbert’s shareholders.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Burke &amp; Herbert’s shareholders should be aware that some of Burke &amp; Herbert’s and Summit’s directors and executive officers may have interests in the merger that are different from, or in addition to, those of Burke &amp; Herbert shareholders and Summit shareholders. These interests may create potential conflicts of interest. The Burke &amp; Herbert and Summit boards of directors were aware of these respective interests and considered these interests, among other matters, when making their decisions to approve the merger agreement, and in recommending that, in the case of the Burke &amp; Herbert board of directors, Burke &amp; Herbert shareholders vote to approve the merger agreement and, in the case of the Summit board of directors, Summit shareholders vote to approve the merger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may be terminated in accordance with its terms and the merger may not be completed.</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merger agreement is subject to a number of conditions which must be fulfilled in order to complete the merger. Those conditions include: (i) approval of the merger by Burke &amp; Herbert shareholders and approval by Summit shareholders; (ii) authorization for listing on Nasdaq of the shares of Burke &amp; Herbert common stock to be issued in the merger, subject to official notice of issuance; (iii) the receipt of the requisite regulatory approvals, including the approval of the Federal Reserve Board (unless a waiver is granted), the FDIC, the VBFI and the WVDFI; (iv) effectiveness of the registration statement on Form S-4 for the Burke &amp; Herbert shares to be issued as consideration in the merger; and (v)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 Each party’s obligation to complete the merger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 will qualify as a reorganization within the meaning of Section 368(a) of the Code.</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to the closing may not be fulfilled in a timely manner or at all, and, accordingly, the merger may not be completed. In addition, the parties can mutually decide to terminate the merger agreement at any time, before or after the requisite shareholder approvals, or Burke &amp; Herbert or Summit may elect to terminate the merger agreement in certain other circumstances.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merger could negatively impact Burke &amp; Herbert.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merger is not completed for any reason, including as a result of the either one of Burke &amp; Herbert’s or Summit’s shareholders failing to approve their respective merger proposal, there may be various adverse consequences us and we may experience negative reactions from the financial markets and from their respective customers and employees. For example, our business may be impacted adversely by the failure to pursue other beneficial opportunities due to the focus of management on the merger, without realizing any of the anticipated benefits of completing the merger. Additionally, if the merger agreement is terminated, the market price of our common stock could decline to the extent that current market prices reflect a market assumption that the merger will be beneficial and will be completed. We also could be subject to litigation related to any failure to complete the merger or to proceedings commenced against Burke &amp; Herbert or Summit to perform their respective obligations under the merger agreement. If the merger agreement is terminated under certain circumstances, we may be required to pay a termination fee of $14.86 million to Summit.</w:t>
      </w:r>
    </w:p>
    <w:p>
      <w:pPr>
        <w:spacing w:after="0" w:line="1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we have incurred and will incur substantial expenses in connection with the negotiation and completion of the transactions contemplated by the merger agreement and all filing and other fees paid in connection with the merger. If the merger is not completed, we would have to pay these expenses without realizing the expected benefits of the merger.</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In connection with the merger, we will assume Summit’s outstanding debt obligations, and the continuing corporation’s level of indebtedness following the completion of the merger could adversely affect the continuing corporation’s ability to raise additional capital and to meet its obligations under its existing indebtedness.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merger, we will assume Summit’s outstanding indebtedness. Our existing debt, together with any future incurrence of additional indebtedness, and the assumption of Summit’s outstanding indebtedness, could have important consequences for the continuing corporation’s creditors and the continuing corporation’s shareholders. For example, it could:</w:t>
      </w:r>
    </w:p>
    <w:p>
      <w:pPr>
        <w:spacing w:after="0" w:line="211" w:lineRule="exact"/>
        <w:rPr>
          <w:sz w:val="20"/>
          <w:szCs w:val="20"/>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debt service requirements, acquisitions and general corporate or other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the continuing corporation to make non-strategic divestitures;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our ability to 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economic and industry conditions;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substantial portion of our cash flow from operations to be dedicated to the payment of principal and interest on the continuing corporation’s indebtedness, thereby reducing our ability to use cash flows to fund operations, capital expenditures and future business opportunities.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uncertainties and contractual restrictions while the merger is pending.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Uncertainty about the effect of the merger on employees and customers may have an adverse effect on us. These uncertainties may impair our ability to attract, retain and motivate key personnel until the merger is completed, and could cause customers and others that deal with us to seek to change existing business relationships with us. In addition, subject to certain exceptions, we have agreed to operate our business in the ordinary course in all material respects and to refrain from taking certain actions that may adversely affect our ability to consummate the transactions contemplated by the merger agreement on a timely basis without the consent of the other party. These restrictions may prevent us from pursuing attractive business opportunities that may arise prior to the completion of the merger.</w:t>
      </w:r>
    </w:p>
    <w:p>
      <w:pPr>
        <w:spacing w:after="0" w:line="1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Uncertainty related to the proposed merger could disrupt our relationships with customers, suppliers, business partners and others, as well as our operating results and businesses generally.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Whether or not the merger is ultimately consummated, as a result of uncertainty related to the proposed transactions, risks relating to Burke &amp; Herbert’s business include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employees may experience uncertainty about their future roles, which might adversely affect our ability to retain and hire key personnel and other employees;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customers, suppliers, business partners and other parties with which we maintain business relationships may experience uncertainty about their respective futures and seek alternative relationships with third parties, seek to alter their business relationships with us or fail to extend an existing relationship;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expended and will continue to expend significant costs, fees and expenses for professional services and transaction costs in connection with the proposed merger.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aforementioned risks were to materialize, they could lead to significant costs which may impact our results of operations and financial condition.</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current higher for longer interest rate environment may adversely impact the fair value adjustments of investments and loans acquired in the merger.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closing of the merger, we will need to adjust the fair value of Summit’s investment and loan portfolios. The rising interest rate environment could have the effect of increasing the magnitude of the purchase accounting marks relating to such fair value adjustments, thereby increasing initial tangible book value dilution, extending the tangible book value earn-back period, and negatively impacting our capital ratios, which may necessitate taking steps to strengthen our capital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merger agreement limits our ability to pursue alternatives to the merger and may discourage other companies from trying to acquire us.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merger agreement contains “no shop” covenants that restricts our ability to, directly or indirectly, among other things, initiate, solicit, knowingly encourage or knowingly facilitate, inquiries or proposals with respect to, or, subject to certain exceptions generally related to the exercise of fiduciary duties by our board of directors, engage in any negotiations concerning, or provide any confidential or non-public information or data relating to, any alternative acquisition proposals. These provisions, which include a $14.86 million termination fee payable under certain circumstances, may discourage a potential third-party acquirer that might have an interest in acquiring all or a significant part of us from considering or proposing that acquisition.</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Burke &amp; Herbert shareholders will have reduced ownership and voting interest in the continuing corporation after the consummation of the merger and will exercise less influence over management.</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Burke &amp; Herbert shareholders currently have the right to vote in the election of the board of directors and on other matters affecting us. When the merger is completed, each Burke &amp; Herbert shareholder and each Summit shareholder will become a holder of common stock of the continuing corporation, with a percentage ownership of the continuing corporation that is smaller than the holder’s percentage ownership of either Burke &amp; Herbert or Summit individually, as applicable, prior to the consummation of the merger. Based on the number of shares of Burke &amp; Herbert common stock and Summit common stock outstanding as of the close of business on the respective record dates, and based on the number of shares of Burke &amp; Herbert common stock expected to be issued in the merger, the former Summit shareholders, as a group, are estimated to own approximately 50% of the outstanding shares of the continuing corporation immediately after the merger and current Burke &amp; Herbert shareholders as a group are estimated to own approximately 50% of the outstanding shares of the continuing corporation immediately after the merger. Because of this, our shareholders may have less influence on the management and policies of the continuing corporation than they now have on the management and policies of us.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shares of our common stock in connection with the merger may adversely affect the market price of our common stock.</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payment of the merger consideration, we expect to issue approximately 7,400,527 shares of Burke &amp; Herbert’s common stock to Summit shareholders. The issuance of these new shares of our common stock may result in fluctuations in the market price of our common stock, including a stock price decrease.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shareholders will not have appraisal rights or dissenters’ rights in the merger.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Appraisal rights (also known as dissenters’ rights) are statutory rights that, if applicable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Burke &amp; Herbert shareholders are not entitled under applicable law to appraisal rights in connection with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 could prevent or delay the completion of the merger or otherwise negatively impact our business.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of Burke &amp; Herbert and/or of Summit may file lawsuits against Burke &amp; Herbert, Summit and/or the directors and officers of either company in connection with the merger. One of the conditions to the closing is that no order, injunction or decree issued by any court or governmental entity of competent jurisdiction or other legal restraint preventing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consummation of the merger, the bank merger or any of the other transactions contemplated by the merger agreement be in effect. If any plaintiff were successful in obtaining an injunction prohibiting Burke &amp; Herbert or Summit defendants from completing the merger, the bank merger or any of the other transactions contemplated by the merger agreement, then such injunction may delay or prevent the effectiveness of the merger and could result in significant costs to us, including any cost associated with the indemnification of directors and officers of each company. We may incur costs in connection with the defense or settlement of any shareholder lawsuits filed in connection with the merger. Such litigation could have an adverse effect on the financial condition and results of operations of Burke &amp; Herbert and Summit and could prevent or delay the completion of the merger.</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 Insider Trading Arrangements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02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0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9940" w:type="dxa"/>
            <w:vAlign w:val="bottom"/>
            <w:tcBorders>
              <w:right w:val="single" w:sz="8" w:color="CCEEFF"/>
            </w:tcBorders>
            <w:gridSpan w:val="6"/>
            <w:shd w:val="clear" w:color="auto" w:fill="CCEEFF"/>
          </w:tcPr>
          <w:p>
            <w:pPr>
              <w:spacing w:after="0" w:line="189"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Agreement and Plan of Reorganization between Burke &amp; Herbert Financial Services Corp. and Summit Financial Group, Inc., dated as of</w:t>
              </w:r>
            </w:hyperlink>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82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August 24, 2023 (incorporated by reference to Exhibit 2.1 to the Registrant’s Registration Statement on Form S-4 filed October 2, 2023)</w:t>
              </w:r>
            </w:hyperlink>
          </w:p>
        </w:tc>
        <w:tc>
          <w:tcPr>
            <w:tcW w:w="12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9940" w:type="dxa"/>
            <w:vAlign w:val="bottom"/>
            <w:gridSpan w:val="6"/>
          </w:tcPr>
          <w:p>
            <w:pPr>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4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9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4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9940" w:type="dxa"/>
            <w:vAlign w:val="bottom"/>
            <w:gridSpan w:val="6"/>
          </w:tcPr>
          <w:p>
            <w:pPr>
              <w:spacing w:after="0" w:line="189" w:lineRule="exact"/>
              <w:rPr>
                <w:sz w:val="20"/>
                <w:szCs w:val="20"/>
                <w:color w:val="auto"/>
              </w:rPr>
            </w:pPr>
            <w:r>
              <w:rPr>
                <w:rFonts w:ascii="Arial" w:cs="Arial" w:eastAsia="Arial" w:hAnsi="Arial"/>
                <w:sz w:val="18"/>
                <w:szCs w:val="18"/>
                <w:color w:val="0000FF"/>
                <w:w w:val="92"/>
              </w:rPr>
              <w:t>Certification of Chief Executive Officer and Chief Financial Officer Pursuant to 18 U.S.C. Section 1350, as adopted pursuant to Section</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906 of the Sarbanes-Oxley Act of 2002</w:t>
            </w:r>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8"/>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20" w:type="dxa"/>
            <w:vAlign w:val="bottom"/>
            <w:tcBorders>
              <w:top w:val="single" w:sz="8" w:color="0000FF"/>
            </w:tcBorders>
          </w:tcPr>
          <w:p>
            <w:pPr>
              <w:spacing w:after="0"/>
              <w:rPr>
                <w:sz w:val="24"/>
                <w:szCs w:val="24"/>
                <w:color w:val="auto"/>
              </w:rPr>
            </w:pPr>
          </w:p>
        </w:tc>
        <w:tc>
          <w:tcPr>
            <w:tcW w:w="4320" w:type="dxa"/>
            <w:vAlign w:val="bottom"/>
          </w:tcPr>
          <w:p>
            <w:pPr>
              <w:jc w:val="right"/>
              <w:ind w:right="255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David P. Boyle</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Roy E. Halyama</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right="20" w:hanging="332"/>
        <w:spacing w:after="0" w:line="26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70" w:val="left"/>
        </w:tabs>
        <w:numPr>
          <w:ilvl w:val="2"/>
          <w:numId w:val="2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60" w:hanging="304"/>
        <w:spacing w:after="0"/>
        <w:tabs>
          <w:tab w:leader="none" w:pos="960" w:val="left"/>
        </w:tabs>
        <w:numPr>
          <w:ilvl w:val="2"/>
          <w:numId w:val="2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4" w:val="left"/>
        </w:tabs>
        <w:numPr>
          <w:ilvl w:val="2"/>
          <w:numId w:val="2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69"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November 9, 2023</w:t>
      </w:r>
    </w:p>
    <w:p>
      <w:pPr>
        <w:ind w:left="4540"/>
        <w:spacing w:after="0" w:line="197" w:lineRule="auto"/>
        <w:rPr>
          <w:sz w:val="20"/>
          <w:szCs w:val="20"/>
          <w:color w:val="auto"/>
        </w:rPr>
      </w:pPr>
      <w:r>
        <w:rPr>
          <w:rFonts w:ascii="Arial" w:cs="Arial" w:eastAsia="Arial" w:hAnsi="Arial"/>
          <w:sz w:val="20"/>
          <w:szCs w:val="20"/>
          <w:color w:val="auto"/>
        </w:rPr>
        <w:t>/s/ David P. Boyle</w:t>
      </w:r>
    </w:p>
    <w:p>
      <w:pPr>
        <w:ind w:left="4540"/>
        <w:spacing w:after="0" w:line="211" w:lineRule="auto"/>
        <w:rPr>
          <w:sz w:val="20"/>
          <w:szCs w:val="20"/>
          <w:color w:val="auto"/>
        </w:rPr>
      </w:pPr>
      <w:r>
        <w:rPr>
          <w:rFonts w:ascii="Arial" w:cs="Arial" w:eastAsia="Arial" w:hAnsi="Arial"/>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157842105v1</w:t>
      </w:r>
    </w:p>
    <w:p>
      <w:pPr>
        <w:sectPr>
          <w:pgSz w:w="11900" w:h="16838" w:orient="portrait"/>
          <w:cols w:equalWidth="0" w:num="1">
            <w:col w:w="11240"/>
          </w:cols>
          <w:pgMar w:left="320" w:top="994"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right="20" w:hanging="332"/>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70" w:val="left"/>
        </w:tabs>
        <w:numPr>
          <w:ilvl w:val="2"/>
          <w:numId w:val="2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60" w:hanging="304"/>
        <w:spacing w:after="0"/>
        <w:tabs>
          <w:tab w:leader="none" w:pos="960" w:val="left"/>
        </w:tabs>
        <w:numPr>
          <w:ilvl w:val="2"/>
          <w:numId w:val="28"/>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4" w:val="left"/>
        </w:tabs>
        <w:numPr>
          <w:ilvl w:val="2"/>
          <w:numId w:val="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69"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November 9, 2023</w:t>
      </w:r>
    </w:p>
    <w:p>
      <w:pPr>
        <w:ind w:left="4540"/>
        <w:spacing w:after="0" w:line="197" w:lineRule="auto"/>
        <w:rPr>
          <w:sz w:val="20"/>
          <w:szCs w:val="20"/>
          <w:color w:val="auto"/>
        </w:rPr>
      </w:pPr>
      <w:r>
        <w:rPr>
          <w:rFonts w:ascii="Arial" w:cs="Arial" w:eastAsia="Arial" w:hAnsi="Arial"/>
          <w:sz w:val="20"/>
          <w:szCs w:val="20"/>
          <w:color w:val="auto"/>
        </w:rPr>
        <w:t>/s/ Roy E. Halyama</w:t>
      </w:r>
    </w:p>
    <w:p>
      <w:pPr>
        <w:ind w:left="4540"/>
        <w:spacing w:after="0" w:line="211" w:lineRule="auto"/>
        <w:rPr>
          <w:sz w:val="20"/>
          <w:szCs w:val="20"/>
          <w:color w:val="auto"/>
        </w:rPr>
      </w:pPr>
      <w:r>
        <w:rPr>
          <w:rFonts w:ascii="Arial" w:cs="Arial" w:eastAsia="Arial" w:hAnsi="Arial"/>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3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10934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157842164v1</w:t>
      </w:r>
    </w:p>
    <w:p>
      <w:pPr>
        <w:sectPr>
          <w:pgSz w:w="11900" w:h="16838" w:orient="portrait"/>
          <w:cols w:equalWidth="0" w:num="1">
            <w:col w:w="11240"/>
          </w:cols>
          <w:pgMar w:left="320" w:top="994"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6"/>
          <w:szCs w:val="16"/>
          <w:b w:val="1"/>
          <w:bCs w:val="1"/>
          <w:color w:val="auto"/>
        </w:rPr>
        <w:t>CERTIFICATION OF PRINCIPAL EXECUTIVE OFFICER AND PRINCIPAL FINANCIAL OFFICER</w:t>
      </w:r>
    </w:p>
    <w:p>
      <w:pPr>
        <w:jc w:val="center"/>
        <w:ind w:right="-19"/>
        <w:spacing w:after="0"/>
        <w:rPr>
          <w:sz w:val="20"/>
          <w:szCs w:val="20"/>
          <w:color w:val="auto"/>
        </w:rPr>
      </w:pPr>
      <w:r>
        <w:rPr>
          <w:rFonts w:ascii="Arial" w:cs="Arial" w:eastAsia="Arial" w:hAnsi="Arial"/>
          <w:sz w:val="16"/>
          <w:szCs w:val="16"/>
          <w:b w:val="1"/>
          <w:bCs w:val="1"/>
          <w:color w:val="auto"/>
        </w:rPr>
        <w:t>PURSUANT TO SECTION 906</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In connection with the Quarterly Report on Form 10-Q of Burke &amp; Herbert Financial Services Corp. (the “Company”) for the period ended September 30, 2023,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20" w:lineRule="exact"/>
        <w:rPr>
          <w:sz w:val="20"/>
          <w:szCs w:val="20"/>
          <w:color w:val="auto"/>
        </w:rPr>
      </w:pPr>
    </w:p>
    <w:p>
      <w:pPr>
        <w:ind w:left="1600" w:hanging="791"/>
        <w:spacing w:after="0"/>
        <w:tabs>
          <w:tab w:leader="none" w:pos="1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 w:lineRule="exact"/>
        <w:rPr>
          <w:rFonts w:ascii="Arial" w:cs="Arial" w:eastAsia="Arial" w:hAnsi="Arial"/>
          <w:sz w:val="16"/>
          <w:szCs w:val="16"/>
          <w:color w:val="auto"/>
        </w:rPr>
      </w:pPr>
    </w:p>
    <w:p>
      <w:pPr>
        <w:ind w:left="1600" w:hanging="791"/>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4"/>
          <w:szCs w:val="14"/>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9, 2023</w:t>
      </w:r>
      <w:r>
        <w:rPr>
          <w:sz w:val="20"/>
          <w:szCs w:val="20"/>
          <w:color w:val="auto"/>
        </w:rPr>
        <w:tab/>
      </w:r>
      <w:r>
        <w:rPr>
          <w:rFonts w:ascii="Arial" w:cs="Arial" w:eastAsia="Arial" w:hAnsi="Arial"/>
          <w:sz w:val="14"/>
          <w:szCs w:val="14"/>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157842178v1</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amp;"/>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amp;"/>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7">
    <w:nsid w:val="836C40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14" Type="http://schemas.openxmlformats.org/officeDocument/2006/relationships/hyperlink" Target="https://www.sec.gov/ix?doc=/Archives/edgar/data/1964333/000162828023033325/bhrb-20230929.htm#i00f4b8bdfca949b68ea6b35e7fd34430_7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2023-11-09T07:45:45Z</dcterms:created>
  <dcterms:modified xsi:type="dcterms:W3CDTF">2023-11-09T07:45:45Z</dcterms:modified>
</cp:coreProperties>
</file>