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861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86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Hinson Samuel Laing III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 SOUTH FAIRFAX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22314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460" w:type="dxa"/>
            <w:vAlign w:val="bottom"/>
            <w:gridSpan w:val="7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8"/>
                </w:rPr>
                <w:t xml:space="preserve">Burke &amp; Herbert Financial Services Corp.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BHRB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98"/>
              </w:rPr>
              <w:t>]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1. Title of Security (Instr. 4)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right"/>
        <w:ind w:right="328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1750" cy="1962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19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 xml:space="preserve"> Common Stock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3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Common Stock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Common Stock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940" w:type="dxa"/>
            <w:vAlign w:val="bottom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940" w:type="dxa"/>
            <w:vAlign w:val="bottom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19,560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40" w:type="dxa"/>
            <w:vAlign w:val="bottom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31,040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Held by S.L. Hinson Associates, LLLP,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affiliated 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40" w:type="dxa"/>
            <w:vAlign w:val="bottom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24,800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Held by Kedge Capital, LLC, an affiliated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180" w:space="720"/>
            <w:col w:w="612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12/31/2026</w:t>
            </w:r>
          </w:p>
        </w:tc>
        <w:tc>
          <w:tcPr>
            <w:tcW w:w="1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Performance-Based 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Performance-Based 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(4)</w:t>
            </w:r>
          </w:p>
        </w:tc>
        <w:tc>
          <w:tcPr>
            <w:tcW w:w="1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Assuming continued service this award will vest on the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unit represents a contingent right to receive one common share or an equivalent amount of cash, or a combination of the two, at the discretion of Burke &amp; Herbert Financial Services Corp.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Assuming continued service and the satisfaction of performance conditions, this award will vest no sooner than December 31, 2024 and no later than December 31,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Assuming continued service and the satisfaction of performance conditions, this award will vest no sooner than January 19, 2026 and no later than January 19, 2028.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Kirtan Parikh, as Attorney-in-Fact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 Samuel L. Hinson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964525" TargetMode="External"/><Relationship Id="rId12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2023-04-21T19:22:08Z</dcterms:created>
  <dcterms:modified xsi:type="dcterms:W3CDTF">2023-04-21T19:22:08Z</dcterms:modified>
</cp:coreProperties>
</file>