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668655</wp:posOffset>
            </wp:positionV>
            <wp:extent cx="710628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0628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694690</wp:posOffset>
            </wp:positionV>
            <wp:extent cx="710628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0628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6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4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FORM 10-Q</w:t>
      </w:r>
    </w:p>
    <w:p>
      <w:pPr>
        <w:spacing w:after="0" w:line="19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218" w:lineRule="exact"/>
        <w:rPr>
          <w:sz w:val="24"/>
          <w:szCs w:val="24"/>
          <w:color w:val="auto"/>
        </w:rPr>
      </w:pPr>
    </w:p>
    <w:p>
      <w:pPr>
        <w:ind w:left="580" w:right="2420" w:hanging="554"/>
        <w:spacing w:after="0" w:line="389" w:lineRule="auto"/>
        <w:tabs>
          <w:tab w:leader="none" w:pos="58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b w:val="1"/>
          <w:bCs w:val="1"/>
          <w:color w:val="auto"/>
        </w:rPr>
        <w:t>QUARTERLY REPORT PURSUANT TO SECTION 13 OR 15(d) OF THE SECURITIES EXCHANGE ACT OF 1934 For the quarterly period ended June 30, 2024</w:t>
      </w:r>
    </w:p>
    <w:p>
      <w:pPr>
        <w:spacing w:after="0" w:line="1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OR</w:t>
      </w:r>
    </w:p>
    <w:p>
      <w:pPr>
        <w:spacing w:after="0" w:line="77" w:lineRule="exact"/>
        <w:rPr>
          <w:sz w:val="24"/>
          <w:szCs w:val="24"/>
          <w:color w:val="auto"/>
        </w:rPr>
      </w:pPr>
    </w:p>
    <w:p>
      <w:pPr>
        <w:ind w:left="580" w:hanging="554"/>
        <w:spacing w:after="0"/>
        <w:tabs>
          <w:tab w:leader="none" w:pos="580" w:val="left"/>
        </w:tabs>
        <w:numPr>
          <w:ilvl w:val="0"/>
          <w:numId w:val="2"/>
        </w:numPr>
        <w:rPr>
          <w:rFonts w:ascii="Wingdings" w:cs="Wingdings" w:eastAsia="Wingdings" w:hAnsi="Wingdings"/>
          <w:sz w:val="16"/>
          <w:szCs w:val="16"/>
          <w:b w:val="1"/>
          <w:bCs w:val="1"/>
          <w:color w:val="auto"/>
        </w:rPr>
      </w:pPr>
      <w:r>
        <w:rPr>
          <w:rFonts w:ascii="Times New Roman" w:cs="Times New Roman" w:eastAsia="Times New Roman" w:hAnsi="Times New Roman"/>
          <w:sz w:val="16"/>
          <w:szCs w:val="16"/>
          <w:b w:val="1"/>
          <w:bCs w:val="1"/>
          <w:color w:val="auto"/>
        </w:rPr>
        <w:t>TRANSITION REPORT PURSUANT TO SECTION 13 OR 15(d) OF THE SECURITIES EXCHANGE ACT OF 1934</w:t>
      </w:r>
    </w:p>
    <w:p>
      <w:pPr>
        <w:spacing w:after="0" w:line="86" w:lineRule="exact"/>
        <w:rPr>
          <w:sz w:val="24"/>
          <w:szCs w:val="24"/>
          <w:color w:val="auto"/>
        </w:rPr>
      </w:pPr>
    </w:p>
    <w:p>
      <w:pPr>
        <w:ind w:left="580"/>
        <w:spacing w:after="0"/>
        <w:tabs>
          <w:tab w:leader="none" w:pos="3620" w:val="left"/>
        </w:tabs>
        <w:rPr>
          <w:sz w:val="20"/>
          <w:szCs w:val="20"/>
          <w:color w:val="auto"/>
        </w:rPr>
      </w:pPr>
      <w:r>
        <w:rPr>
          <w:rFonts w:ascii="Times New Roman" w:cs="Times New Roman" w:eastAsia="Times New Roman" w:hAnsi="Times New Roman"/>
          <w:sz w:val="16"/>
          <w:szCs w:val="16"/>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36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001-41633</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Burke &amp; Herbert Financial Services Corp.</w:t>
      </w:r>
    </w:p>
    <w:p>
      <w:pPr>
        <w:spacing w:after="0" w:line="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(Exact name of registrant as specified in its charter)</w:t>
      </w:r>
    </w:p>
    <w:p>
      <w:pPr>
        <w:spacing w:after="0" w:line="189" w:lineRule="exact"/>
        <w:rPr>
          <w:sz w:val="24"/>
          <w:szCs w:val="24"/>
          <w:color w:val="auto"/>
        </w:rPr>
      </w:pPr>
    </w:p>
    <w:tbl>
      <w:tblPr>
        <w:tblLayout w:type="fixed"/>
        <w:tblInd w:w="0" w:type="dxa"/>
        <w:tblCellMar>
          <w:top w:w="0" w:type="dxa"/>
          <w:left w:w="0" w:type="dxa"/>
          <w:bottom w:w="0" w:type="dxa"/>
          <w:right w:w="0" w:type="dxa"/>
        </w:tblCellMar>
      </w:tblPr>
      <w:tr>
        <w:trPr>
          <w:trHeight w:val="190"/>
        </w:trPr>
        <w:tc>
          <w:tcPr>
            <w:tcW w:w="3940" w:type="dxa"/>
            <w:vAlign w:val="bottom"/>
            <w:gridSpan w:val="2"/>
          </w:tcPr>
          <w:p>
            <w:pPr>
              <w:jc w:val="center"/>
              <w:ind w:left="388"/>
              <w:spacing w:after="0"/>
              <w:rPr>
                <w:sz w:val="20"/>
                <w:szCs w:val="20"/>
                <w:color w:val="auto"/>
              </w:rPr>
            </w:pPr>
            <w:r>
              <w:rPr>
                <w:rFonts w:ascii="Times New Roman" w:cs="Times New Roman" w:eastAsia="Times New Roman" w:hAnsi="Times New Roman"/>
                <w:sz w:val="14"/>
                <w:szCs w:val="14"/>
                <w:b w:val="1"/>
                <w:bCs w:val="1"/>
                <w:color w:val="auto"/>
              </w:rPr>
              <w:t>Virginia</w:t>
            </w:r>
          </w:p>
        </w:tc>
        <w:tc>
          <w:tcPr>
            <w:tcW w:w="3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960" w:type="dxa"/>
            <w:vAlign w:val="bottom"/>
          </w:tcPr>
          <w:p>
            <w:pPr>
              <w:jc w:val="right"/>
              <w:ind w:right="1808"/>
              <w:spacing w:after="0"/>
              <w:rPr>
                <w:sz w:val="20"/>
                <w:szCs w:val="20"/>
                <w:color w:val="auto"/>
              </w:rPr>
            </w:pPr>
            <w:r>
              <w:rPr>
                <w:rFonts w:ascii="Times New Roman" w:cs="Times New Roman" w:eastAsia="Times New Roman" w:hAnsi="Times New Roman"/>
                <w:sz w:val="14"/>
                <w:szCs w:val="14"/>
                <w:b w:val="1"/>
                <w:bCs w:val="1"/>
                <w:color w:val="auto"/>
              </w:rPr>
              <w:t>92-0289417</w:t>
            </w:r>
          </w:p>
        </w:tc>
      </w:tr>
      <w:tr>
        <w:trPr>
          <w:trHeight w:val="203"/>
        </w:trPr>
        <w:tc>
          <w:tcPr>
            <w:tcW w:w="3940" w:type="dxa"/>
            <w:vAlign w:val="bottom"/>
            <w:gridSpan w:val="2"/>
          </w:tcPr>
          <w:p>
            <w:pPr>
              <w:jc w:val="center"/>
              <w:ind w:left="388"/>
              <w:spacing w:after="0"/>
              <w:rPr>
                <w:sz w:val="20"/>
                <w:szCs w:val="20"/>
                <w:color w:val="auto"/>
              </w:rPr>
            </w:pPr>
            <w:r>
              <w:rPr>
                <w:rFonts w:ascii="Times New Roman" w:cs="Times New Roman" w:eastAsia="Times New Roman" w:hAnsi="Times New Roman"/>
                <w:sz w:val="14"/>
                <w:szCs w:val="14"/>
                <w:color w:val="auto"/>
              </w:rPr>
              <w:t>(State or other jurisdiction of incorporation or organization)</w:t>
            </w:r>
          </w:p>
        </w:tc>
        <w:tc>
          <w:tcPr>
            <w:tcW w:w="3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960" w:type="dxa"/>
            <w:vAlign w:val="bottom"/>
          </w:tcPr>
          <w:p>
            <w:pPr>
              <w:jc w:val="center"/>
              <w:ind w:right="428"/>
              <w:spacing w:after="0"/>
              <w:rPr>
                <w:sz w:val="20"/>
                <w:szCs w:val="20"/>
                <w:color w:val="auto"/>
              </w:rPr>
            </w:pPr>
            <w:r>
              <w:rPr>
                <w:rFonts w:ascii="Times New Roman" w:cs="Times New Roman" w:eastAsia="Times New Roman" w:hAnsi="Times New Roman"/>
                <w:sz w:val="14"/>
                <w:szCs w:val="14"/>
                <w:color w:val="auto"/>
              </w:rPr>
              <w:t>(I.R.S. Employer Identification No.)</w:t>
            </w:r>
          </w:p>
        </w:tc>
      </w:tr>
      <w:tr>
        <w:trPr>
          <w:trHeight w:val="297"/>
        </w:trPr>
        <w:tc>
          <w:tcPr>
            <w:tcW w:w="3940" w:type="dxa"/>
            <w:vAlign w:val="bottom"/>
            <w:gridSpan w:val="2"/>
          </w:tcPr>
          <w:p>
            <w:pPr>
              <w:jc w:val="center"/>
              <w:ind w:left="388"/>
              <w:spacing w:after="0"/>
              <w:rPr>
                <w:sz w:val="20"/>
                <w:szCs w:val="20"/>
                <w:color w:val="auto"/>
              </w:rPr>
            </w:pPr>
            <w:r>
              <w:rPr>
                <w:rFonts w:ascii="Times New Roman" w:cs="Times New Roman" w:eastAsia="Times New Roman" w:hAnsi="Times New Roman"/>
                <w:sz w:val="14"/>
                <w:szCs w:val="14"/>
                <w:b w:val="1"/>
                <w:bCs w:val="1"/>
                <w:color w:val="auto"/>
              </w:rPr>
              <w:t>100 S. Fairfax Street, Alexandria, Virginia</w:t>
            </w:r>
          </w:p>
        </w:tc>
        <w:tc>
          <w:tcPr>
            <w:tcW w:w="3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960" w:type="dxa"/>
            <w:vAlign w:val="bottom"/>
          </w:tcPr>
          <w:p>
            <w:pPr>
              <w:jc w:val="right"/>
              <w:ind w:right="1988"/>
              <w:spacing w:after="0"/>
              <w:rPr>
                <w:sz w:val="20"/>
                <w:szCs w:val="20"/>
                <w:color w:val="auto"/>
              </w:rPr>
            </w:pPr>
            <w:r>
              <w:rPr>
                <w:rFonts w:ascii="Times New Roman" w:cs="Times New Roman" w:eastAsia="Times New Roman" w:hAnsi="Times New Roman"/>
                <w:sz w:val="14"/>
                <w:szCs w:val="14"/>
                <w:b w:val="1"/>
                <w:bCs w:val="1"/>
                <w:color w:val="auto"/>
              </w:rPr>
              <w:t>22314</w:t>
            </w:r>
          </w:p>
        </w:tc>
      </w:tr>
      <w:tr>
        <w:trPr>
          <w:trHeight w:val="203"/>
        </w:trPr>
        <w:tc>
          <w:tcPr>
            <w:tcW w:w="3940" w:type="dxa"/>
            <w:vAlign w:val="bottom"/>
            <w:gridSpan w:val="2"/>
          </w:tcPr>
          <w:p>
            <w:pPr>
              <w:jc w:val="center"/>
              <w:ind w:left="388"/>
              <w:spacing w:after="0"/>
              <w:rPr>
                <w:sz w:val="20"/>
                <w:szCs w:val="20"/>
                <w:color w:val="auto"/>
              </w:rPr>
            </w:pPr>
            <w:r>
              <w:rPr>
                <w:rFonts w:ascii="Times New Roman" w:cs="Times New Roman" w:eastAsia="Times New Roman" w:hAnsi="Times New Roman"/>
                <w:sz w:val="14"/>
                <w:szCs w:val="14"/>
                <w:color w:val="auto"/>
              </w:rPr>
              <w:t>(Address of principal executive offices)</w:t>
            </w:r>
          </w:p>
        </w:tc>
        <w:tc>
          <w:tcPr>
            <w:tcW w:w="3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960" w:type="dxa"/>
            <w:vAlign w:val="bottom"/>
          </w:tcPr>
          <w:p>
            <w:pPr>
              <w:jc w:val="center"/>
              <w:ind w:right="448"/>
              <w:spacing w:after="0"/>
              <w:rPr>
                <w:sz w:val="20"/>
                <w:szCs w:val="20"/>
                <w:color w:val="auto"/>
              </w:rPr>
            </w:pPr>
            <w:r>
              <w:rPr>
                <w:rFonts w:ascii="Times New Roman" w:cs="Times New Roman" w:eastAsia="Times New Roman" w:hAnsi="Times New Roman"/>
                <w:sz w:val="14"/>
                <w:szCs w:val="14"/>
                <w:color w:val="auto"/>
              </w:rPr>
              <w:t>(Zip Code)</w:t>
            </w:r>
          </w:p>
        </w:tc>
      </w:tr>
      <w:tr>
        <w:trPr>
          <w:trHeight w:val="297"/>
        </w:trPr>
        <w:tc>
          <w:tcPr>
            <w:tcW w:w="3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40" w:type="dxa"/>
            <w:vAlign w:val="bottom"/>
          </w:tcPr>
          <w:p>
            <w:pPr>
              <w:jc w:val="right"/>
              <w:ind w:right="1108"/>
              <w:spacing w:after="0"/>
              <w:rPr>
                <w:sz w:val="20"/>
                <w:szCs w:val="20"/>
                <w:color w:val="auto"/>
              </w:rPr>
            </w:pPr>
            <w:r>
              <w:rPr>
                <w:rFonts w:ascii="Times New Roman" w:cs="Times New Roman" w:eastAsia="Times New Roman" w:hAnsi="Times New Roman"/>
                <w:sz w:val="14"/>
                <w:szCs w:val="14"/>
                <w:b w:val="1"/>
                <w:bCs w:val="1"/>
                <w:color w:val="auto"/>
              </w:rPr>
              <w:t>703-666-3555</w:t>
            </w:r>
          </w:p>
        </w:tc>
        <w:tc>
          <w:tcPr>
            <w:tcW w:w="100" w:type="dxa"/>
            <w:vAlign w:val="bottom"/>
          </w:tcPr>
          <w:p>
            <w:pPr>
              <w:spacing w:after="0"/>
              <w:rPr>
                <w:sz w:val="24"/>
                <w:szCs w:val="24"/>
                <w:color w:val="auto"/>
              </w:rPr>
            </w:pPr>
          </w:p>
        </w:tc>
        <w:tc>
          <w:tcPr>
            <w:tcW w:w="3960" w:type="dxa"/>
            <w:vAlign w:val="bottom"/>
          </w:tcPr>
          <w:p>
            <w:pPr>
              <w:spacing w:after="0"/>
              <w:rPr>
                <w:sz w:val="24"/>
                <w:szCs w:val="24"/>
                <w:color w:val="auto"/>
              </w:rPr>
            </w:pPr>
          </w:p>
        </w:tc>
      </w:tr>
      <w:tr>
        <w:trPr>
          <w:trHeight w:val="203"/>
        </w:trPr>
        <w:tc>
          <w:tcPr>
            <w:tcW w:w="3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34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rPr>
              <w:t>Registrant’s telephone number, including area code</w:t>
            </w:r>
          </w:p>
        </w:tc>
        <w:tc>
          <w:tcPr>
            <w:tcW w:w="3960" w:type="dxa"/>
            <w:vAlign w:val="bottom"/>
          </w:tcPr>
          <w:p>
            <w:pPr>
              <w:spacing w:after="0"/>
              <w:rPr>
                <w:sz w:val="17"/>
                <w:szCs w:val="17"/>
                <w:color w:val="auto"/>
              </w:rPr>
            </w:pPr>
          </w:p>
        </w:tc>
      </w:tr>
      <w:tr>
        <w:trPr>
          <w:trHeight w:val="445"/>
        </w:trPr>
        <w:tc>
          <w:tcPr>
            <w:tcW w:w="39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Securities registered pursuant to Section 12(b) of the Act:</w:t>
            </w:r>
          </w:p>
        </w:tc>
        <w:tc>
          <w:tcPr>
            <w:tcW w:w="3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960" w:type="dxa"/>
            <w:vAlign w:val="bottom"/>
          </w:tcPr>
          <w:p>
            <w:pPr>
              <w:spacing w:after="0"/>
              <w:rPr>
                <w:sz w:val="24"/>
                <w:szCs w:val="24"/>
                <w:color w:val="auto"/>
              </w:rPr>
            </w:pPr>
          </w:p>
        </w:tc>
      </w:tr>
      <w:tr>
        <w:trPr>
          <w:trHeight w:val="378"/>
        </w:trPr>
        <w:tc>
          <w:tcPr>
            <w:tcW w:w="39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3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Trading symbol</w:t>
            </w:r>
          </w:p>
        </w:tc>
        <w:tc>
          <w:tcPr>
            <w:tcW w:w="39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Exchange on which registered</w:t>
            </w:r>
          </w:p>
        </w:tc>
      </w:tr>
      <w:tr>
        <w:trPr>
          <w:trHeight w:val="23"/>
        </w:trPr>
        <w:tc>
          <w:tcPr>
            <w:tcW w:w="38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960" w:type="dxa"/>
            <w:vAlign w:val="bottom"/>
            <w:tcBorders>
              <w:bottom w:val="single" w:sz="8" w:color="auto"/>
            </w:tcBorders>
          </w:tcPr>
          <w:p>
            <w:pPr>
              <w:spacing w:after="0"/>
              <w:rPr>
                <w:sz w:val="2"/>
                <w:szCs w:val="2"/>
                <w:color w:val="auto"/>
              </w:rPr>
            </w:pPr>
          </w:p>
        </w:tc>
      </w:tr>
      <w:tr>
        <w:trPr>
          <w:trHeight w:val="184"/>
        </w:trPr>
        <w:tc>
          <w:tcPr>
            <w:tcW w:w="38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Common Stock, par value $0.50 per share</w:t>
            </w:r>
          </w:p>
        </w:tc>
        <w:tc>
          <w:tcPr>
            <w:tcW w:w="80" w:type="dxa"/>
            <w:vAlign w:val="bottom"/>
          </w:tcPr>
          <w:p>
            <w:pPr>
              <w:spacing w:after="0"/>
              <w:rPr>
                <w:sz w:val="15"/>
                <w:szCs w:val="15"/>
                <w:color w:val="auto"/>
              </w:rPr>
            </w:pPr>
          </w:p>
        </w:tc>
        <w:tc>
          <w:tcPr>
            <w:tcW w:w="32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BHRB</w:t>
            </w:r>
          </w:p>
        </w:tc>
        <w:tc>
          <w:tcPr>
            <w:tcW w:w="100" w:type="dxa"/>
            <w:vAlign w:val="bottom"/>
          </w:tcPr>
          <w:p>
            <w:pPr>
              <w:spacing w:after="0"/>
              <w:rPr>
                <w:sz w:val="15"/>
                <w:szCs w:val="15"/>
                <w:color w:val="auto"/>
              </w:rPr>
            </w:pPr>
          </w:p>
        </w:tc>
        <w:tc>
          <w:tcPr>
            <w:tcW w:w="39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The Nasdaq Stock Market LLC</w:t>
            </w:r>
          </w:p>
        </w:tc>
      </w:tr>
    </w:tbl>
    <w:p>
      <w:pPr>
        <w:spacing w:after="0" w:line="233" w:lineRule="exact"/>
        <w:rPr>
          <w:sz w:val="24"/>
          <w:szCs w:val="24"/>
          <w:color w:val="auto"/>
        </w:rPr>
      </w:pPr>
    </w:p>
    <w:p>
      <w:pPr>
        <w:jc w:val="both"/>
        <w:ind w:right="20"/>
        <w:spacing w:after="0" w:line="193"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128" w:lineRule="exact"/>
        <w:rPr>
          <w:sz w:val="24"/>
          <w:szCs w:val="24"/>
          <w:color w:val="auto"/>
        </w:rPr>
      </w:pPr>
    </w:p>
    <w:p>
      <w:pPr>
        <w:jc w:val="both"/>
        <w:spacing w:after="0" w:line="193"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128"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75" w:lineRule="exact"/>
        <w:rPr>
          <w:sz w:val="24"/>
          <w:szCs w:val="24"/>
          <w:color w:val="auto"/>
        </w:rPr>
      </w:pPr>
    </w:p>
    <w:tbl>
      <w:tblPr>
        <w:tblLayout w:type="fixed"/>
        <w:tblInd w:w="20" w:type="dxa"/>
        <w:tblCellMar>
          <w:top w:w="0" w:type="dxa"/>
          <w:left w:w="0" w:type="dxa"/>
          <w:bottom w:w="0" w:type="dxa"/>
          <w:right w:w="0" w:type="dxa"/>
        </w:tblCellMar>
      </w:tblPr>
      <w:tr>
        <w:trPr>
          <w:trHeight w:val="185"/>
        </w:trPr>
        <w:tc>
          <w:tcPr>
            <w:tcW w:w="1760" w:type="dxa"/>
            <w:vAlign w:val="bottom"/>
          </w:tcPr>
          <w:p>
            <w:pPr>
              <w:spacing w:after="0"/>
              <w:rPr>
                <w:sz w:val="20"/>
                <w:szCs w:val="20"/>
                <w:color w:val="auto"/>
              </w:rPr>
            </w:pPr>
            <w:r>
              <w:rPr>
                <w:rFonts w:ascii="Times New Roman" w:cs="Times New Roman" w:eastAsia="Times New Roman" w:hAnsi="Times New Roman"/>
                <w:sz w:val="14"/>
                <w:szCs w:val="14"/>
                <w:color w:val="auto"/>
              </w:rPr>
              <w:t>Large accelerated filer</w:t>
            </w:r>
          </w:p>
        </w:tc>
        <w:tc>
          <w:tcPr>
            <w:tcW w:w="3420" w:type="dxa"/>
            <w:vAlign w:val="bottom"/>
          </w:tcPr>
          <w:p>
            <w:pPr>
              <w:ind w:left="460"/>
              <w:spacing w:after="0"/>
              <w:rPr>
                <w:sz w:val="20"/>
                <w:szCs w:val="20"/>
                <w:color w:val="auto"/>
              </w:rPr>
            </w:pPr>
            <w:r>
              <w:rPr>
                <w:rFonts w:ascii="Wingdings" w:cs="Wingdings" w:eastAsia="Wingdings" w:hAnsi="Wingdings"/>
                <w:sz w:val="14"/>
                <w:szCs w:val="14"/>
                <w:b w:val="1"/>
                <w:bCs w:val="1"/>
                <w:color w:val="auto"/>
              </w:rPr>
              <w:t>o</w:t>
            </w:r>
          </w:p>
        </w:tc>
        <w:tc>
          <w:tcPr>
            <w:tcW w:w="4940" w:type="dxa"/>
            <w:vAlign w:val="bottom"/>
          </w:tcPr>
          <w:p>
            <w:pPr>
              <w:ind w:left="2820"/>
              <w:spacing w:after="0"/>
              <w:rPr>
                <w:sz w:val="20"/>
                <w:szCs w:val="20"/>
                <w:color w:val="auto"/>
              </w:rPr>
            </w:pPr>
            <w:r>
              <w:rPr>
                <w:rFonts w:ascii="Times New Roman" w:cs="Times New Roman" w:eastAsia="Times New Roman" w:hAnsi="Times New Roman"/>
                <w:sz w:val="14"/>
                <w:szCs w:val="14"/>
                <w:color w:val="auto"/>
              </w:rPr>
              <w:t>Accelerated filer</w:t>
            </w:r>
          </w:p>
        </w:tc>
        <w:tc>
          <w:tcPr>
            <w:tcW w:w="680" w:type="dxa"/>
            <w:vAlign w:val="bottom"/>
          </w:tcPr>
          <w:p>
            <w:pPr>
              <w:ind w:left="560"/>
              <w:spacing w:after="0"/>
              <w:rPr>
                <w:sz w:val="20"/>
                <w:szCs w:val="20"/>
                <w:color w:val="auto"/>
              </w:rPr>
            </w:pPr>
            <w:r>
              <w:rPr>
                <w:rFonts w:ascii="Wingdings" w:cs="Wingdings" w:eastAsia="Wingdings" w:hAnsi="Wingdings"/>
                <w:sz w:val="14"/>
                <w:szCs w:val="14"/>
                <w:b w:val="1"/>
                <w:bCs w:val="1"/>
                <w:color w:val="auto"/>
                <w:w w:val="79"/>
              </w:rPr>
              <w:t>o</w:t>
            </w:r>
          </w:p>
        </w:tc>
      </w:tr>
      <w:tr>
        <w:trPr>
          <w:trHeight w:val="229"/>
        </w:trPr>
        <w:tc>
          <w:tcPr>
            <w:tcW w:w="1760" w:type="dxa"/>
            <w:vAlign w:val="bottom"/>
          </w:tcPr>
          <w:p>
            <w:pPr>
              <w:spacing w:after="0"/>
              <w:rPr>
                <w:sz w:val="20"/>
                <w:szCs w:val="20"/>
                <w:color w:val="auto"/>
              </w:rPr>
            </w:pPr>
            <w:r>
              <w:rPr>
                <w:rFonts w:ascii="Times New Roman" w:cs="Times New Roman" w:eastAsia="Times New Roman" w:hAnsi="Times New Roman"/>
                <w:sz w:val="14"/>
                <w:szCs w:val="14"/>
                <w:color w:val="auto"/>
              </w:rPr>
              <w:t>Non-accelerated filer</w:t>
            </w:r>
          </w:p>
        </w:tc>
        <w:tc>
          <w:tcPr>
            <w:tcW w:w="3420" w:type="dxa"/>
            <w:vAlign w:val="bottom"/>
          </w:tcPr>
          <w:p>
            <w:pPr>
              <w:ind w:left="460"/>
              <w:spacing w:after="0" w:line="141" w:lineRule="exact"/>
              <w:rPr>
                <w:sz w:val="20"/>
                <w:szCs w:val="20"/>
                <w:color w:val="auto"/>
              </w:rPr>
            </w:pPr>
            <w:r>
              <w:rPr>
                <w:rFonts w:ascii="MS PGothic" w:cs="MS PGothic" w:eastAsia="MS PGothic" w:hAnsi="MS PGothic"/>
                <w:sz w:val="14"/>
                <w:szCs w:val="14"/>
                <w:color w:val="auto"/>
              </w:rPr>
              <w:t>☒</w:t>
            </w:r>
          </w:p>
        </w:tc>
        <w:tc>
          <w:tcPr>
            <w:tcW w:w="4940" w:type="dxa"/>
            <w:vAlign w:val="bottom"/>
          </w:tcPr>
          <w:p>
            <w:pPr>
              <w:ind w:left="2820"/>
              <w:spacing w:after="0"/>
              <w:rPr>
                <w:sz w:val="20"/>
                <w:szCs w:val="20"/>
                <w:color w:val="auto"/>
              </w:rPr>
            </w:pPr>
            <w:r>
              <w:rPr>
                <w:rFonts w:ascii="Times New Roman" w:cs="Times New Roman" w:eastAsia="Times New Roman" w:hAnsi="Times New Roman"/>
                <w:sz w:val="14"/>
                <w:szCs w:val="14"/>
                <w:color w:val="auto"/>
              </w:rPr>
              <w:t>Smaller reporting company</w:t>
            </w:r>
          </w:p>
        </w:tc>
        <w:tc>
          <w:tcPr>
            <w:tcW w:w="680" w:type="dxa"/>
            <w:vAlign w:val="bottom"/>
          </w:tcPr>
          <w:p>
            <w:pPr>
              <w:ind w:left="560"/>
              <w:spacing w:after="0"/>
              <w:rPr>
                <w:sz w:val="20"/>
                <w:szCs w:val="20"/>
                <w:color w:val="auto"/>
              </w:rPr>
            </w:pPr>
            <w:r>
              <w:rPr>
                <w:rFonts w:ascii="Wingdings" w:cs="Wingdings" w:eastAsia="Wingdings" w:hAnsi="Wingdings"/>
                <w:sz w:val="14"/>
                <w:szCs w:val="14"/>
                <w:b w:val="1"/>
                <w:bCs w:val="1"/>
                <w:color w:val="auto"/>
                <w:w w:val="79"/>
              </w:rPr>
              <w:t>o</w:t>
            </w:r>
          </w:p>
        </w:tc>
      </w:tr>
      <w:tr>
        <w:trPr>
          <w:trHeight w:val="242"/>
        </w:trPr>
        <w:tc>
          <w:tcPr>
            <w:tcW w:w="1760" w:type="dxa"/>
            <w:vAlign w:val="bottom"/>
          </w:tcPr>
          <w:p>
            <w:pPr>
              <w:spacing w:after="0"/>
              <w:rPr>
                <w:sz w:val="21"/>
                <w:szCs w:val="21"/>
                <w:color w:val="auto"/>
              </w:rPr>
            </w:pPr>
          </w:p>
        </w:tc>
        <w:tc>
          <w:tcPr>
            <w:tcW w:w="3420" w:type="dxa"/>
            <w:vAlign w:val="bottom"/>
          </w:tcPr>
          <w:p>
            <w:pPr>
              <w:spacing w:after="0"/>
              <w:rPr>
                <w:sz w:val="21"/>
                <w:szCs w:val="21"/>
                <w:color w:val="auto"/>
              </w:rPr>
            </w:pPr>
          </w:p>
        </w:tc>
        <w:tc>
          <w:tcPr>
            <w:tcW w:w="4940" w:type="dxa"/>
            <w:vAlign w:val="bottom"/>
          </w:tcPr>
          <w:p>
            <w:pPr>
              <w:ind w:left="2820"/>
              <w:spacing w:after="0"/>
              <w:rPr>
                <w:sz w:val="20"/>
                <w:szCs w:val="20"/>
                <w:color w:val="auto"/>
              </w:rPr>
            </w:pPr>
            <w:r>
              <w:rPr>
                <w:rFonts w:ascii="Times New Roman" w:cs="Times New Roman" w:eastAsia="Times New Roman" w:hAnsi="Times New Roman"/>
                <w:sz w:val="14"/>
                <w:szCs w:val="14"/>
                <w:color w:val="auto"/>
              </w:rPr>
              <w:t>Emerging growth company</w:t>
            </w:r>
          </w:p>
        </w:tc>
        <w:tc>
          <w:tcPr>
            <w:tcW w:w="680" w:type="dxa"/>
            <w:vAlign w:val="bottom"/>
          </w:tcPr>
          <w:p>
            <w:pPr>
              <w:ind w:left="560"/>
              <w:spacing w:after="0" w:line="141" w:lineRule="exact"/>
              <w:rPr>
                <w:sz w:val="20"/>
                <w:szCs w:val="20"/>
                <w:color w:val="auto"/>
              </w:rPr>
            </w:pPr>
            <w:r>
              <w:rPr>
                <w:rFonts w:ascii="MS PGothic" w:cs="MS PGothic" w:eastAsia="MS PGothic" w:hAnsi="MS PGothic"/>
                <w:sz w:val="14"/>
                <w:szCs w:val="14"/>
                <w:color w:val="auto"/>
                <w:w w:val="71"/>
              </w:rPr>
              <w:t>☒</w:t>
            </w:r>
          </w:p>
        </w:tc>
      </w:tr>
    </w:tbl>
    <w:p>
      <w:pPr>
        <w:spacing w:after="0" w:line="262" w:lineRule="exact"/>
        <w:rPr>
          <w:sz w:val="24"/>
          <w:szCs w:val="24"/>
          <w:color w:val="auto"/>
        </w:rPr>
      </w:pPr>
    </w:p>
    <w:p>
      <w:pPr>
        <w:spacing w:after="0" w:line="322" w:lineRule="auto"/>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4"/>
          <w:szCs w:val="14"/>
          <w:b w:val="1"/>
          <w:bCs w:val="1"/>
          <w:color w:val="auto"/>
        </w:rPr>
        <w:t>o</w:t>
      </w:r>
    </w:p>
    <w:p>
      <w:pPr>
        <w:spacing w:after="0" w:line="50" w:lineRule="exact"/>
        <w:rPr>
          <w:sz w:val="24"/>
          <w:szCs w:val="24"/>
          <w:color w:val="auto"/>
        </w:rPr>
      </w:pPr>
    </w:p>
    <w:p>
      <w:pPr>
        <w:spacing w:after="0" w:line="161"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208"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As of August 8, 2024, there were 14,944,967 shares of the registrant’s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825500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160655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186690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040" w:type="dxa"/>
            <w:vAlign w:val="bottom"/>
          </w:tcPr>
          <w:p>
            <w:pPr>
              <w:spacing w:after="0"/>
              <w:rPr>
                <w:sz w:val="16"/>
                <w:szCs w:val="16"/>
                <w:color w:val="auto"/>
              </w:rPr>
            </w:pPr>
          </w:p>
        </w:tc>
        <w:tc>
          <w:tcPr>
            <w:tcW w:w="2080" w:type="dxa"/>
            <w:vAlign w:val="bottom"/>
          </w:tcPr>
          <w:p>
            <w:pPr>
              <w:spacing w:after="0"/>
              <w:rPr>
                <w:sz w:val="16"/>
                <w:szCs w:val="16"/>
                <w:color w:val="auto"/>
              </w:rPr>
            </w:pPr>
          </w:p>
        </w:tc>
        <w:tc>
          <w:tcPr>
            <w:tcW w:w="3220" w:type="dxa"/>
            <w:vAlign w:val="bottom"/>
          </w:tcPr>
          <w:p>
            <w:pPr>
              <w:spacing w:after="0"/>
              <w:rPr>
                <w:sz w:val="16"/>
                <w:szCs w:val="16"/>
                <w:color w:val="auto"/>
              </w:rPr>
            </w:pPr>
          </w:p>
        </w:tc>
        <w:tc>
          <w:tcPr>
            <w:tcW w:w="680" w:type="dxa"/>
            <w:vAlign w:val="bottom"/>
            <w:gridSpan w:val="5"/>
          </w:tcPr>
          <w:p>
            <w:pPr>
              <w:ind w:left="180"/>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23"/>
        </w:trPr>
        <w:tc>
          <w:tcPr>
            <w:tcW w:w="2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gridSpan w:val="2"/>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540" w:type="dxa"/>
            <w:vAlign w:val="bottom"/>
            <w:tcBorders>
              <w:bottom w:val="single" w:sz="8" w:color="CCEEFF"/>
            </w:tcBorders>
          </w:tcPr>
          <w:p>
            <w:pPr>
              <w:spacing w:after="0"/>
              <w:rPr>
                <w:sz w:val="2"/>
                <w:szCs w:val="2"/>
                <w:color w:val="auto"/>
              </w:rPr>
            </w:pPr>
          </w:p>
        </w:tc>
        <w:tc>
          <w:tcPr>
            <w:tcW w:w="2040" w:type="dxa"/>
            <w:vAlign w:val="bottom"/>
            <w:tcBorders>
              <w:bottom w:val="single" w:sz="8" w:color="CCEEFF"/>
            </w:tcBorders>
          </w:tcPr>
          <w:p>
            <w:pPr>
              <w:spacing w:after="0"/>
              <w:rPr>
                <w:sz w:val="2"/>
                <w:szCs w:val="2"/>
                <w:color w:val="auto"/>
              </w:rPr>
            </w:pPr>
          </w:p>
        </w:tc>
        <w:tc>
          <w:tcPr>
            <w:tcW w:w="2080" w:type="dxa"/>
            <w:vAlign w:val="bottom"/>
            <w:tcBorders>
              <w:bottom w:val="single" w:sz="8" w:color="CCEEFF"/>
            </w:tcBorders>
          </w:tcPr>
          <w:p>
            <w:pPr>
              <w:spacing w:after="0"/>
              <w:rPr>
                <w:sz w:val="2"/>
                <w:szCs w:val="2"/>
                <w:color w:val="auto"/>
              </w:rPr>
            </w:pPr>
          </w:p>
        </w:tc>
        <w:tc>
          <w:tcPr>
            <w:tcW w:w="32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r>
      <w:tr>
        <w:trPr>
          <w:trHeight w:val="183"/>
        </w:trPr>
        <w:tc>
          <w:tcPr>
            <w:tcW w:w="20" w:type="dxa"/>
            <w:vAlign w:val="bottom"/>
            <w:shd w:val="clear" w:color="auto" w:fill="CCEEFF"/>
          </w:tcPr>
          <w:p>
            <w:pPr>
              <w:spacing w:after="0"/>
              <w:rPr>
                <w:sz w:val="15"/>
                <w:szCs w:val="15"/>
                <w:color w:val="auto"/>
              </w:rPr>
            </w:pPr>
          </w:p>
        </w:tc>
        <w:tc>
          <w:tcPr>
            <w:tcW w:w="2320" w:type="dxa"/>
            <w:vAlign w:val="bottom"/>
            <w:gridSpan w:val="9"/>
            <w:shd w:val="clear" w:color="auto" w:fill="CCEEFF"/>
          </w:tcPr>
          <w:p>
            <w:pPr>
              <w:spacing w:after="0" w:line="182" w:lineRule="exact"/>
              <w:rPr>
                <w:sz w:val="20"/>
                <w:szCs w:val="20"/>
                <w:color w:val="auto"/>
              </w:rPr>
            </w:pPr>
            <w:r>
              <w:rPr>
                <w:rFonts w:ascii="Times New Roman" w:cs="Times New Roman" w:eastAsia="Times New Roman" w:hAnsi="Times New Roman"/>
                <w:sz w:val="18"/>
                <w:szCs w:val="18"/>
                <w:b w:val="1"/>
                <w:bCs w:val="1"/>
                <w:color w:val="0000FF"/>
                <w:w w:val="99"/>
              </w:rPr>
              <w:t>Part I - Financial Information</w:t>
            </w:r>
          </w:p>
        </w:tc>
        <w:tc>
          <w:tcPr>
            <w:tcW w:w="8220" w:type="dxa"/>
            <w:vAlign w:val="bottom"/>
            <w:gridSpan w:val="6"/>
            <w:shd w:val="clear" w:color="auto" w:fill="CCEEFF"/>
          </w:tcPr>
          <w:p>
            <w:pPr>
              <w:spacing w:after="0"/>
              <w:rPr>
                <w:sz w:val="15"/>
                <w:szCs w:val="15"/>
                <w:color w:val="auto"/>
              </w:rPr>
            </w:pPr>
          </w:p>
        </w:tc>
        <w:tc>
          <w:tcPr>
            <w:tcW w:w="420" w:type="dxa"/>
            <w:vAlign w:val="bottom"/>
            <w:gridSpan w:val="4"/>
            <w:shd w:val="clear" w:color="auto" w:fill="CCEEFF"/>
          </w:tcPr>
          <w:p>
            <w:pPr>
              <w:jc w:val="center"/>
              <w:ind w:left="172"/>
              <w:spacing w:after="0" w:line="182" w:lineRule="exact"/>
              <w:rPr>
                <w:sz w:val="20"/>
                <w:szCs w:val="20"/>
                <w:color w:val="auto"/>
              </w:rPr>
            </w:pPr>
            <w:r>
              <w:rPr>
                <w:rFonts w:ascii="Times New Roman" w:cs="Times New Roman" w:eastAsia="Times New Roman" w:hAnsi="Times New Roman"/>
                <w:sz w:val="18"/>
                <w:szCs w:val="18"/>
                <w:color w:val="0000FF"/>
                <w:w w:val="88"/>
              </w:rPr>
              <w:t>1</w:t>
            </w:r>
          </w:p>
        </w:tc>
        <w:tc>
          <w:tcPr>
            <w:tcW w:w="260" w:type="dxa"/>
            <w:vAlign w:val="bottom"/>
            <w:shd w:val="clear" w:color="auto" w:fill="CCEEFF"/>
          </w:tcPr>
          <w:p>
            <w:pPr>
              <w:spacing w:after="0"/>
              <w:rPr>
                <w:sz w:val="15"/>
                <w:szCs w:val="15"/>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0000FF"/>
            </w:tcBorders>
            <w:shd w:val="clear" w:color="auto" w:fill="CCEEFF"/>
          </w:tcPr>
          <w:p>
            <w:pPr>
              <w:spacing w:after="0" w:line="20" w:lineRule="exact"/>
              <w:rPr>
                <w:sz w:val="1"/>
                <w:szCs w:val="1"/>
                <w:color w:val="auto"/>
              </w:rPr>
            </w:pPr>
          </w:p>
        </w:tc>
        <w:tc>
          <w:tcPr>
            <w:tcW w:w="54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400" w:type="dxa"/>
            <w:vAlign w:val="bottom"/>
            <w:tcBorders>
              <w:top w:val="single" w:sz="8" w:color="0000FF"/>
            </w:tcBorders>
            <w:shd w:val="clear" w:color="auto" w:fill="CCEEFF"/>
          </w:tcPr>
          <w:p>
            <w:pPr>
              <w:spacing w:after="0" w:line="20" w:lineRule="exact"/>
              <w:rPr>
                <w:sz w:val="1"/>
                <w:szCs w:val="1"/>
                <w:color w:val="auto"/>
              </w:rPr>
            </w:pPr>
          </w:p>
        </w:tc>
        <w:tc>
          <w:tcPr>
            <w:tcW w:w="44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2040" w:type="dxa"/>
            <w:vAlign w:val="bottom"/>
            <w:tcBorders>
              <w:top w:val="single" w:sz="8" w:color="CCEEFF"/>
            </w:tcBorders>
            <w:shd w:val="clear" w:color="auto" w:fill="CCEEFF"/>
          </w:tcPr>
          <w:p>
            <w:pPr>
              <w:spacing w:after="0" w:line="20" w:lineRule="exact"/>
              <w:rPr>
                <w:sz w:val="1"/>
                <w:szCs w:val="1"/>
                <w:color w:val="auto"/>
              </w:rPr>
            </w:pPr>
          </w:p>
        </w:tc>
        <w:tc>
          <w:tcPr>
            <w:tcW w:w="2080" w:type="dxa"/>
            <w:vAlign w:val="bottom"/>
            <w:tcBorders>
              <w:top w:val="single" w:sz="8" w:color="CCEEFF"/>
            </w:tcBorders>
            <w:shd w:val="clear" w:color="auto" w:fill="CCEEFF"/>
          </w:tcPr>
          <w:p>
            <w:pPr>
              <w:spacing w:after="0" w:line="20" w:lineRule="exact"/>
              <w:rPr>
                <w:sz w:val="1"/>
                <w:szCs w:val="1"/>
                <w:color w:val="auto"/>
              </w:rPr>
            </w:pPr>
          </w:p>
        </w:tc>
        <w:tc>
          <w:tcPr>
            <w:tcW w:w="3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20" w:type="dxa"/>
            <w:vAlign w:val="bottom"/>
            <w:gridSpan w:val="14"/>
          </w:tcPr>
          <w:p>
            <w:pPr>
              <w:ind w:left="20"/>
              <w:spacing w:after="0" w:line="189" w:lineRule="exact"/>
              <w:rPr>
                <w:sz w:val="20"/>
                <w:szCs w:val="20"/>
                <w:color w:val="auto"/>
              </w:rPr>
            </w:pPr>
            <w:r>
              <w:rPr>
                <w:rFonts w:ascii="Times New Roman" w:cs="Times New Roman" w:eastAsia="Times New Roman" w:hAnsi="Times New Roman"/>
                <w:sz w:val="18"/>
                <w:szCs w:val="18"/>
                <w:color w:val="0000FF"/>
              </w:rPr>
              <w:t>Item 1. Financial Statements</w:t>
            </w:r>
          </w:p>
        </w:tc>
        <w:tc>
          <w:tcPr>
            <w:tcW w:w="420" w:type="dxa"/>
            <w:vAlign w:val="bottom"/>
            <w:gridSpan w:val="4"/>
          </w:tcPr>
          <w:p>
            <w:pPr>
              <w:jc w:val="center"/>
              <w:ind w:left="172"/>
              <w:spacing w:after="0" w:line="189" w:lineRule="exact"/>
              <w:rPr>
                <w:sz w:val="20"/>
                <w:szCs w:val="20"/>
                <w:color w:val="auto"/>
              </w:rPr>
            </w:pPr>
            <w:r>
              <w:rPr>
                <w:rFonts w:ascii="Times New Roman" w:cs="Times New Roman" w:eastAsia="Times New Roman" w:hAnsi="Times New Roman"/>
                <w:sz w:val="18"/>
                <w:szCs w:val="18"/>
                <w:color w:val="0000FF"/>
                <w:w w:val="88"/>
              </w:rPr>
              <w:t>1</w:t>
            </w:r>
          </w:p>
        </w:tc>
        <w:tc>
          <w:tcPr>
            <w:tcW w:w="26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20" w:type="dxa"/>
            <w:vAlign w:val="bottom"/>
            <w:gridSpan w:val="14"/>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0000FF"/>
              </w:rPr>
              <w:t>Item 2. Management's Discussion and Analysis of Financial Condition and Results of Operations</w:t>
            </w:r>
          </w:p>
        </w:tc>
        <w:tc>
          <w:tcPr>
            <w:tcW w:w="420" w:type="dxa"/>
            <w:vAlign w:val="bottom"/>
            <w:gridSpan w:val="4"/>
            <w:shd w:val="clear" w:color="auto" w:fill="CCEEFF"/>
          </w:tcPr>
          <w:p>
            <w:pPr>
              <w:jc w:val="center"/>
              <w:ind w:left="152"/>
              <w:spacing w:after="0" w:line="189" w:lineRule="exact"/>
              <w:rPr>
                <w:sz w:val="20"/>
                <w:szCs w:val="20"/>
                <w:color w:val="auto"/>
              </w:rPr>
            </w:pPr>
            <w:r>
              <w:rPr>
                <w:rFonts w:ascii="Times New Roman" w:cs="Times New Roman" w:eastAsia="Times New Roman" w:hAnsi="Times New Roman"/>
                <w:sz w:val="18"/>
                <w:szCs w:val="18"/>
                <w:color w:val="0000FF"/>
                <w:w w:val="99"/>
              </w:rPr>
              <w:t>46</w:t>
            </w:r>
          </w:p>
        </w:tc>
        <w:tc>
          <w:tcPr>
            <w:tcW w:w="260" w:type="dxa"/>
            <w:vAlign w:val="bottom"/>
            <w:shd w:val="clear" w:color="auto" w:fill="CCEEFF"/>
          </w:tcPr>
          <w:p>
            <w:pPr>
              <w:spacing w:after="0"/>
              <w:rPr>
                <w:sz w:val="18"/>
                <w:szCs w:val="18"/>
                <w:color w:val="auto"/>
              </w:rPr>
            </w:pPr>
          </w:p>
        </w:tc>
      </w:tr>
      <w:tr>
        <w:trPr>
          <w:trHeight w:val="189"/>
        </w:trPr>
        <w:tc>
          <w:tcPr>
            <w:tcW w:w="20" w:type="dxa"/>
            <w:vAlign w:val="bottom"/>
            <w:tcBorders>
              <w:top w:val="single" w:sz="8" w:color="CCEEFF"/>
            </w:tcBorders>
          </w:tcPr>
          <w:p>
            <w:pPr>
              <w:spacing w:after="0"/>
              <w:rPr>
                <w:sz w:val="16"/>
                <w:szCs w:val="16"/>
                <w:color w:val="auto"/>
              </w:rPr>
            </w:pPr>
          </w:p>
        </w:tc>
        <w:tc>
          <w:tcPr>
            <w:tcW w:w="320" w:type="dxa"/>
            <w:vAlign w:val="bottom"/>
            <w:tcBorders>
              <w:top w:val="single" w:sz="8" w:color="CCEEFF"/>
            </w:tcBorders>
          </w:tcPr>
          <w:p>
            <w:pPr>
              <w:spacing w:after="0"/>
              <w:rPr>
                <w:sz w:val="16"/>
                <w:szCs w:val="16"/>
                <w:color w:val="auto"/>
              </w:rPr>
            </w:pPr>
          </w:p>
        </w:tc>
        <w:tc>
          <w:tcPr>
            <w:tcW w:w="7000" w:type="dxa"/>
            <w:vAlign w:val="bottom"/>
            <w:tcBorders>
              <w:top w:val="single" w:sz="8" w:color="0000FF"/>
            </w:tcBorders>
            <w:gridSpan w:val="13"/>
          </w:tcPr>
          <w:p>
            <w:pPr>
              <w:ind w:left="20"/>
              <w:spacing w:after="0" w:line="189" w:lineRule="exact"/>
              <w:rPr>
                <w:sz w:val="20"/>
                <w:szCs w:val="20"/>
                <w:color w:val="auto"/>
              </w:rPr>
            </w:pPr>
            <w:r>
              <w:rPr>
                <w:rFonts w:ascii="Times New Roman" w:cs="Times New Roman" w:eastAsia="Times New Roman" w:hAnsi="Times New Roman"/>
                <w:sz w:val="18"/>
                <w:szCs w:val="18"/>
                <w:color w:val="0000FF"/>
              </w:rPr>
              <w:t>Item 3. Quantitative and Qualitative Disclosures About Market Risk</w:t>
            </w:r>
          </w:p>
        </w:tc>
        <w:tc>
          <w:tcPr>
            <w:tcW w:w="3220" w:type="dxa"/>
            <w:vAlign w:val="bottom"/>
            <w:tcBorders>
              <w:top w:val="single" w:sz="8" w:color="CCEEFF"/>
            </w:tcBorders>
          </w:tcPr>
          <w:p>
            <w:pPr>
              <w:spacing w:after="0"/>
              <w:rPr>
                <w:sz w:val="16"/>
                <w:szCs w:val="16"/>
                <w:color w:val="auto"/>
              </w:rPr>
            </w:pPr>
          </w:p>
        </w:tc>
        <w:tc>
          <w:tcPr>
            <w:tcW w:w="240" w:type="dxa"/>
            <w:vAlign w:val="bottom"/>
            <w:tcBorders>
              <w:top w:val="single" w:sz="8" w:color="CCEEFF"/>
            </w:tcBorders>
          </w:tcPr>
          <w:p>
            <w:pPr>
              <w:spacing w:after="0"/>
              <w:rPr>
                <w:sz w:val="16"/>
                <w:szCs w:val="16"/>
                <w:color w:val="auto"/>
              </w:rPr>
            </w:pPr>
          </w:p>
        </w:tc>
        <w:tc>
          <w:tcPr>
            <w:tcW w:w="180" w:type="dxa"/>
            <w:vAlign w:val="bottom"/>
            <w:tcBorders>
              <w:top w:val="single" w:sz="8" w:color="0000FF"/>
            </w:tcBorders>
            <w:gridSpan w:val="3"/>
          </w:tcPr>
          <w:p>
            <w:pPr>
              <w:jc w:val="center"/>
              <w:spacing w:after="0" w:line="189" w:lineRule="exact"/>
              <w:rPr>
                <w:sz w:val="20"/>
                <w:szCs w:val="20"/>
                <w:color w:val="auto"/>
              </w:rPr>
            </w:pPr>
            <w:r>
              <w:rPr>
                <w:rFonts w:ascii="Times New Roman" w:cs="Times New Roman" w:eastAsia="Times New Roman" w:hAnsi="Times New Roman"/>
                <w:sz w:val="18"/>
                <w:szCs w:val="18"/>
                <w:color w:val="0000FF"/>
                <w:w w:val="99"/>
              </w:rPr>
              <w:t>77</w:t>
            </w:r>
          </w:p>
        </w:tc>
        <w:tc>
          <w:tcPr>
            <w:tcW w:w="260" w:type="dxa"/>
            <w:vAlign w:val="bottom"/>
            <w:tcBorders>
              <w:top w:val="single" w:sz="8" w:color="CCEEFF"/>
            </w:tcBorders>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540" w:type="dxa"/>
            <w:vAlign w:val="bottom"/>
            <w:tcBorders>
              <w:top w:val="single" w:sz="8" w:color="0000FF"/>
            </w:tcBorders>
          </w:tcPr>
          <w:p>
            <w:pPr>
              <w:spacing w:after="0" w:line="20" w:lineRule="exact"/>
              <w:rPr>
                <w:sz w:val="1"/>
                <w:szCs w:val="1"/>
                <w:color w:val="auto"/>
              </w:rPr>
            </w:pPr>
          </w:p>
        </w:tc>
        <w:tc>
          <w:tcPr>
            <w:tcW w:w="2040" w:type="dxa"/>
            <w:vAlign w:val="bottom"/>
            <w:tcBorders>
              <w:top w:val="single" w:sz="8" w:color="0000FF"/>
            </w:tcBorders>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20" w:type="dxa"/>
            <w:vAlign w:val="bottom"/>
            <w:gridSpan w:val="14"/>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0000FF"/>
              </w:rPr>
              <w:t>Item 4. Controls and Procedures</w:t>
            </w:r>
          </w:p>
        </w:tc>
        <w:tc>
          <w:tcPr>
            <w:tcW w:w="420" w:type="dxa"/>
            <w:vAlign w:val="bottom"/>
            <w:gridSpan w:val="4"/>
            <w:shd w:val="clear" w:color="auto" w:fill="CCEEFF"/>
          </w:tcPr>
          <w:p>
            <w:pPr>
              <w:jc w:val="center"/>
              <w:ind w:left="152"/>
              <w:spacing w:after="0" w:line="189" w:lineRule="exact"/>
              <w:rPr>
                <w:sz w:val="20"/>
                <w:szCs w:val="20"/>
                <w:color w:val="auto"/>
              </w:rPr>
            </w:pPr>
            <w:r>
              <w:rPr>
                <w:rFonts w:ascii="Times New Roman" w:cs="Times New Roman" w:eastAsia="Times New Roman" w:hAnsi="Times New Roman"/>
                <w:sz w:val="18"/>
                <w:szCs w:val="18"/>
                <w:color w:val="0000FF"/>
                <w:w w:val="99"/>
              </w:rPr>
              <w:t>79</w:t>
            </w:r>
          </w:p>
        </w:tc>
        <w:tc>
          <w:tcPr>
            <w:tcW w:w="260" w:type="dxa"/>
            <w:vAlign w:val="bottom"/>
            <w:shd w:val="clear" w:color="auto" w:fill="CCEEFF"/>
          </w:tcPr>
          <w:p>
            <w:pPr>
              <w:spacing w:after="0"/>
              <w:rPr>
                <w:sz w:val="18"/>
                <w:szCs w:val="18"/>
                <w:color w:val="auto"/>
              </w:rPr>
            </w:pPr>
          </w:p>
        </w:tc>
      </w:tr>
      <w:tr>
        <w:trPr>
          <w:trHeight w:val="270"/>
        </w:trPr>
        <w:tc>
          <w:tcPr>
            <w:tcW w:w="20" w:type="dxa"/>
            <w:vAlign w:val="bottom"/>
            <w:tcBorders>
              <w:top w:val="single" w:sz="8" w:color="CCEEFF"/>
            </w:tcBorders>
          </w:tcPr>
          <w:p>
            <w:pPr>
              <w:spacing w:after="0"/>
              <w:rPr>
                <w:sz w:val="23"/>
                <w:szCs w:val="23"/>
                <w:color w:val="auto"/>
              </w:rPr>
            </w:pPr>
          </w:p>
        </w:tc>
        <w:tc>
          <w:tcPr>
            <w:tcW w:w="320" w:type="dxa"/>
            <w:vAlign w:val="bottom"/>
            <w:tcBorders>
              <w:top w:val="single" w:sz="8" w:color="CCEEFF"/>
            </w:tcBorders>
          </w:tcPr>
          <w:p>
            <w:pPr>
              <w:spacing w:after="0"/>
              <w:rPr>
                <w:sz w:val="23"/>
                <w:szCs w:val="23"/>
                <w:color w:val="auto"/>
              </w:rPr>
            </w:pPr>
          </w:p>
        </w:tc>
        <w:tc>
          <w:tcPr>
            <w:tcW w:w="760" w:type="dxa"/>
            <w:vAlign w:val="bottom"/>
            <w:tcBorders>
              <w:top w:val="single" w:sz="8" w:color="0000FF"/>
            </w:tcBorders>
            <w:gridSpan w:val="2"/>
          </w:tcPr>
          <w:p>
            <w:pPr>
              <w:spacing w:after="0"/>
              <w:rPr>
                <w:sz w:val="23"/>
                <w:szCs w:val="23"/>
                <w:color w:val="auto"/>
              </w:rPr>
            </w:pPr>
          </w:p>
        </w:tc>
        <w:tc>
          <w:tcPr>
            <w:tcW w:w="400" w:type="dxa"/>
            <w:vAlign w:val="bottom"/>
            <w:tcBorders>
              <w:top w:val="single" w:sz="8" w:color="0000FF"/>
            </w:tcBorders>
          </w:tcPr>
          <w:p>
            <w:pPr>
              <w:spacing w:after="0"/>
              <w:rPr>
                <w:sz w:val="23"/>
                <w:szCs w:val="23"/>
                <w:color w:val="auto"/>
              </w:rPr>
            </w:pPr>
          </w:p>
        </w:tc>
        <w:tc>
          <w:tcPr>
            <w:tcW w:w="440" w:type="dxa"/>
            <w:vAlign w:val="bottom"/>
            <w:tcBorders>
              <w:top w:val="single" w:sz="8" w:color="0000FF"/>
            </w:tcBorders>
          </w:tcPr>
          <w:p>
            <w:pPr>
              <w:spacing w:after="0"/>
              <w:rPr>
                <w:sz w:val="23"/>
                <w:szCs w:val="23"/>
                <w:color w:val="auto"/>
              </w:rPr>
            </w:pPr>
          </w:p>
        </w:tc>
        <w:tc>
          <w:tcPr>
            <w:tcW w:w="200" w:type="dxa"/>
            <w:vAlign w:val="bottom"/>
            <w:tcBorders>
              <w:top w:val="single" w:sz="8" w:color="0000FF"/>
            </w:tcBorders>
          </w:tcPr>
          <w:p>
            <w:pPr>
              <w:spacing w:after="0"/>
              <w:rPr>
                <w:sz w:val="23"/>
                <w:szCs w:val="23"/>
                <w:color w:val="auto"/>
              </w:rPr>
            </w:pPr>
          </w:p>
        </w:tc>
        <w:tc>
          <w:tcPr>
            <w:tcW w:w="8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60" w:type="dxa"/>
            <w:vAlign w:val="bottom"/>
            <w:tcBorders>
              <w:top w:val="single" w:sz="8" w:color="0000FF"/>
            </w:tcBorders>
          </w:tcPr>
          <w:p>
            <w:pPr>
              <w:spacing w:after="0"/>
              <w:rPr>
                <w:sz w:val="23"/>
                <w:szCs w:val="23"/>
                <w:color w:val="auto"/>
              </w:rPr>
            </w:pPr>
          </w:p>
        </w:tc>
        <w:tc>
          <w:tcPr>
            <w:tcW w:w="280" w:type="dxa"/>
            <w:vAlign w:val="bottom"/>
            <w:tcBorders>
              <w:top w:val="single" w:sz="8" w:color="0000FF"/>
            </w:tcBorders>
          </w:tcPr>
          <w:p>
            <w:pPr>
              <w:spacing w:after="0"/>
              <w:rPr>
                <w:sz w:val="23"/>
                <w:szCs w:val="23"/>
                <w:color w:val="auto"/>
              </w:rPr>
            </w:pPr>
          </w:p>
        </w:tc>
        <w:tc>
          <w:tcPr>
            <w:tcW w:w="540" w:type="dxa"/>
            <w:vAlign w:val="bottom"/>
            <w:tcBorders>
              <w:top w:val="single" w:sz="8" w:color="CCEEFF"/>
            </w:tcBorders>
          </w:tcPr>
          <w:p>
            <w:pPr>
              <w:spacing w:after="0"/>
              <w:rPr>
                <w:sz w:val="23"/>
                <w:szCs w:val="23"/>
                <w:color w:val="auto"/>
              </w:rPr>
            </w:pPr>
          </w:p>
        </w:tc>
        <w:tc>
          <w:tcPr>
            <w:tcW w:w="2040" w:type="dxa"/>
            <w:vAlign w:val="bottom"/>
            <w:tcBorders>
              <w:top w:val="single" w:sz="8" w:color="CCEEFF"/>
            </w:tcBorders>
          </w:tcPr>
          <w:p>
            <w:pPr>
              <w:spacing w:after="0"/>
              <w:rPr>
                <w:sz w:val="23"/>
                <w:szCs w:val="23"/>
                <w:color w:val="auto"/>
              </w:rPr>
            </w:pPr>
          </w:p>
        </w:tc>
        <w:tc>
          <w:tcPr>
            <w:tcW w:w="2080" w:type="dxa"/>
            <w:vAlign w:val="bottom"/>
            <w:tcBorders>
              <w:top w:val="single" w:sz="8" w:color="CCEEFF"/>
            </w:tcBorders>
          </w:tcPr>
          <w:p>
            <w:pPr>
              <w:spacing w:after="0"/>
              <w:rPr>
                <w:sz w:val="23"/>
                <w:szCs w:val="23"/>
                <w:color w:val="auto"/>
              </w:rPr>
            </w:pPr>
          </w:p>
        </w:tc>
        <w:tc>
          <w:tcPr>
            <w:tcW w:w="3220" w:type="dxa"/>
            <w:vAlign w:val="bottom"/>
            <w:tcBorders>
              <w:top w:val="single" w:sz="8" w:color="CCEEFF"/>
            </w:tcBorders>
          </w:tcPr>
          <w:p>
            <w:pPr>
              <w:spacing w:after="0"/>
              <w:rPr>
                <w:sz w:val="23"/>
                <w:szCs w:val="23"/>
                <w:color w:val="auto"/>
              </w:rPr>
            </w:pPr>
          </w:p>
        </w:tc>
        <w:tc>
          <w:tcPr>
            <w:tcW w:w="240" w:type="dxa"/>
            <w:vAlign w:val="bottom"/>
            <w:tcBorders>
              <w:top w:val="single" w:sz="8" w:color="CCEEFF"/>
            </w:tcBorders>
          </w:tcPr>
          <w:p>
            <w:pPr>
              <w:spacing w:after="0"/>
              <w:rPr>
                <w:sz w:val="23"/>
                <w:szCs w:val="23"/>
                <w:color w:val="auto"/>
              </w:rPr>
            </w:pPr>
          </w:p>
        </w:tc>
        <w:tc>
          <w:tcPr>
            <w:tcW w:w="60" w:type="dxa"/>
            <w:vAlign w:val="bottom"/>
            <w:tcBorders>
              <w:top w:val="single" w:sz="8" w:color="0000FF"/>
            </w:tcBorders>
          </w:tcPr>
          <w:p>
            <w:pPr>
              <w:spacing w:after="0"/>
              <w:rPr>
                <w:sz w:val="23"/>
                <w:szCs w:val="23"/>
                <w:color w:val="auto"/>
              </w:rPr>
            </w:pPr>
          </w:p>
        </w:tc>
        <w:tc>
          <w:tcPr>
            <w:tcW w:w="80" w:type="dxa"/>
            <w:vAlign w:val="bottom"/>
            <w:tcBorders>
              <w:top w:val="single" w:sz="8" w:color="0000FF"/>
            </w:tcBorders>
          </w:tcPr>
          <w:p>
            <w:pPr>
              <w:spacing w:after="0"/>
              <w:rPr>
                <w:sz w:val="23"/>
                <w:szCs w:val="23"/>
                <w:color w:val="auto"/>
              </w:rPr>
            </w:pPr>
          </w:p>
        </w:tc>
        <w:tc>
          <w:tcPr>
            <w:tcW w:w="40" w:type="dxa"/>
            <w:vAlign w:val="bottom"/>
            <w:tcBorders>
              <w:top w:val="single" w:sz="8" w:color="0000FF"/>
            </w:tcBorders>
          </w:tcPr>
          <w:p>
            <w:pPr>
              <w:spacing w:after="0"/>
              <w:rPr>
                <w:sz w:val="23"/>
                <w:szCs w:val="23"/>
                <w:color w:val="auto"/>
              </w:rPr>
            </w:pPr>
          </w:p>
        </w:tc>
        <w:tc>
          <w:tcPr>
            <w:tcW w:w="260" w:type="dxa"/>
            <w:vAlign w:val="bottom"/>
            <w:tcBorders>
              <w:top w:val="single" w:sz="8" w:color="CCEEFF"/>
            </w:tcBorders>
          </w:tcPr>
          <w:p>
            <w:pPr>
              <w:spacing w:after="0"/>
              <w:rPr>
                <w:sz w:val="23"/>
                <w:szCs w:val="23"/>
                <w:color w:val="auto"/>
              </w:rPr>
            </w:pPr>
          </w:p>
        </w:tc>
      </w:tr>
      <w:tr>
        <w:trPr>
          <w:trHeight w:val="189"/>
        </w:trPr>
        <w:tc>
          <w:tcPr>
            <w:tcW w:w="20" w:type="dxa"/>
            <w:vAlign w:val="bottom"/>
            <w:shd w:val="clear" w:color="auto" w:fill="CCEEFF"/>
          </w:tcPr>
          <w:p>
            <w:pPr>
              <w:spacing w:after="0"/>
              <w:rPr>
                <w:sz w:val="16"/>
                <w:szCs w:val="16"/>
                <w:color w:val="auto"/>
              </w:rPr>
            </w:pPr>
          </w:p>
        </w:tc>
        <w:tc>
          <w:tcPr>
            <w:tcW w:w="10540" w:type="dxa"/>
            <w:vAlign w:val="bottom"/>
            <w:gridSpan w:val="15"/>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0000FF"/>
              </w:rPr>
              <w:t>Part II - Other Information</w:t>
            </w:r>
          </w:p>
        </w:tc>
        <w:tc>
          <w:tcPr>
            <w:tcW w:w="420" w:type="dxa"/>
            <w:vAlign w:val="bottom"/>
            <w:gridSpan w:val="4"/>
            <w:shd w:val="clear" w:color="auto" w:fill="CCEEFF"/>
          </w:tcPr>
          <w:p>
            <w:pPr>
              <w:jc w:val="center"/>
              <w:ind w:left="152"/>
              <w:spacing w:after="0" w:line="189" w:lineRule="exact"/>
              <w:rPr>
                <w:sz w:val="20"/>
                <w:szCs w:val="20"/>
                <w:color w:val="auto"/>
              </w:rPr>
            </w:pPr>
            <w:r>
              <w:rPr>
                <w:rFonts w:ascii="Times New Roman" w:cs="Times New Roman" w:eastAsia="Times New Roman" w:hAnsi="Times New Roman"/>
                <w:sz w:val="18"/>
                <w:szCs w:val="18"/>
                <w:color w:val="0000FF"/>
                <w:w w:val="99"/>
              </w:rPr>
              <w:t>80</w:t>
            </w:r>
          </w:p>
        </w:tc>
        <w:tc>
          <w:tcPr>
            <w:tcW w:w="260" w:type="dxa"/>
            <w:vAlign w:val="bottom"/>
            <w:shd w:val="clear" w:color="auto" w:fill="CCEEFF"/>
          </w:tcPr>
          <w:p>
            <w:pPr>
              <w:spacing w:after="0"/>
              <w:rPr>
                <w:sz w:val="16"/>
                <w:szCs w:val="16"/>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0000FF"/>
            </w:tcBorders>
            <w:shd w:val="clear" w:color="auto" w:fill="CCEEFF"/>
          </w:tcPr>
          <w:p>
            <w:pPr>
              <w:spacing w:after="0" w:line="20" w:lineRule="exact"/>
              <w:rPr>
                <w:sz w:val="1"/>
                <w:szCs w:val="1"/>
                <w:color w:val="auto"/>
              </w:rPr>
            </w:pPr>
          </w:p>
        </w:tc>
        <w:tc>
          <w:tcPr>
            <w:tcW w:w="54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400" w:type="dxa"/>
            <w:vAlign w:val="bottom"/>
            <w:tcBorders>
              <w:top w:val="single" w:sz="8" w:color="0000FF"/>
            </w:tcBorders>
            <w:shd w:val="clear" w:color="auto" w:fill="CCEEFF"/>
          </w:tcPr>
          <w:p>
            <w:pPr>
              <w:spacing w:after="0" w:line="20" w:lineRule="exact"/>
              <w:rPr>
                <w:sz w:val="1"/>
                <w:szCs w:val="1"/>
                <w:color w:val="auto"/>
              </w:rPr>
            </w:pPr>
          </w:p>
        </w:tc>
        <w:tc>
          <w:tcPr>
            <w:tcW w:w="44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2040" w:type="dxa"/>
            <w:vAlign w:val="bottom"/>
            <w:tcBorders>
              <w:top w:val="single" w:sz="8" w:color="CCEEFF"/>
            </w:tcBorders>
            <w:shd w:val="clear" w:color="auto" w:fill="CCEEFF"/>
          </w:tcPr>
          <w:p>
            <w:pPr>
              <w:spacing w:after="0" w:line="20" w:lineRule="exact"/>
              <w:rPr>
                <w:sz w:val="1"/>
                <w:szCs w:val="1"/>
                <w:color w:val="auto"/>
              </w:rPr>
            </w:pPr>
          </w:p>
        </w:tc>
        <w:tc>
          <w:tcPr>
            <w:tcW w:w="2080" w:type="dxa"/>
            <w:vAlign w:val="bottom"/>
            <w:tcBorders>
              <w:top w:val="single" w:sz="8" w:color="CCEEFF"/>
            </w:tcBorders>
            <w:shd w:val="clear" w:color="auto" w:fill="CCEEFF"/>
          </w:tcPr>
          <w:p>
            <w:pPr>
              <w:spacing w:after="0" w:line="20" w:lineRule="exact"/>
              <w:rPr>
                <w:sz w:val="1"/>
                <w:szCs w:val="1"/>
                <w:color w:val="auto"/>
              </w:rPr>
            </w:pPr>
          </w:p>
        </w:tc>
        <w:tc>
          <w:tcPr>
            <w:tcW w:w="3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20" w:type="dxa"/>
            <w:vAlign w:val="bottom"/>
            <w:gridSpan w:val="14"/>
          </w:tcPr>
          <w:p>
            <w:pPr>
              <w:ind w:left="20"/>
              <w:spacing w:after="0" w:line="189" w:lineRule="exact"/>
              <w:rPr>
                <w:sz w:val="20"/>
                <w:szCs w:val="20"/>
                <w:color w:val="auto"/>
              </w:rPr>
            </w:pPr>
            <w:r>
              <w:rPr>
                <w:rFonts w:ascii="Times New Roman" w:cs="Times New Roman" w:eastAsia="Times New Roman" w:hAnsi="Times New Roman"/>
                <w:sz w:val="18"/>
                <w:szCs w:val="18"/>
                <w:color w:val="0000FF"/>
              </w:rPr>
              <w:t>Item 1. Legal Proceedings</w:t>
            </w:r>
          </w:p>
        </w:tc>
        <w:tc>
          <w:tcPr>
            <w:tcW w:w="420" w:type="dxa"/>
            <w:vAlign w:val="bottom"/>
            <w:gridSpan w:val="4"/>
          </w:tcPr>
          <w:p>
            <w:pPr>
              <w:jc w:val="center"/>
              <w:ind w:left="152"/>
              <w:spacing w:after="0" w:line="189" w:lineRule="exact"/>
              <w:rPr>
                <w:sz w:val="20"/>
                <w:szCs w:val="20"/>
                <w:color w:val="auto"/>
              </w:rPr>
            </w:pPr>
            <w:r>
              <w:rPr>
                <w:rFonts w:ascii="Times New Roman" w:cs="Times New Roman" w:eastAsia="Times New Roman" w:hAnsi="Times New Roman"/>
                <w:sz w:val="18"/>
                <w:szCs w:val="18"/>
                <w:color w:val="0000FF"/>
                <w:w w:val="99"/>
              </w:rPr>
              <w:t>80</w:t>
            </w:r>
          </w:p>
        </w:tc>
        <w:tc>
          <w:tcPr>
            <w:tcW w:w="260" w:type="dxa"/>
            <w:vAlign w:val="bottom"/>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209"/>
        </w:trPr>
        <w:tc>
          <w:tcPr>
            <w:tcW w:w="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600" w:type="dxa"/>
            <w:vAlign w:val="bottom"/>
            <w:tcBorders>
              <w:bottom w:val="single" w:sz="8" w:color="0000FF"/>
            </w:tcBorders>
            <w:gridSpan w:val="4"/>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0000FF"/>
                <w:w w:val="98"/>
              </w:rPr>
              <w:t>Item 1A. Risk Factors</w:t>
            </w:r>
          </w:p>
        </w:tc>
        <w:tc>
          <w:tcPr>
            <w:tcW w:w="8620" w:type="dxa"/>
            <w:vAlign w:val="bottom"/>
            <w:tcBorders>
              <w:bottom w:val="single" w:sz="8" w:color="CCEEFF"/>
            </w:tcBorders>
            <w:gridSpan w:val="10"/>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0000FF"/>
            </w:tcBorders>
            <w:gridSpan w:val="3"/>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0000FF"/>
                <w:w w:val="99"/>
              </w:rPr>
              <w:t>80</w:t>
            </w:r>
          </w:p>
        </w:tc>
        <w:tc>
          <w:tcPr>
            <w:tcW w:w="260" w:type="dxa"/>
            <w:vAlign w:val="bottom"/>
            <w:tcBorders>
              <w:bottom w:val="single" w:sz="8" w:color="CCEEFF"/>
            </w:tcBorders>
            <w:shd w:val="clear" w:color="auto" w:fill="CCEEFF"/>
          </w:tcPr>
          <w:p>
            <w:pPr>
              <w:spacing w:after="0"/>
              <w:rPr>
                <w:sz w:val="18"/>
                <w:szCs w:val="18"/>
                <w:color w:val="auto"/>
              </w:rPr>
            </w:pPr>
          </w:p>
        </w:tc>
      </w:tr>
      <w:tr>
        <w:trPr>
          <w:trHeight w:val="189"/>
        </w:trPr>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20" w:type="dxa"/>
            <w:vAlign w:val="bottom"/>
            <w:gridSpan w:val="14"/>
          </w:tcPr>
          <w:p>
            <w:pPr>
              <w:ind w:left="20"/>
              <w:spacing w:after="0" w:line="189" w:lineRule="exact"/>
              <w:rPr>
                <w:sz w:val="20"/>
                <w:szCs w:val="20"/>
                <w:color w:val="auto"/>
              </w:rPr>
            </w:pPr>
            <w:r>
              <w:rPr>
                <w:rFonts w:ascii="Times New Roman" w:cs="Times New Roman" w:eastAsia="Times New Roman" w:hAnsi="Times New Roman"/>
                <w:sz w:val="18"/>
                <w:szCs w:val="18"/>
                <w:color w:val="0000FF"/>
              </w:rPr>
              <w:t>Item 2. Unregistered Sales of Equity Securities and Use of Proceeds</w:t>
            </w:r>
          </w:p>
        </w:tc>
        <w:tc>
          <w:tcPr>
            <w:tcW w:w="420" w:type="dxa"/>
            <w:vAlign w:val="bottom"/>
            <w:gridSpan w:val="4"/>
          </w:tcPr>
          <w:p>
            <w:pPr>
              <w:jc w:val="center"/>
              <w:ind w:left="152"/>
              <w:spacing w:after="0" w:line="189" w:lineRule="exact"/>
              <w:rPr>
                <w:sz w:val="20"/>
                <w:szCs w:val="20"/>
                <w:color w:val="auto"/>
              </w:rPr>
            </w:pPr>
            <w:r>
              <w:rPr>
                <w:rFonts w:ascii="Times New Roman" w:cs="Times New Roman" w:eastAsia="Times New Roman" w:hAnsi="Times New Roman"/>
                <w:sz w:val="18"/>
                <w:szCs w:val="18"/>
                <w:color w:val="0000FF"/>
                <w:w w:val="99"/>
              </w:rPr>
              <w:t>80</w:t>
            </w:r>
          </w:p>
        </w:tc>
        <w:tc>
          <w:tcPr>
            <w:tcW w:w="260" w:type="dxa"/>
            <w:vAlign w:val="bottom"/>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540" w:type="dxa"/>
            <w:vAlign w:val="bottom"/>
            <w:tcBorders>
              <w:top w:val="single" w:sz="8" w:color="0000FF"/>
            </w:tcBorders>
          </w:tcPr>
          <w:p>
            <w:pPr>
              <w:spacing w:after="0" w:line="20" w:lineRule="exact"/>
              <w:rPr>
                <w:sz w:val="1"/>
                <w:szCs w:val="1"/>
                <w:color w:val="auto"/>
              </w:rPr>
            </w:pPr>
          </w:p>
        </w:tc>
        <w:tc>
          <w:tcPr>
            <w:tcW w:w="2040" w:type="dxa"/>
            <w:vAlign w:val="bottom"/>
            <w:tcBorders>
              <w:top w:val="single" w:sz="8" w:color="0000FF"/>
            </w:tcBorders>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4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0000FF"/>
                <w:w w:val="97"/>
              </w:rPr>
              <w:t>Item 3.</w:t>
            </w:r>
          </w:p>
        </w:tc>
        <w:tc>
          <w:tcPr>
            <w:tcW w:w="9680" w:type="dxa"/>
            <w:vAlign w:val="bottom"/>
            <w:gridSpan w:val="13"/>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0000FF"/>
              </w:rPr>
              <w:t>Defaults Upon Senior Securities</w:t>
            </w:r>
          </w:p>
        </w:tc>
        <w:tc>
          <w:tcPr>
            <w:tcW w:w="420" w:type="dxa"/>
            <w:vAlign w:val="bottom"/>
            <w:gridSpan w:val="4"/>
            <w:shd w:val="clear" w:color="auto" w:fill="CCEEFF"/>
          </w:tcPr>
          <w:p>
            <w:pPr>
              <w:jc w:val="center"/>
              <w:ind w:left="152"/>
              <w:spacing w:after="0" w:line="189" w:lineRule="exact"/>
              <w:rPr>
                <w:sz w:val="20"/>
                <w:szCs w:val="20"/>
                <w:color w:val="auto"/>
              </w:rPr>
            </w:pPr>
            <w:r>
              <w:rPr>
                <w:rFonts w:ascii="Times New Roman" w:cs="Times New Roman" w:eastAsia="Times New Roman" w:hAnsi="Times New Roman"/>
                <w:sz w:val="18"/>
                <w:szCs w:val="18"/>
                <w:color w:val="0000FF"/>
                <w:w w:val="99"/>
              </w:rPr>
              <w:t>80</w:t>
            </w:r>
          </w:p>
        </w:tc>
        <w:tc>
          <w:tcPr>
            <w:tcW w:w="260" w:type="dxa"/>
            <w:vAlign w:val="bottom"/>
            <w:shd w:val="clear" w:color="auto" w:fill="CCEEFF"/>
          </w:tcPr>
          <w:p>
            <w:pPr>
              <w:spacing w:after="0"/>
              <w:rPr>
                <w:sz w:val="18"/>
                <w:szCs w:val="18"/>
                <w:color w:val="auto"/>
              </w:rPr>
            </w:pPr>
          </w:p>
        </w:tc>
      </w:tr>
      <w:tr>
        <w:trPr>
          <w:trHeight w:val="189"/>
        </w:trPr>
        <w:tc>
          <w:tcPr>
            <w:tcW w:w="20" w:type="dxa"/>
            <w:vAlign w:val="bottom"/>
            <w:tcBorders>
              <w:top w:val="single" w:sz="8" w:color="CCEEFF"/>
            </w:tcBorders>
          </w:tcPr>
          <w:p>
            <w:pPr>
              <w:spacing w:after="0"/>
              <w:rPr>
                <w:sz w:val="16"/>
                <w:szCs w:val="16"/>
                <w:color w:val="auto"/>
              </w:rPr>
            </w:pPr>
          </w:p>
        </w:tc>
        <w:tc>
          <w:tcPr>
            <w:tcW w:w="320" w:type="dxa"/>
            <w:vAlign w:val="bottom"/>
            <w:tcBorders>
              <w:top w:val="single" w:sz="8" w:color="CCEEFF"/>
            </w:tcBorders>
          </w:tcPr>
          <w:p>
            <w:pPr>
              <w:spacing w:after="0"/>
              <w:rPr>
                <w:sz w:val="16"/>
                <w:szCs w:val="16"/>
                <w:color w:val="auto"/>
              </w:rPr>
            </w:pPr>
          </w:p>
        </w:tc>
        <w:tc>
          <w:tcPr>
            <w:tcW w:w="540" w:type="dxa"/>
            <w:vAlign w:val="bottom"/>
            <w:tcBorders>
              <w:top w:val="single" w:sz="8" w:color="0000FF"/>
            </w:tcBorders>
          </w:tcPr>
          <w:p>
            <w:pPr>
              <w:ind w:left="20"/>
              <w:spacing w:after="0" w:line="189" w:lineRule="exact"/>
              <w:rPr>
                <w:sz w:val="20"/>
                <w:szCs w:val="20"/>
                <w:color w:val="auto"/>
              </w:rPr>
            </w:pPr>
            <w:r>
              <w:rPr>
                <w:rFonts w:ascii="Times New Roman" w:cs="Times New Roman" w:eastAsia="Times New Roman" w:hAnsi="Times New Roman"/>
                <w:sz w:val="18"/>
                <w:szCs w:val="18"/>
                <w:color w:val="0000FF"/>
                <w:w w:val="97"/>
              </w:rPr>
              <w:t>Item 4.</w:t>
            </w:r>
          </w:p>
        </w:tc>
        <w:tc>
          <w:tcPr>
            <w:tcW w:w="2340" w:type="dxa"/>
            <w:vAlign w:val="bottom"/>
            <w:tcBorders>
              <w:top w:val="single" w:sz="8" w:color="0000FF"/>
            </w:tcBorders>
            <w:gridSpan w:val="10"/>
          </w:tcPr>
          <w:p>
            <w:pPr>
              <w:ind w:left="20"/>
              <w:spacing w:after="0" w:line="189" w:lineRule="exact"/>
              <w:rPr>
                <w:sz w:val="20"/>
                <w:szCs w:val="20"/>
                <w:color w:val="auto"/>
              </w:rPr>
            </w:pPr>
            <w:r>
              <w:rPr>
                <w:rFonts w:ascii="Times New Roman" w:cs="Times New Roman" w:eastAsia="Times New Roman" w:hAnsi="Times New Roman"/>
                <w:sz w:val="18"/>
                <w:szCs w:val="18"/>
                <w:color w:val="0000FF"/>
              </w:rPr>
              <w:t>Mine Safety Disclosures</w:t>
            </w:r>
          </w:p>
        </w:tc>
        <w:tc>
          <w:tcPr>
            <w:tcW w:w="7340" w:type="dxa"/>
            <w:vAlign w:val="bottom"/>
            <w:tcBorders>
              <w:top w:val="single" w:sz="8" w:color="CCEEFF"/>
            </w:tcBorders>
            <w:gridSpan w:val="3"/>
          </w:tcPr>
          <w:p>
            <w:pPr>
              <w:spacing w:after="0"/>
              <w:rPr>
                <w:sz w:val="16"/>
                <w:szCs w:val="16"/>
                <w:color w:val="auto"/>
              </w:rPr>
            </w:pPr>
          </w:p>
        </w:tc>
        <w:tc>
          <w:tcPr>
            <w:tcW w:w="240" w:type="dxa"/>
            <w:vAlign w:val="bottom"/>
            <w:tcBorders>
              <w:top w:val="single" w:sz="8" w:color="CCEEFF"/>
            </w:tcBorders>
          </w:tcPr>
          <w:p>
            <w:pPr>
              <w:spacing w:after="0"/>
              <w:rPr>
                <w:sz w:val="16"/>
                <w:szCs w:val="16"/>
                <w:color w:val="auto"/>
              </w:rPr>
            </w:pPr>
          </w:p>
        </w:tc>
        <w:tc>
          <w:tcPr>
            <w:tcW w:w="180" w:type="dxa"/>
            <w:vAlign w:val="bottom"/>
            <w:tcBorders>
              <w:top w:val="single" w:sz="8" w:color="0000FF"/>
            </w:tcBorders>
            <w:gridSpan w:val="3"/>
          </w:tcPr>
          <w:p>
            <w:pPr>
              <w:jc w:val="center"/>
              <w:spacing w:after="0" w:line="189" w:lineRule="exact"/>
              <w:rPr>
                <w:sz w:val="20"/>
                <w:szCs w:val="20"/>
                <w:color w:val="auto"/>
              </w:rPr>
            </w:pPr>
            <w:r>
              <w:rPr>
                <w:rFonts w:ascii="Times New Roman" w:cs="Times New Roman" w:eastAsia="Times New Roman" w:hAnsi="Times New Roman"/>
                <w:sz w:val="18"/>
                <w:szCs w:val="18"/>
                <w:color w:val="0000FF"/>
                <w:w w:val="99"/>
              </w:rPr>
              <w:t>80</w:t>
            </w:r>
          </w:p>
        </w:tc>
        <w:tc>
          <w:tcPr>
            <w:tcW w:w="260" w:type="dxa"/>
            <w:vAlign w:val="bottom"/>
            <w:tcBorders>
              <w:top w:val="single" w:sz="8" w:color="CCEEFF"/>
            </w:tcBorders>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209"/>
        </w:trPr>
        <w:tc>
          <w:tcPr>
            <w:tcW w:w="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0000FF"/>
            </w:tcBorders>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0000FF"/>
                <w:w w:val="97"/>
              </w:rPr>
              <w:t>Item 5.</w:t>
            </w:r>
          </w:p>
        </w:tc>
        <w:tc>
          <w:tcPr>
            <w:tcW w:w="1340" w:type="dxa"/>
            <w:vAlign w:val="bottom"/>
            <w:tcBorders>
              <w:bottom w:val="single" w:sz="8" w:color="0000FF"/>
            </w:tcBorders>
            <w:gridSpan w:val="5"/>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0000FF"/>
                <w:w w:val="98"/>
              </w:rPr>
              <w:t>Other Information</w:t>
            </w:r>
          </w:p>
        </w:tc>
        <w:tc>
          <w:tcPr>
            <w:tcW w:w="8340" w:type="dxa"/>
            <w:vAlign w:val="bottom"/>
            <w:tcBorders>
              <w:bottom w:val="single" w:sz="8" w:color="CCEEFF"/>
            </w:tcBorders>
            <w:gridSpan w:val="8"/>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0000FF"/>
            </w:tcBorders>
            <w:gridSpan w:val="3"/>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0000FF"/>
                <w:w w:val="99"/>
              </w:rPr>
              <w:t>80</w:t>
            </w:r>
          </w:p>
        </w:tc>
        <w:tc>
          <w:tcPr>
            <w:tcW w:w="260" w:type="dxa"/>
            <w:vAlign w:val="bottom"/>
            <w:tcBorders>
              <w:bottom w:val="single" w:sz="8" w:color="CCEEFF"/>
            </w:tcBorders>
            <w:shd w:val="clear" w:color="auto" w:fill="CCEEFF"/>
          </w:tcPr>
          <w:p>
            <w:pPr>
              <w:spacing w:after="0"/>
              <w:rPr>
                <w:sz w:val="18"/>
                <w:szCs w:val="18"/>
                <w:color w:val="auto"/>
              </w:rPr>
            </w:pPr>
          </w:p>
        </w:tc>
      </w:tr>
      <w:tr>
        <w:trPr>
          <w:trHeight w:val="189"/>
        </w:trPr>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4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0000FF"/>
                <w:w w:val="97"/>
              </w:rPr>
              <w:t>Item 6.</w:t>
            </w:r>
          </w:p>
        </w:tc>
        <w:tc>
          <w:tcPr>
            <w:tcW w:w="9680" w:type="dxa"/>
            <w:vAlign w:val="bottom"/>
            <w:gridSpan w:val="13"/>
          </w:tcPr>
          <w:p>
            <w:pPr>
              <w:ind w:left="20"/>
              <w:spacing w:after="0" w:line="189" w:lineRule="exact"/>
              <w:rPr>
                <w:sz w:val="20"/>
                <w:szCs w:val="20"/>
                <w:color w:val="auto"/>
              </w:rPr>
            </w:pPr>
            <w:r>
              <w:rPr>
                <w:rFonts w:ascii="Times New Roman" w:cs="Times New Roman" w:eastAsia="Times New Roman" w:hAnsi="Times New Roman"/>
                <w:sz w:val="18"/>
                <w:szCs w:val="18"/>
                <w:color w:val="0000FF"/>
              </w:rPr>
              <w:t>Exhibits</w:t>
            </w:r>
          </w:p>
        </w:tc>
        <w:tc>
          <w:tcPr>
            <w:tcW w:w="420" w:type="dxa"/>
            <w:vAlign w:val="bottom"/>
            <w:gridSpan w:val="4"/>
          </w:tcPr>
          <w:p>
            <w:pPr>
              <w:jc w:val="center"/>
              <w:ind w:left="152"/>
              <w:spacing w:after="0" w:line="189" w:lineRule="exact"/>
              <w:rPr>
                <w:sz w:val="20"/>
                <w:szCs w:val="20"/>
                <w:color w:val="auto"/>
              </w:rPr>
            </w:pPr>
            <w:r>
              <w:rPr>
                <w:rFonts w:ascii="Times New Roman" w:cs="Times New Roman" w:eastAsia="Times New Roman" w:hAnsi="Times New Roman"/>
                <w:sz w:val="18"/>
                <w:szCs w:val="18"/>
                <w:color w:val="0000FF"/>
                <w:w w:val="99"/>
              </w:rPr>
              <w:t>81</w:t>
            </w:r>
          </w:p>
        </w:tc>
        <w:tc>
          <w:tcPr>
            <w:tcW w:w="26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220" w:type="dxa"/>
            <w:vAlign w:val="bottom"/>
            <w:gridSpan w:val="14"/>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0000FF"/>
              </w:rPr>
              <w:t>Signatures</w:t>
            </w:r>
          </w:p>
        </w:tc>
        <w:tc>
          <w:tcPr>
            <w:tcW w:w="420" w:type="dxa"/>
            <w:vAlign w:val="bottom"/>
            <w:gridSpan w:val="4"/>
            <w:shd w:val="clear" w:color="auto" w:fill="CCEEFF"/>
          </w:tcPr>
          <w:p>
            <w:pPr>
              <w:jc w:val="center"/>
              <w:ind w:left="152"/>
              <w:spacing w:after="0" w:line="189" w:lineRule="exact"/>
              <w:rPr>
                <w:sz w:val="20"/>
                <w:szCs w:val="20"/>
                <w:color w:val="auto"/>
              </w:rPr>
            </w:pPr>
            <w:r>
              <w:rPr>
                <w:rFonts w:ascii="Times New Roman" w:cs="Times New Roman" w:eastAsia="Times New Roman" w:hAnsi="Times New Roman"/>
                <w:sz w:val="18"/>
                <w:szCs w:val="18"/>
                <w:color w:val="0000FF"/>
                <w:w w:val="99"/>
              </w:rPr>
              <w:t>82</w:t>
            </w:r>
          </w:p>
        </w:tc>
        <w:tc>
          <w:tcPr>
            <w:tcW w:w="260" w:type="dxa"/>
            <w:vAlign w:val="bottom"/>
            <w:shd w:val="clear" w:color="auto" w:fill="CCEEFF"/>
          </w:tcPr>
          <w:p>
            <w:pPr>
              <w:spacing w:after="0"/>
              <w:rPr>
                <w:sz w:val="16"/>
                <w:szCs w:val="16"/>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2040" w:type="dxa"/>
            <w:vAlign w:val="bottom"/>
            <w:tcBorders>
              <w:top w:val="single" w:sz="8" w:color="CCEEFF"/>
            </w:tcBorders>
            <w:shd w:val="clear" w:color="auto" w:fill="CCEEFF"/>
          </w:tcPr>
          <w:p>
            <w:pPr>
              <w:spacing w:after="0" w:line="20" w:lineRule="exact"/>
              <w:rPr>
                <w:sz w:val="1"/>
                <w:szCs w:val="1"/>
                <w:color w:val="auto"/>
              </w:rPr>
            </w:pPr>
          </w:p>
        </w:tc>
        <w:tc>
          <w:tcPr>
            <w:tcW w:w="2080" w:type="dxa"/>
            <w:vAlign w:val="bottom"/>
            <w:tcBorders>
              <w:top w:val="single" w:sz="8" w:color="CCEEFF"/>
            </w:tcBorders>
            <w:shd w:val="clear" w:color="auto" w:fill="CCEEFF"/>
          </w:tcPr>
          <w:p>
            <w:pPr>
              <w:spacing w:after="0" w:line="20" w:lineRule="exact"/>
              <w:rPr>
                <w:sz w:val="1"/>
                <w:szCs w:val="1"/>
                <w:color w:val="auto"/>
              </w:rPr>
            </w:pPr>
          </w:p>
        </w:tc>
        <w:tc>
          <w:tcPr>
            <w:tcW w:w="3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171"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Financial Statements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Burke &amp; Herbert Financial Services Corp. Consolidated Financial Statements: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46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23"/>
        </w:trPr>
        <w:tc>
          <w:tcPr>
            <w:tcW w:w="2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3460" w:type="dxa"/>
            <w:vAlign w:val="bottom"/>
            <w:tcBorders>
              <w:bottom w:val="single" w:sz="8" w:color="CCEEFF"/>
            </w:tcBorders>
          </w:tcPr>
          <w:p>
            <w:pPr>
              <w:spacing w:after="0"/>
              <w:rPr>
                <w:sz w:val="2"/>
                <w:szCs w:val="2"/>
                <w:color w:val="auto"/>
              </w:rPr>
            </w:pPr>
          </w:p>
        </w:tc>
        <w:tc>
          <w:tcPr>
            <w:tcW w:w="1920" w:type="dxa"/>
            <w:vAlign w:val="bottom"/>
            <w:tcBorders>
              <w:bottom w:val="single" w:sz="8" w:color="CCEEFF"/>
            </w:tcBorders>
          </w:tcPr>
          <w:p>
            <w:pPr>
              <w:spacing w:after="0"/>
              <w:rPr>
                <w:sz w:val="2"/>
                <w:szCs w:val="2"/>
                <w:color w:val="auto"/>
              </w:rPr>
            </w:pPr>
          </w:p>
        </w:tc>
        <w:tc>
          <w:tcPr>
            <w:tcW w:w="188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c>
          <w:tcPr>
            <w:tcW w:w="42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6260" w:type="dxa"/>
            <w:vAlign w:val="bottom"/>
            <w:gridSpan w:val="3"/>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0000FF"/>
                <w:w w:val="99"/>
              </w:rPr>
              <w:t>Consolidated Balance Sheets as of June 30, 2024 (Unaudited), and December 31, 2023</w:t>
            </w:r>
          </w:p>
        </w:tc>
        <w:tc>
          <w:tcPr>
            <w:tcW w:w="4140" w:type="dxa"/>
            <w:vAlign w:val="bottom"/>
            <w:gridSpan w:val="5"/>
            <w:shd w:val="clear" w:color="auto" w:fill="CCEEFF"/>
          </w:tcPr>
          <w:p>
            <w:pPr>
              <w:spacing w:after="0"/>
              <w:rPr>
                <w:sz w:val="15"/>
                <w:szCs w:val="15"/>
                <w:color w:val="auto"/>
              </w:rPr>
            </w:pPr>
          </w:p>
        </w:tc>
        <w:tc>
          <w:tcPr>
            <w:tcW w:w="820" w:type="dxa"/>
            <w:vAlign w:val="bottom"/>
            <w:gridSpan w:val="3"/>
            <w:shd w:val="clear" w:color="auto" w:fill="CCEEFF"/>
          </w:tcPr>
          <w:p>
            <w:pPr>
              <w:jc w:val="center"/>
              <w:spacing w:after="0" w:line="182" w:lineRule="exact"/>
              <w:rPr>
                <w:sz w:val="20"/>
                <w:szCs w:val="20"/>
                <w:color w:val="auto"/>
              </w:rPr>
            </w:pPr>
            <w:r>
              <w:rPr>
                <w:rFonts w:ascii="Times New Roman" w:cs="Times New Roman" w:eastAsia="Times New Roman" w:hAnsi="Times New Roman"/>
                <w:sz w:val="18"/>
                <w:szCs w:val="18"/>
                <w:color w:val="0000FF"/>
                <w:w w:val="88"/>
              </w:rPr>
              <w:t>2</w:t>
            </w: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0000FF"/>
            </w:tcBorders>
            <w:shd w:val="clear" w:color="auto" w:fill="CCEEFF"/>
          </w:tcPr>
          <w:p>
            <w:pPr>
              <w:spacing w:after="0" w:line="20" w:lineRule="exact"/>
              <w:rPr>
                <w:sz w:val="1"/>
                <w:szCs w:val="1"/>
                <w:color w:val="auto"/>
              </w:rPr>
            </w:pPr>
          </w:p>
        </w:tc>
        <w:tc>
          <w:tcPr>
            <w:tcW w:w="3460" w:type="dxa"/>
            <w:vAlign w:val="bottom"/>
            <w:tcBorders>
              <w:top w:val="single" w:sz="8" w:color="0000FF"/>
            </w:tcBorders>
            <w:shd w:val="clear" w:color="auto" w:fill="CCEEFF"/>
          </w:tcPr>
          <w:p>
            <w:pPr>
              <w:spacing w:after="0" w:line="20" w:lineRule="exact"/>
              <w:rPr>
                <w:sz w:val="1"/>
                <w:szCs w:val="1"/>
                <w:color w:val="auto"/>
              </w:rPr>
            </w:pPr>
          </w:p>
        </w:tc>
        <w:tc>
          <w:tcPr>
            <w:tcW w:w="1920" w:type="dxa"/>
            <w:vAlign w:val="bottom"/>
            <w:tcBorders>
              <w:top w:val="single" w:sz="8" w:color="0000FF"/>
            </w:tcBorders>
            <w:shd w:val="clear" w:color="auto" w:fill="CCEEFF"/>
          </w:tcPr>
          <w:p>
            <w:pPr>
              <w:spacing w:after="0" w:line="20" w:lineRule="exact"/>
              <w:rPr>
                <w:sz w:val="1"/>
                <w:szCs w:val="1"/>
                <w:color w:val="auto"/>
              </w:rPr>
            </w:pPr>
          </w:p>
        </w:tc>
        <w:tc>
          <w:tcPr>
            <w:tcW w:w="188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10400" w:type="dxa"/>
            <w:vAlign w:val="bottom"/>
            <w:gridSpan w:val="8"/>
          </w:tcPr>
          <w:p>
            <w:pPr>
              <w:spacing w:after="0" w:line="189" w:lineRule="exact"/>
              <w:rPr>
                <w:sz w:val="20"/>
                <w:szCs w:val="20"/>
                <w:color w:val="auto"/>
              </w:rPr>
            </w:pPr>
            <w:r>
              <w:rPr>
                <w:rFonts w:ascii="Times New Roman" w:cs="Times New Roman" w:eastAsia="Times New Roman" w:hAnsi="Times New Roman"/>
                <w:sz w:val="18"/>
                <w:szCs w:val="18"/>
                <w:color w:val="0000FF"/>
              </w:rPr>
              <w:t>Consolidated Statements of Income (Loss) for the Three and Six Months Ended June 30, 2024, and June 30, 2023 (Unaudited)</w:t>
            </w:r>
          </w:p>
        </w:tc>
        <w:tc>
          <w:tcPr>
            <w:tcW w:w="820" w:type="dxa"/>
            <w:vAlign w:val="bottom"/>
            <w:gridSpan w:val="3"/>
          </w:tcPr>
          <w:p>
            <w:pPr>
              <w:jc w:val="center"/>
              <w:spacing w:after="0" w:line="189" w:lineRule="exact"/>
              <w:rPr>
                <w:sz w:val="20"/>
                <w:szCs w:val="20"/>
                <w:color w:val="auto"/>
              </w:rPr>
            </w:pPr>
            <w:r>
              <w:rPr>
                <w:rFonts w:ascii="Times New Roman" w:cs="Times New Roman" w:eastAsia="Times New Roman" w:hAnsi="Times New Roman"/>
                <w:sz w:val="18"/>
                <w:szCs w:val="18"/>
                <w:color w:val="0000FF"/>
                <w:w w:val="88"/>
              </w:rPr>
              <w:t>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0" w:type="dxa"/>
            <w:vAlign w:val="bottom"/>
            <w:tcBorders>
              <w:top w:val="single" w:sz="8" w:color="0000FF"/>
            </w:tcBorders>
          </w:tcPr>
          <w:p>
            <w:pPr>
              <w:spacing w:after="0" w:line="20" w:lineRule="exact"/>
              <w:rPr>
                <w:sz w:val="1"/>
                <w:szCs w:val="1"/>
                <w:color w:val="auto"/>
              </w:rPr>
            </w:pPr>
          </w:p>
        </w:tc>
        <w:tc>
          <w:tcPr>
            <w:tcW w:w="3460" w:type="dxa"/>
            <w:vAlign w:val="bottom"/>
            <w:tcBorders>
              <w:top w:val="single" w:sz="8" w:color="0000FF"/>
            </w:tcBorders>
          </w:tcPr>
          <w:p>
            <w:pPr>
              <w:spacing w:after="0" w:line="20" w:lineRule="exact"/>
              <w:rPr>
                <w:sz w:val="1"/>
                <w:szCs w:val="1"/>
                <w:color w:val="auto"/>
              </w:rPr>
            </w:pPr>
          </w:p>
        </w:tc>
        <w:tc>
          <w:tcPr>
            <w:tcW w:w="1920" w:type="dxa"/>
            <w:vAlign w:val="bottom"/>
            <w:tcBorders>
              <w:top w:val="single" w:sz="8" w:color="0000FF"/>
            </w:tcBorders>
          </w:tcPr>
          <w:p>
            <w:pPr>
              <w:spacing w:after="0" w:line="20" w:lineRule="exact"/>
              <w:rPr>
                <w:sz w:val="1"/>
                <w:szCs w:val="1"/>
                <w:color w:val="auto"/>
              </w:rPr>
            </w:pPr>
          </w:p>
        </w:tc>
        <w:tc>
          <w:tcPr>
            <w:tcW w:w="1880" w:type="dxa"/>
            <w:vAlign w:val="bottom"/>
            <w:tcBorders>
              <w:top w:val="single" w:sz="8" w:color="0000FF"/>
            </w:tcBorders>
          </w:tcPr>
          <w:p>
            <w:pPr>
              <w:spacing w:after="0" w:line="20" w:lineRule="exact"/>
              <w:rPr>
                <w:sz w:val="1"/>
                <w:szCs w:val="1"/>
                <w:color w:val="auto"/>
              </w:rPr>
            </w:pPr>
          </w:p>
        </w:tc>
        <w:tc>
          <w:tcPr>
            <w:tcW w:w="960" w:type="dxa"/>
            <w:vAlign w:val="bottom"/>
            <w:tcBorders>
              <w:top w:val="single" w:sz="8" w:color="0000FF"/>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10400" w:type="dxa"/>
            <w:vAlign w:val="bottom"/>
            <w:gridSpan w:val="8"/>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Consolidated Statements of Comprehensive Income (Loss) for the Three and Six Months Ended June 30, 2024, and June 30, 2023 (Unaudited)</w:t>
            </w:r>
          </w:p>
        </w:tc>
        <w:tc>
          <w:tcPr>
            <w:tcW w:w="820" w:type="dxa"/>
            <w:vAlign w:val="bottom"/>
            <w:gridSpan w:val="3"/>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0000FF"/>
                <w:w w:val="88"/>
              </w:rPr>
              <w:t>4</w:t>
            </w: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0000FF"/>
            </w:tcBorders>
            <w:shd w:val="clear" w:color="auto" w:fill="CCEEFF"/>
          </w:tcPr>
          <w:p>
            <w:pPr>
              <w:spacing w:after="0" w:line="20" w:lineRule="exact"/>
              <w:rPr>
                <w:sz w:val="1"/>
                <w:szCs w:val="1"/>
                <w:color w:val="auto"/>
              </w:rPr>
            </w:pPr>
          </w:p>
        </w:tc>
        <w:tc>
          <w:tcPr>
            <w:tcW w:w="3460" w:type="dxa"/>
            <w:vAlign w:val="bottom"/>
            <w:tcBorders>
              <w:top w:val="single" w:sz="8" w:color="0000FF"/>
            </w:tcBorders>
            <w:shd w:val="clear" w:color="auto" w:fill="CCEEFF"/>
          </w:tcPr>
          <w:p>
            <w:pPr>
              <w:spacing w:after="0" w:line="20" w:lineRule="exact"/>
              <w:rPr>
                <w:sz w:val="1"/>
                <w:szCs w:val="1"/>
                <w:color w:val="auto"/>
              </w:rPr>
            </w:pPr>
          </w:p>
        </w:tc>
        <w:tc>
          <w:tcPr>
            <w:tcW w:w="1920" w:type="dxa"/>
            <w:vAlign w:val="bottom"/>
            <w:tcBorders>
              <w:top w:val="single" w:sz="8" w:color="0000FF"/>
            </w:tcBorders>
            <w:shd w:val="clear" w:color="auto" w:fill="CCEEFF"/>
          </w:tcPr>
          <w:p>
            <w:pPr>
              <w:spacing w:after="0" w:line="20" w:lineRule="exact"/>
              <w:rPr>
                <w:sz w:val="1"/>
                <w:szCs w:val="1"/>
                <w:color w:val="auto"/>
              </w:rPr>
            </w:pPr>
          </w:p>
        </w:tc>
        <w:tc>
          <w:tcPr>
            <w:tcW w:w="1880" w:type="dxa"/>
            <w:vAlign w:val="bottom"/>
            <w:tcBorders>
              <w:top w:val="single" w:sz="8" w:color="0000FF"/>
            </w:tcBorders>
            <w:shd w:val="clear" w:color="auto" w:fill="CCEEFF"/>
          </w:tcPr>
          <w:p>
            <w:pPr>
              <w:spacing w:after="0" w:line="20" w:lineRule="exact"/>
              <w:rPr>
                <w:sz w:val="1"/>
                <w:szCs w:val="1"/>
                <w:color w:val="auto"/>
              </w:rPr>
            </w:pPr>
          </w:p>
        </w:tc>
        <w:tc>
          <w:tcPr>
            <w:tcW w:w="960" w:type="dxa"/>
            <w:vAlign w:val="bottom"/>
            <w:tcBorders>
              <w:top w:val="single" w:sz="8" w:color="0000FF"/>
            </w:tcBorders>
            <w:shd w:val="clear" w:color="auto" w:fill="CCEEFF"/>
          </w:tcPr>
          <w:p>
            <w:pPr>
              <w:spacing w:after="0" w:line="20" w:lineRule="exact"/>
              <w:rPr>
                <w:sz w:val="1"/>
                <w:szCs w:val="1"/>
                <w:color w:val="auto"/>
              </w:rPr>
            </w:pPr>
          </w:p>
        </w:tc>
        <w:tc>
          <w:tcPr>
            <w:tcW w:w="420" w:type="dxa"/>
            <w:vAlign w:val="bottom"/>
            <w:tcBorders>
              <w:top w:val="single" w:sz="8" w:color="0000FF"/>
            </w:tcBorders>
            <w:shd w:val="clear" w:color="auto" w:fill="CCEEFF"/>
          </w:tcPr>
          <w:p>
            <w:pPr>
              <w:spacing w:after="0" w:line="20" w:lineRule="exact"/>
              <w:rPr>
                <w:sz w:val="1"/>
                <w:szCs w:val="1"/>
                <w:color w:val="auto"/>
              </w:rPr>
            </w:pPr>
          </w:p>
        </w:tc>
        <w:tc>
          <w:tcPr>
            <w:tcW w:w="76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10280" w:type="dxa"/>
            <w:vAlign w:val="bottom"/>
            <w:gridSpan w:val="7"/>
          </w:tcPr>
          <w:p>
            <w:pPr>
              <w:spacing w:after="0" w:line="189" w:lineRule="exact"/>
              <w:rPr>
                <w:sz w:val="20"/>
                <w:szCs w:val="20"/>
                <w:color w:val="auto"/>
              </w:rPr>
            </w:pPr>
            <w:r>
              <w:rPr>
                <w:rFonts w:ascii="Times New Roman" w:cs="Times New Roman" w:eastAsia="Times New Roman" w:hAnsi="Times New Roman"/>
                <w:sz w:val="18"/>
                <w:szCs w:val="18"/>
                <w:color w:val="0000FF"/>
              </w:rPr>
              <w:t>Consolidated Statements of Changes in Shareholders’ Equity for the Three and Six Months Ended June 30, 2024, and June 30, 2023</w:t>
            </w:r>
          </w:p>
        </w:tc>
        <w:tc>
          <w:tcPr>
            <w:tcW w:w="120" w:type="dxa"/>
            <w:vAlign w:val="bottom"/>
          </w:tcPr>
          <w:p>
            <w:pPr>
              <w:spacing w:after="0"/>
              <w:rPr>
                <w:sz w:val="16"/>
                <w:szCs w:val="16"/>
                <w:color w:val="auto"/>
              </w:rPr>
            </w:pPr>
          </w:p>
        </w:tc>
        <w:tc>
          <w:tcPr>
            <w:tcW w:w="82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8"/>
                <w:szCs w:val="18"/>
                <w:color w:val="0000FF"/>
                <w:w w:val="88"/>
              </w:rPr>
              <w:t>5</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880" w:type="dxa"/>
            <w:vAlign w:val="bottom"/>
            <w:tcBorders>
              <w:top w:val="single" w:sz="8" w:color="0000FF"/>
            </w:tcBorders>
          </w:tcPr>
          <w:p>
            <w:pPr>
              <w:spacing w:after="0" w:line="142" w:lineRule="exact"/>
              <w:rPr>
                <w:sz w:val="20"/>
                <w:szCs w:val="20"/>
                <w:color w:val="auto"/>
              </w:rPr>
            </w:pPr>
            <w:r>
              <w:rPr>
                <w:rFonts w:ascii="Times New Roman" w:cs="Times New Roman" w:eastAsia="Times New Roman" w:hAnsi="Times New Roman"/>
                <w:sz w:val="16"/>
                <w:szCs w:val="16"/>
                <w:color w:val="0000FF"/>
              </w:rPr>
              <w:t>(Unaudited)</w:t>
            </w:r>
          </w:p>
        </w:tc>
        <w:tc>
          <w:tcPr>
            <w:tcW w:w="8640" w:type="dxa"/>
            <w:vAlign w:val="bottom"/>
            <w:tcBorders>
              <w:top w:val="single" w:sz="8" w:color="0000FF"/>
            </w:tcBorders>
            <w:gridSpan w:val="5"/>
          </w:tcPr>
          <w:p>
            <w:pPr>
              <w:spacing w:after="0"/>
              <w:rPr>
                <w:sz w:val="13"/>
                <w:szCs w:val="13"/>
                <w:color w:val="auto"/>
              </w:rPr>
            </w:pPr>
          </w:p>
        </w:tc>
        <w:tc>
          <w:tcPr>
            <w:tcW w:w="880" w:type="dxa"/>
            <w:vAlign w:val="bottom"/>
            <w:gridSpan w:val="2"/>
          </w:tcPr>
          <w:p>
            <w:pPr>
              <w:spacing w:after="0"/>
              <w:rPr>
                <w:sz w:val="13"/>
                <w:szCs w:val="13"/>
                <w:color w:val="auto"/>
              </w:rPr>
            </w:pPr>
          </w:p>
        </w:tc>
        <w:tc>
          <w:tcPr>
            <w:tcW w:w="820" w:type="dxa"/>
            <w:vAlign w:val="bottom"/>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0" w:type="dxa"/>
            <w:vAlign w:val="bottom"/>
            <w:tcBorders>
              <w:top w:val="single" w:sz="8" w:color="0000FF"/>
            </w:tcBorders>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top w:val="single" w:sz="8" w:color="0000FF"/>
            </w:tcBorders>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10400" w:type="dxa"/>
            <w:vAlign w:val="bottom"/>
            <w:gridSpan w:val="8"/>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0000FF"/>
              </w:rPr>
              <w:t>Consolidated Statements of Cash Flows for the Six Months Ended June 30, 2024, and June 30, 2023 (Unaudited)</w:t>
            </w:r>
          </w:p>
        </w:tc>
        <w:tc>
          <w:tcPr>
            <w:tcW w:w="820" w:type="dxa"/>
            <w:vAlign w:val="bottom"/>
            <w:gridSpan w:val="3"/>
            <w:shd w:val="clear" w:color="auto" w:fill="CCEEFF"/>
          </w:tcPr>
          <w:p>
            <w:pPr>
              <w:jc w:val="center"/>
              <w:spacing w:after="0" w:line="203" w:lineRule="exact"/>
              <w:rPr>
                <w:sz w:val="20"/>
                <w:szCs w:val="20"/>
                <w:color w:val="auto"/>
              </w:rPr>
            </w:pPr>
            <w:r>
              <w:rPr>
                <w:rFonts w:ascii="Times New Roman" w:cs="Times New Roman" w:eastAsia="Times New Roman" w:hAnsi="Times New Roman"/>
                <w:sz w:val="18"/>
                <w:szCs w:val="18"/>
                <w:color w:val="0000FF"/>
                <w:w w:val="88"/>
              </w:rPr>
              <w:t>7</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0000FF"/>
            </w:tcBorders>
            <w:shd w:val="clear" w:color="auto" w:fill="CCEEFF"/>
          </w:tcPr>
          <w:p>
            <w:pPr>
              <w:spacing w:after="0" w:line="20" w:lineRule="exact"/>
              <w:rPr>
                <w:sz w:val="1"/>
                <w:szCs w:val="1"/>
                <w:color w:val="auto"/>
              </w:rPr>
            </w:pPr>
          </w:p>
        </w:tc>
        <w:tc>
          <w:tcPr>
            <w:tcW w:w="3460" w:type="dxa"/>
            <w:vAlign w:val="bottom"/>
            <w:tcBorders>
              <w:top w:val="single" w:sz="8" w:color="0000FF"/>
            </w:tcBorders>
            <w:shd w:val="clear" w:color="auto" w:fill="CCEEFF"/>
          </w:tcPr>
          <w:p>
            <w:pPr>
              <w:spacing w:after="0" w:line="20" w:lineRule="exact"/>
              <w:rPr>
                <w:sz w:val="1"/>
                <w:szCs w:val="1"/>
                <w:color w:val="auto"/>
              </w:rPr>
            </w:pPr>
          </w:p>
        </w:tc>
        <w:tc>
          <w:tcPr>
            <w:tcW w:w="1920" w:type="dxa"/>
            <w:vAlign w:val="bottom"/>
            <w:tcBorders>
              <w:top w:val="single" w:sz="8" w:color="0000FF"/>
            </w:tcBorders>
            <w:shd w:val="clear" w:color="auto" w:fill="CCEEFF"/>
          </w:tcPr>
          <w:p>
            <w:pPr>
              <w:spacing w:after="0" w:line="20" w:lineRule="exact"/>
              <w:rPr>
                <w:sz w:val="1"/>
                <w:szCs w:val="1"/>
                <w:color w:val="auto"/>
              </w:rPr>
            </w:pPr>
          </w:p>
        </w:tc>
        <w:tc>
          <w:tcPr>
            <w:tcW w:w="1880" w:type="dxa"/>
            <w:vAlign w:val="bottom"/>
            <w:tcBorders>
              <w:top w:val="single" w:sz="8" w:color="0000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434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color w:val="0000FF"/>
                <w:w w:val="99"/>
              </w:rPr>
              <w:t>Notes to the Consolidated Financial Statements (Unaudited)</w:t>
            </w:r>
          </w:p>
        </w:tc>
        <w:tc>
          <w:tcPr>
            <w:tcW w:w="3800" w:type="dxa"/>
            <w:vAlign w:val="bottom"/>
            <w:gridSpan w:val="2"/>
          </w:tcPr>
          <w:p>
            <w:pPr>
              <w:spacing w:after="0"/>
              <w:rPr>
                <w:sz w:val="16"/>
                <w:szCs w:val="16"/>
                <w:color w:val="auto"/>
              </w:rPr>
            </w:pPr>
          </w:p>
        </w:tc>
        <w:tc>
          <w:tcPr>
            <w:tcW w:w="2260" w:type="dxa"/>
            <w:vAlign w:val="bottom"/>
            <w:gridSpan w:val="4"/>
          </w:tcPr>
          <w:p>
            <w:pPr>
              <w:spacing w:after="0"/>
              <w:rPr>
                <w:sz w:val="16"/>
                <w:szCs w:val="16"/>
                <w:color w:val="auto"/>
              </w:rPr>
            </w:pPr>
          </w:p>
        </w:tc>
        <w:tc>
          <w:tcPr>
            <w:tcW w:w="820" w:type="dxa"/>
            <w:vAlign w:val="bottom"/>
            <w:gridSpan w:val="3"/>
          </w:tcPr>
          <w:p>
            <w:pPr>
              <w:jc w:val="center"/>
              <w:spacing w:after="0" w:line="189" w:lineRule="exact"/>
              <w:rPr>
                <w:sz w:val="20"/>
                <w:szCs w:val="20"/>
                <w:color w:val="auto"/>
              </w:rPr>
            </w:pPr>
            <w:r>
              <w:rPr>
                <w:rFonts w:ascii="Times New Roman" w:cs="Times New Roman" w:eastAsia="Times New Roman" w:hAnsi="Times New Roman"/>
                <w:sz w:val="18"/>
                <w:szCs w:val="18"/>
                <w:color w:val="0000FF"/>
                <w:w w:val="88"/>
              </w:rPr>
              <w:t>9</w:t>
            </w:r>
          </w:p>
        </w:tc>
        <w:tc>
          <w:tcPr>
            <w:tcW w:w="0" w:type="dxa"/>
            <w:vAlign w:val="bottom"/>
          </w:tcPr>
          <w:p>
            <w:pPr>
              <w:spacing w:after="0"/>
              <w:rPr>
                <w:sz w:val="1"/>
                <w:szCs w:val="1"/>
                <w:color w:val="auto"/>
              </w:rPr>
            </w:pPr>
          </w:p>
        </w:tc>
      </w:tr>
      <w:tr>
        <w:trPr>
          <w:trHeight w:val="925"/>
        </w:trPr>
        <w:tc>
          <w:tcPr>
            <w:tcW w:w="20" w:type="dxa"/>
            <w:vAlign w:val="bottom"/>
          </w:tcPr>
          <w:p>
            <w:pPr>
              <w:spacing w:after="0"/>
              <w:rPr>
                <w:sz w:val="24"/>
                <w:szCs w:val="24"/>
                <w:color w:val="auto"/>
              </w:rPr>
            </w:pPr>
          </w:p>
        </w:tc>
        <w:tc>
          <w:tcPr>
            <w:tcW w:w="4340" w:type="dxa"/>
            <w:vAlign w:val="bottom"/>
            <w:tcBorders>
              <w:top w:val="single" w:sz="8" w:color="0000FF"/>
            </w:tcBorders>
            <w:gridSpan w:val="2"/>
          </w:tcPr>
          <w:p>
            <w:pPr>
              <w:spacing w:after="0"/>
              <w:rPr>
                <w:sz w:val="24"/>
                <w:szCs w:val="24"/>
                <w:color w:val="auto"/>
              </w:rPr>
            </w:pPr>
          </w:p>
        </w:tc>
        <w:tc>
          <w:tcPr>
            <w:tcW w:w="1920" w:type="dxa"/>
            <w:vAlign w:val="bottom"/>
          </w:tcPr>
          <w:p>
            <w:pPr>
              <w:jc w:val="right"/>
              <w:ind w:right="530"/>
              <w:spacing w:after="0"/>
              <w:rPr>
                <w:sz w:val="20"/>
                <w:szCs w:val="20"/>
                <w:color w:val="auto"/>
              </w:rPr>
            </w:pPr>
            <w:r>
              <w:rPr>
                <w:rFonts w:ascii="Times New Roman" w:cs="Times New Roman" w:eastAsia="Times New Roman" w:hAnsi="Times New Roman"/>
                <w:sz w:val="18"/>
                <w:szCs w:val="18"/>
                <w:color w:val="auto"/>
              </w:rPr>
              <w:t>1</w:t>
            </w:r>
          </w:p>
        </w:tc>
        <w:tc>
          <w:tcPr>
            <w:tcW w:w="18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3460" w:type="dxa"/>
            <w:vAlign w:val="bottom"/>
            <w:tcBorders>
              <w:bottom w:val="single" w:sz="8" w:color="9A9A9A"/>
            </w:tcBorders>
          </w:tcPr>
          <w:p>
            <w:pPr>
              <w:spacing w:after="0"/>
              <w:rPr>
                <w:sz w:val="24"/>
                <w:szCs w:val="24"/>
                <w:color w:val="auto"/>
              </w:rPr>
            </w:pPr>
          </w:p>
        </w:tc>
        <w:tc>
          <w:tcPr>
            <w:tcW w:w="1920" w:type="dxa"/>
            <w:vAlign w:val="bottom"/>
            <w:tcBorders>
              <w:bottom w:val="single" w:sz="8" w:color="9A9A9A"/>
            </w:tcBorders>
          </w:tcPr>
          <w:p>
            <w:pPr>
              <w:spacing w:after="0"/>
              <w:rPr>
                <w:sz w:val="24"/>
                <w:szCs w:val="24"/>
                <w:color w:val="auto"/>
              </w:rPr>
            </w:pPr>
          </w:p>
        </w:tc>
        <w:tc>
          <w:tcPr>
            <w:tcW w:w="188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Burke &amp; Herbert Financial Services Corp.</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8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June 30, 2024</w:t>
            </w:r>
          </w:p>
        </w:tc>
        <w:tc>
          <w:tcPr>
            <w:tcW w:w="120" w:type="dxa"/>
            <w:vAlign w:val="bottom"/>
          </w:tcPr>
          <w:p>
            <w:pPr>
              <w:spacing w:after="0"/>
              <w:rPr>
                <w:sz w:val="16"/>
                <w:szCs w:val="16"/>
                <w:color w:val="auto"/>
              </w:rPr>
            </w:pPr>
          </w:p>
        </w:tc>
        <w:tc>
          <w:tcPr>
            <w:tcW w:w="1500" w:type="dxa"/>
            <w:vAlign w:val="bottom"/>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December 31, 2023</w:t>
            </w:r>
          </w:p>
        </w:tc>
        <w:tc>
          <w:tcPr>
            <w:tcW w:w="0" w:type="dxa"/>
            <w:vAlign w:val="bottom"/>
          </w:tcPr>
          <w:p>
            <w:pPr>
              <w:spacing w:after="0"/>
              <w:rPr>
                <w:sz w:val="1"/>
                <w:szCs w:val="1"/>
                <w:color w:val="auto"/>
              </w:rPr>
            </w:pPr>
          </w:p>
        </w:tc>
      </w:tr>
      <w:tr>
        <w:trPr>
          <w:trHeight w:val="214"/>
        </w:trPr>
        <w:tc>
          <w:tcPr>
            <w:tcW w:w="7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(Unaudited)</w:t>
            </w:r>
          </w:p>
        </w:tc>
        <w:tc>
          <w:tcPr>
            <w:tcW w:w="120" w:type="dxa"/>
            <w:vAlign w:val="bottom"/>
          </w:tcPr>
          <w:p>
            <w:pPr>
              <w:spacing w:after="0"/>
              <w:rPr>
                <w:sz w:val="18"/>
                <w:szCs w:val="18"/>
                <w:color w:val="auto"/>
              </w:rPr>
            </w:pPr>
          </w:p>
        </w:tc>
        <w:tc>
          <w:tcPr>
            <w:tcW w:w="1500" w:type="dxa"/>
            <w:vAlign w:val="bottom"/>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(Audited)</w:t>
            </w:r>
          </w:p>
        </w:tc>
        <w:tc>
          <w:tcPr>
            <w:tcW w:w="0" w:type="dxa"/>
            <w:vAlign w:val="bottom"/>
          </w:tcPr>
          <w:p>
            <w:pPr>
              <w:spacing w:after="0"/>
              <w:rPr>
                <w:sz w:val="1"/>
                <w:szCs w:val="1"/>
                <w:color w:val="auto"/>
              </w:rPr>
            </w:pPr>
          </w:p>
        </w:tc>
      </w:tr>
      <w:tr>
        <w:trPr>
          <w:trHeight w:val="198"/>
        </w:trPr>
        <w:tc>
          <w:tcPr>
            <w:tcW w:w="78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3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50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7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and due from banks</w:t>
            </w:r>
          </w:p>
        </w:tc>
        <w:tc>
          <w:tcPr>
            <w:tcW w:w="32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35,072</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8,896</w:t>
            </w:r>
          </w:p>
        </w:tc>
        <w:tc>
          <w:tcPr>
            <w:tcW w:w="0" w:type="dxa"/>
            <w:vAlign w:val="bottom"/>
          </w:tcPr>
          <w:p>
            <w:pPr>
              <w:spacing w:after="0"/>
              <w:rPr>
                <w:sz w:val="1"/>
                <w:szCs w:val="1"/>
                <w:color w:val="auto"/>
              </w:rPr>
            </w:pPr>
          </w:p>
        </w:tc>
      </w:tr>
      <w:tr>
        <w:trPr>
          <w:trHeight w:val="219"/>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Interest-earning deposits with banks</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176,848</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35,602</w:t>
            </w:r>
          </w:p>
        </w:tc>
        <w:tc>
          <w:tcPr>
            <w:tcW w:w="0" w:type="dxa"/>
            <w:vAlign w:val="bottom"/>
          </w:tcPr>
          <w:p>
            <w:pPr>
              <w:spacing w:after="0"/>
              <w:rPr>
                <w:sz w:val="1"/>
                <w:szCs w:val="1"/>
                <w:color w:val="auto"/>
              </w:rPr>
            </w:pPr>
          </w:p>
        </w:tc>
      </w:tr>
      <w:tr>
        <w:trPr>
          <w:trHeight w:val="207"/>
        </w:trPr>
        <w:tc>
          <w:tcPr>
            <w:tcW w:w="7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211,920</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44,498</w:t>
            </w:r>
          </w:p>
        </w:tc>
        <w:tc>
          <w:tcPr>
            <w:tcW w:w="0" w:type="dxa"/>
            <w:vAlign w:val="bottom"/>
          </w:tcPr>
          <w:p>
            <w:pPr>
              <w:spacing w:after="0"/>
              <w:rPr>
                <w:sz w:val="1"/>
                <w:szCs w:val="1"/>
                <w:color w:val="auto"/>
              </w:rPr>
            </w:pPr>
          </w:p>
        </w:tc>
      </w:tr>
      <w:tr>
        <w:trPr>
          <w:trHeight w:val="212"/>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Securities available-for-sale, at fair value</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1,414,870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1,248,439</w:t>
            </w:r>
          </w:p>
        </w:tc>
        <w:tc>
          <w:tcPr>
            <w:tcW w:w="0" w:type="dxa"/>
            <w:vAlign w:val="bottom"/>
          </w:tcPr>
          <w:p>
            <w:pPr>
              <w:spacing w:after="0"/>
              <w:rPr>
                <w:sz w:val="1"/>
                <w:szCs w:val="1"/>
                <w:color w:val="auto"/>
              </w:rPr>
            </w:pPr>
          </w:p>
        </w:tc>
      </w:tr>
      <w:tr>
        <w:trPr>
          <w:trHeight w:val="213"/>
        </w:trPr>
        <w:tc>
          <w:tcPr>
            <w:tcW w:w="7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Restricted stock, at cost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15,169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5,964</w:t>
            </w:r>
          </w:p>
        </w:tc>
        <w:tc>
          <w:tcPr>
            <w:tcW w:w="0" w:type="dxa"/>
            <w:vAlign w:val="bottom"/>
          </w:tcPr>
          <w:p>
            <w:pPr>
              <w:spacing w:after="0"/>
              <w:rPr>
                <w:sz w:val="1"/>
                <w:szCs w:val="1"/>
                <w:color w:val="auto"/>
              </w:rPr>
            </w:pPr>
          </w:p>
        </w:tc>
      </w:tr>
      <w:tr>
        <w:trPr>
          <w:trHeight w:val="219"/>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Loans held-for-sale, at fair value</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3,268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1,497</w:t>
            </w:r>
          </w:p>
        </w:tc>
        <w:tc>
          <w:tcPr>
            <w:tcW w:w="0" w:type="dxa"/>
            <w:vAlign w:val="bottom"/>
          </w:tcPr>
          <w:p>
            <w:pPr>
              <w:spacing w:after="0"/>
              <w:rPr>
                <w:sz w:val="1"/>
                <w:szCs w:val="1"/>
                <w:color w:val="auto"/>
              </w:rPr>
            </w:pPr>
          </w:p>
        </w:tc>
      </w:tr>
      <w:tr>
        <w:trPr>
          <w:trHeight w:val="213"/>
        </w:trPr>
        <w:tc>
          <w:tcPr>
            <w:tcW w:w="7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Loans</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5,616,724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2,087,756</w:t>
            </w:r>
          </w:p>
        </w:tc>
        <w:tc>
          <w:tcPr>
            <w:tcW w:w="0" w:type="dxa"/>
            <w:vAlign w:val="bottom"/>
          </w:tcPr>
          <w:p>
            <w:pPr>
              <w:spacing w:after="0"/>
              <w:rPr>
                <w:sz w:val="1"/>
                <w:szCs w:val="1"/>
                <w:color w:val="auto"/>
              </w:rPr>
            </w:pPr>
          </w:p>
        </w:tc>
      </w:tr>
      <w:tr>
        <w:trPr>
          <w:trHeight w:val="219"/>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Allowance for credit losses</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(68,017)</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(25,301)</w:t>
            </w:r>
          </w:p>
        </w:tc>
        <w:tc>
          <w:tcPr>
            <w:tcW w:w="0" w:type="dxa"/>
            <w:vAlign w:val="bottom"/>
          </w:tcPr>
          <w:p>
            <w:pPr>
              <w:spacing w:after="0"/>
              <w:rPr>
                <w:sz w:val="1"/>
                <w:szCs w:val="1"/>
                <w:color w:val="auto"/>
              </w:rPr>
            </w:pPr>
          </w:p>
        </w:tc>
      </w:tr>
      <w:tr>
        <w:trPr>
          <w:trHeight w:val="207"/>
        </w:trPr>
        <w:tc>
          <w:tcPr>
            <w:tcW w:w="7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Net loans</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5,548,707</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2,062,455</w:t>
            </w:r>
          </w:p>
        </w:tc>
        <w:tc>
          <w:tcPr>
            <w:tcW w:w="0" w:type="dxa"/>
            <w:vAlign w:val="bottom"/>
          </w:tcPr>
          <w:p>
            <w:pPr>
              <w:spacing w:after="0"/>
              <w:rPr>
                <w:sz w:val="1"/>
                <w:szCs w:val="1"/>
                <w:color w:val="auto"/>
              </w:rPr>
            </w:pPr>
          </w:p>
        </w:tc>
      </w:tr>
      <w:tr>
        <w:trPr>
          <w:trHeight w:val="212"/>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Premises and equipment, net</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135,581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61,128</w:t>
            </w:r>
          </w:p>
        </w:tc>
        <w:tc>
          <w:tcPr>
            <w:tcW w:w="0" w:type="dxa"/>
            <w:vAlign w:val="bottom"/>
          </w:tcPr>
          <w:p>
            <w:pPr>
              <w:spacing w:after="0"/>
              <w:rPr>
                <w:sz w:val="1"/>
                <w:szCs w:val="1"/>
                <w:color w:val="auto"/>
              </w:rPr>
            </w:pPr>
          </w:p>
        </w:tc>
      </w:tr>
      <w:tr>
        <w:trPr>
          <w:trHeight w:val="213"/>
        </w:trPr>
        <w:tc>
          <w:tcPr>
            <w:tcW w:w="7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real estate owned</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3,334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Accrued interest receivable</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33,371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15,895</w:t>
            </w:r>
          </w:p>
        </w:tc>
        <w:tc>
          <w:tcPr>
            <w:tcW w:w="0" w:type="dxa"/>
            <w:vAlign w:val="bottom"/>
          </w:tcPr>
          <w:p>
            <w:pPr>
              <w:spacing w:after="0"/>
              <w:rPr>
                <w:sz w:val="1"/>
                <w:szCs w:val="1"/>
                <w:color w:val="auto"/>
              </w:rPr>
            </w:pPr>
          </w:p>
        </w:tc>
      </w:tr>
      <w:tr>
        <w:trPr>
          <w:trHeight w:val="213"/>
        </w:trPr>
        <w:tc>
          <w:tcPr>
            <w:tcW w:w="7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Intangible assets</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65,895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Goodwill</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32,783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7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Company-owned life insurance</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182,112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94,159</w:t>
            </w:r>
          </w:p>
        </w:tc>
        <w:tc>
          <w:tcPr>
            <w:tcW w:w="0" w:type="dxa"/>
            <w:vAlign w:val="bottom"/>
          </w:tcPr>
          <w:p>
            <w:pPr>
              <w:spacing w:after="0"/>
              <w:rPr>
                <w:sz w:val="1"/>
                <w:szCs w:val="1"/>
                <w:color w:val="auto"/>
              </w:rPr>
            </w:pPr>
          </w:p>
        </w:tc>
      </w:tr>
      <w:tr>
        <w:trPr>
          <w:trHeight w:val="219"/>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assets</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163,183</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83,544</w:t>
            </w:r>
          </w:p>
        </w:tc>
        <w:tc>
          <w:tcPr>
            <w:tcW w:w="0" w:type="dxa"/>
            <w:vAlign w:val="bottom"/>
          </w:tcPr>
          <w:p>
            <w:pPr>
              <w:spacing w:after="0"/>
              <w:rPr>
                <w:sz w:val="1"/>
                <w:szCs w:val="1"/>
                <w:color w:val="auto"/>
              </w:rPr>
            </w:pPr>
          </w:p>
        </w:tc>
      </w:tr>
      <w:tr>
        <w:trPr>
          <w:trHeight w:val="207"/>
        </w:trPr>
        <w:tc>
          <w:tcPr>
            <w:tcW w:w="7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Total Assets</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7,810,193</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3,617,579</w:t>
            </w:r>
          </w:p>
        </w:tc>
        <w:tc>
          <w:tcPr>
            <w:tcW w:w="0" w:type="dxa"/>
            <w:vAlign w:val="bottom"/>
          </w:tcPr>
          <w:p>
            <w:pPr>
              <w:spacing w:after="0"/>
              <w:rPr>
                <w:sz w:val="1"/>
                <w:szCs w:val="1"/>
                <w:color w:val="auto"/>
              </w:rPr>
            </w:pPr>
          </w:p>
        </w:tc>
      </w:tr>
      <w:tr>
        <w:trPr>
          <w:trHeight w:val="145"/>
        </w:trPr>
        <w:tc>
          <w:tcPr>
            <w:tcW w:w="7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5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4"/>
        </w:trPr>
        <w:tc>
          <w:tcPr>
            <w:tcW w:w="78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Liabilities and Shareholders’ Equity</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Liabilities</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Non-interest-bearing deposits</w:t>
            </w:r>
          </w:p>
        </w:tc>
        <w:tc>
          <w:tcPr>
            <w:tcW w:w="32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1,397,030</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830,320</w:t>
            </w:r>
          </w:p>
        </w:tc>
        <w:tc>
          <w:tcPr>
            <w:tcW w:w="0" w:type="dxa"/>
            <w:vAlign w:val="bottom"/>
          </w:tcPr>
          <w:p>
            <w:pPr>
              <w:spacing w:after="0"/>
              <w:rPr>
                <w:sz w:val="1"/>
                <w:szCs w:val="1"/>
                <w:color w:val="auto"/>
              </w:rPr>
            </w:pPr>
          </w:p>
        </w:tc>
      </w:tr>
      <w:tr>
        <w:trPr>
          <w:trHeight w:val="219"/>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Interest-bearing deposits</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5,242,541</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2,171,561</w:t>
            </w:r>
          </w:p>
        </w:tc>
        <w:tc>
          <w:tcPr>
            <w:tcW w:w="0" w:type="dxa"/>
            <w:vAlign w:val="bottom"/>
          </w:tcPr>
          <w:p>
            <w:pPr>
              <w:spacing w:after="0"/>
              <w:rPr>
                <w:sz w:val="1"/>
                <w:szCs w:val="1"/>
                <w:color w:val="auto"/>
              </w:rPr>
            </w:pPr>
          </w:p>
        </w:tc>
      </w:tr>
      <w:tr>
        <w:trPr>
          <w:trHeight w:val="207"/>
        </w:trPr>
        <w:tc>
          <w:tcPr>
            <w:tcW w:w="7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Total deposits</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6,639,571</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3,001,881</w:t>
            </w:r>
          </w:p>
        </w:tc>
        <w:tc>
          <w:tcPr>
            <w:tcW w:w="0" w:type="dxa"/>
            <w:vAlign w:val="bottom"/>
          </w:tcPr>
          <w:p>
            <w:pPr>
              <w:spacing w:after="0"/>
              <w:rPr>
                <w:sz w:val="1"/>
                <w:szCs w:val="1"/>
                <w:color w:val="auto"/>
              </w:rPr>
            </w:pPr>
          </w:p>
        </w:tc>
      </w:tr>
      <w:tr>
        <w:trPr>
          <w:trHeight w:val="212"/>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Short-term borrowings</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285,161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272,000</w:t>
            </w:r>
          </w:p>
        </w:tc>
        <w:tc>
          <w:tcPr>
            <w:tcW w:w="0" w:type="dxa"/>
            <w:vAlign w:val="bottom"/>
          </w:tcPr>
          <w:p>
            <w:pPr>
              <w:spacing w:after="0"/>
              <w:rPr>
                <w:sz w:val="1"/>
                <w:szCs w:val="1"/>
                <w:color w:val="auto"/>
              </w:rPr>
            </w:pPr>
          </w:p>
        </w:tc>
      </w:tr>
      <w:tr>
        <w:trPr>
          <w:trHeight w:val="213"/>
        </w:trPr>
        <w:tc>
          <w:tcPr>
            <w:tcW w:w="7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Subordinated debentures, net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92,178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Subordinated debentures owed to unconsolidated subsidiary trusts</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16,886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7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Accrued interest and other liabilities</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83,271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28,948</w:t>
            </w:r>
          </w:p>
        </w:tc>
        <w:tc>
          <w:tcPr>
            <w:tcW w:w="0" w:type="dxa"/>
            <w:vAlign w:val="bottom"/>
          </w:tcPr>
          <w:p>
            <w:pPr>
              <w:spacing w:after="0"/>
              <w:rPr>
                <w:sz w:val="1"/>
                <w:szCs w:val="1"/>
                <w:color w:val="auto"/>
              </w:rPr>
            </w:pPr>
          </w:p>
        </w:tc>
      </w:tr>
      <w:tr>
        <w:trPr>
          <w:trHeight w:val="217"/>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 Liabilities</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7,117,067</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3,302,829</w:t>
            </w:r>
          </w:p>
        </w:tc>
        <w:tc>
          <w:tcPr>
            <w:tcW w:w="0" w:type="dxa"/>
            <w:vAlign w:val="bottom"/>
          </w:tcPr>
          <w:p>
            <w:pPr>
              <w:spacing w:after="0"/>
              <w:rPr>
                <w:sz w:val="1"/>
                <w:szCs w:val="1"/>
                <w:color w:val="auto"/>
              </w:rPr>
            </w:pPr>
          </w:p>
        </w:tc>
      </w:tr>
      <w:tr>
        <w:trPr>
          <w:trHeight w:val="144"/>
        </w:trPr>
        <w:tc>
          <w:tcPr>
            <w:tcW w:w="7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Commitments and contingent liabilities (see Note 10)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7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Shareholders’ Equity</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7820" w:type="dxa"/>
            <w:vAlign w:val="bottom"/>
            <w:shd w:val="clear" w:color="auto" w:fill="CCEEFF"/>
          </w:tcPr>
          <w:p>
            <w:pPr>
              <w:ind w:left="20"/>
              <w:spacing w:after="0" w:line="166" w:lineRule="exact"/>
              <w:rPr>
                <w:sz w:val="20"/>
                <w:szCs w:val="20"/>
                <w:color w:val="auto"/>
              </w:rPr>
            </w:pPr>
            <w:r>
              <w:rPr>
                <w:rFonts w:ascii="Times New Roman" w:cs="Times New Roman" w:eastAsia="Times New Roman" w:hAnsi="Times New Roman"/>
                <w:sz w:val="16"/>
                <w:szCs w:val="16"/>
                <w:color w:val="auto"/>
              </w:rPr>
              <w:t>Preferred stock and related surplus, $1.00 par value per share; 2,000,000 shares authorized; 1,500 shares issued and</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3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10,413</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5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78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outstanding at June 30, 2024; no shares issued and outstanding at December 31, 2023</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Common Stock</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7,752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4,000</w:t>
            </w:r>
          </w:p>
        </w:tc>
        <w:tc>
          <w:tcPr>
            <w:tcW w:w="0" w:type="dxa"/>
            <w:vAlign w:val="bottom"/>
          </w:tcPr>
          <w:p>
            <w:pPr>
              <w:spacing w:after="0"/>
              <w:rPr>
                <w:sz w:val="1"/>
                <w:szCs w:val="1"/>
                <w:color w:val="auto"/>
              </w:rPr>
            </w:pPr>
          </w:p>
        </w:tc>
      </w:tr>
      <w:tr>
        <w:trPr>
          <w:trHeight w:val="168"/>
        </w:trPr>
        <w:tc>
          <w:tcPr>
            <w:tcW w:w="7820" w:type="dxa"/>
            <w:vAlign w:val="bottom"/>
          </w:tcPr>
          <w:p>
            <w:pPr>
              <w:ind w:left="20"/>
              <w:spacing w:after="0" w:line="168" w:lineRule="exact"/>
              <w:rPr>
                <w:sz w:val="20"/>
                <w:szCs w:val="20"/>
                <w:color w:val="auto"/>
              </w:rPr>
            </w:pPr>
            <w:r>
              <w:rPr>
                <w:rFonts w:ascii="Times New Roman" w:cs="Times New Roman" w:eastAsia="Times New Roman" w:hAnsi="Times New Roman"/>
                <w:sz w:val="16"/>
                <w:szCs w:val="16"/>
                <w:color w:val="auto"/>
              </w:rPr>
              <w:t>$0.50 par value; 20,000,000 shares authorized, 15,503,459 shares issued and 14,932,169 shares outstanding at June 30,</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78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2024; 8,000,000 shares issued and 7,428,710 shares outstanding at December 31, 2023</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Common stock, additional paid-in capital</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399,553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14,495</w:t>
            </w:r>
          </w:p>
        </w:tc>
        <w:tc>
          <w:tcPr>
            <w:tcW w:w="0" w:type="dxa"/>
            <w:vAlign w:val="bottom"/>
          </w:tcPr>
          <w:p>
            <w:pPr>
              <w:spacing w:after="0"/>
              <w:rPr>
                <w:sz w:val="1"/>
                <w:szCs w:val="1"/>
                <w:color w:val="auto"/>
              </w:rPr>
            </w:pPr>
          </w:p>
        </w:tc>
      </w:tr>
      <w:tr>
        <w:trPr>
          <w:trHeight w:val="213"/>
        </w:trPr>
        <w:tc>
          <w:tcPr>
            <w:tcW w:w="7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Retained earnings</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403,422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427,333</w:t>
            </w:r>
          </w:p>
        </w:tc>
        <w:tc>
          <w:tcPr>
            <w:tcW w:w="0" w:type="dxa"/>
            <w:vAlign w:val="bottom"/>
          </w:tcPr>
          <w:p>
            <w:pPr>
              <w:spacing w:after="0"/>
              <w:rPr>
                <w:sz w:val="1"/>
                <w:szCs w:val="1"/>
                <w:color w:val="auto"/>
              </w:rPr>
            </w:pPr>
          </w:p>
        </w:tc>
      </w:tr>
      <w:tr>
        <w:trPr>
          <w:trHeight w:val="219"/>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Accumulated other comprehensive income (loss)</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(100,430)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(103,494)</w:t>
            </w:r>
          </w:p>
        </w:tc>
        <w:tc>
          <w:tcPr>
            <w:tcW w:w="0" w:type="dxa"/>
            <w:vAlign w:val="bottom"/>
          </w:tcPr>
          <w:p>
            <w:pPr>
              <w:spacing w:after="0"/>
              <w:rPr>
                <w:sz w:val="1"/>
                <w:szCs w:val="1"/>
                <w:color w:val="auto"/>
              </w:rPr>
            </w:pPr>
          </w:p>
        </w:tc>
      </w:tr>
      <w:tr>
        <w:trPr>
          <w:trHeight w:val="210"/>
        </w:trPr>
        <w:tc>
          <w:tcPr>
            <w:tcW w:w="7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Treasury stock</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(27,584)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(27,584)</w:t>
            </w:r>
          </w:p>
        </w:tc>
        <w:tc>
          <w:tcPr>
            <w:tcW w:w="0" w:type="dxa"/>
            <w:vAlign w:val="bottom"/>
          </w:tcPr>
          <w:p>
            <w:pPr>
              <w:spacing w:after="0"/>
              <w:rPr>
                <w:sz w:val="1"/>
                <w:szCs w:val="1"/>
                <w:color w:val="auto"/>
              </w:rPr>
            </w:pPr>
          </w:p>
        </w:tc>
      </w:tr>
      <w:tr>
        <w:trPr>
          <w:trHeight w:val="219"/>
        </w:trPr>
        <w:tc>
          <w:tcPr>
            <w:tcW w:w="7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571,290 shares, at cost, at June 30, 2024, and 571,290 shares, at cost, at December 31, 2023</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 Shareholders’ Equity</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693,126</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314,750</w:t>
            </w:r>
          </w:p>
        </w:tc>
        <w:tc>
          <w:tcPr>
            <w:tcW w:w="0" w:type="dxa"/>
            <w:vAlign w:val="bottom"/>
          </w:tcPr>
          <w:p>
            <w:pPr>
              <w:spacing w:after="0"/>
              <w:rPr>
                <w:sz w:val="1"/>
                <w:szCs w:val="1"/>
                <w:color w:val="auto"/>
              </w:rPr>
            </w:pPr>
          </w:p>
        </w:tc>
      </w:tr>
      <w:tr>
        <w:trPr>
          <w:trHeight w:val="207"/>
        </w:trPr>
        <w:tc>
          <w:tcPr>
            <w:tcW w:w="78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Total Liabilities and Shareholders’ Equity</w:t>
            </w:r>
          </w:p>
        </w:tc>
        <w:tc>
          <w:tcPr>
            <w:tcW w:w="100" w:type="dxa"/>
            <w:vAlign w:val="bottom"/>
          </w:tcPr>
          <w:p>
            <w:pPr>
              <w:spacing w:after="0"/>
              <w:rPr>
                <w:sz w:val="17"/>
                <w:szCs w:val="17"/>
                <w:color w:val="auto"/>
              </w:rPr>
            </w:pP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7,810,193</w:t>
            </w:r>
          </w:p>
        </w:tc>
        <w:tc>
          <w:tcPr>
            <w:tcW w:w="10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3,617,579</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18"/>
          <w:szCs w:val="18"/>
          <w:b w:val="1"/>
          <w:bCs w:val="1"/>
          <w:color w:val="auto"/>
        </w:rPr>
        <w:t>Burke &amp; Herbert Financial Services Corp.</w:t>
      </w:r>
    </w:p>
    <w:p>
      <w:pPr>
        <w:spacing w:after="0" w:line="9" w:lineRule="exact"/>
        <w:rPr>
          <w:sz w:val="20"/>
          <w:szCs w:val="20"/>
          <w:color w:val="auto"/>
        </w:rPr>
      </w:pPr>
    </w:p>
    <w:p>
      <w:pPr>
        <w:ind w:left="4000"/>
        <w:spacing w:after="0"/>
        <w:rPr>
          <w:sz w:val="20"/>
          <w:szCs w:val="20"/>
          <w:color w:val="auto"/>
        </w:rPr>
      </w:pPr>
      <w:r>
        <w:rPr>
          <w:rFonts w:ascii="Times New Roman" w:cs="Times New Roman" w:eastAsia="Times New Roman" w:hAnsi="Times New Roman"/>
          <w:sz w:val="18"/>
          <w:szCs w:val="18"/>
          <w:b w:val="1"/>
          <w:bCs w:val="1"/>
          <w:color w:val="auto"/>
        </w:rPr>
        <w:t>Consolidated Statements of Income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060" w:type="dxa"/>
            <w:vAlign w:val="bottom"/>
          </w:tcPr>
          <w:p>
            <w:pPr>
              <w:spacing w:after="0"/>
              <w:rPr>
                <w:sz w:val="16"/>
                <w:szCs w:val="16"/>
                <w:color w:val="auto"/>
              </w:rPr>
            </w:pPr>
          </w:p>
        </w:tc>
        <w:tc>
          <w:tcPr>
            <w:tcW w:w="248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700" w:type="dxa"/>
            <w:vAlign w:val="bottom"/>
            <w:gridSpan w:val="4"/>
          </w:tcPr>
          <w:p>
            <w:pPr>
              <w:jc w:val="right"/>
              <w:ind w:right="599"/>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203"/>
        </w:trPr>
        <w:tc>
          <w:tcPr>
            <w:tcW w:w="50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40" w:type="dxa"/>
            <w:vAlign w:val="bottom"/>
          </w:tcPr>
          <w:p>
            <w:pPr>
              <w:jc w:val="right"/>
              <w:ind w:right="519"/>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jc w:val="right"/>
              <w:ind w:right="519"/>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3"/>
        </w:trPr>
        <w:tc>
          <w:tcPr>
            <w:tcW w:w="506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196"/>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Interest income</w:t>
            </w:r>
          </w:p>
        </w:tc>
        <w:tc>
          <w:tcPr>
            <w:tcW w:w="8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r>
      <w:tr>
        <w:trPr>
          <w:trHeight w:val="213"/>
        </w:trPr>
        <w:tc>
          <w:tcPr>
            <w:tcW w:w="5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Taxable loans, including fees</w:t>
            </w:r>
          </w:p>
        </w:tc>
        <w:tc>
          <w:tcPr>
            <w:tcW w:w="880" w:type="dxa"/>
            <w:vAlign w:val="bottom"/>
          </w:tcPr>
          <w:p>
            <w:pPr>
              <w:jc w:val="right"/>
              <w:ind w:right="703"/>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81,673</w:t>
            </w:r>
          </w:p>
        </w:tc>
        <w:tc>
          <w:tcPr>
            <w:tcW w:w="100" w:type="dxa"/>
            <w:vAlign w:val="bottom"/>
          </w:tcPr>
          <w:p>
            <w:pPr>
              <w:spacing w:after="0"/>
              <w:rPr>
                <w:sz w:val="18"/>
                <w:szCs w:val="18"/>
                <w:color w:val="auto"/>
              </w:rPr>
            </w:pPr>
          </w:p>
        </w:tc>
        <w:tc>
          <w:tcPr>
            <w:tcW w:w="920" w:type="dxa"/>
            <w:vAlign w:val="bottom"/>
          </w:tcPr>
          <w:p>
            <w:pPr>
              <w:jc w:val="right"/>
              <w:ind w:right="741"/>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25,300</w:t>
            </w:r>
          </w:p>
        </w:tc>
        <w:tc>
          <w:tcPr>
            <w:tcW w:w="80" w:type="dxa"/>
            <w:vAlign w:val="bottom"/>
          </w:tcPr>
          <w:p>
            <w:pPr>
              <w:spacing w:after="0"/>
              <w:rPr>
                <w:sz w:val="18"/>
                <w:szCs w:val="18"/>
                <w:color w:val="auto"/>
              </w:rPr>
            </w:pP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109,718</w:t>
            </w:r>
          </w:p>
        </w:tc>
        <w:tc>
          <w:tcPr>
            <w:tcW w:w="80" w:type="dxa"/>
            <w:vAlign w:val="bottom"/>
          </w:tcPr>
          <w:p>
            <w:pPr>
              <w:spacing w:after="0"/>
              <w:rPr>
                <w:sz w:val="18"/>
                <w:szCs w:val="18"/>
                <w:color w:val="auto"/>
              </w:rPr>
            </w:pP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48,060</w:t>
            </w:r>
          </w:p>
        </w:tc>
      </w:tr>
      <w:tr>
        <w:trPr>
          <w:trHeight w:val="232"/>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Tax-exempt loans, including fees</w:t>
            </w:r>
          </w:p>
        </w:tc>
        <w:tc>
          <w:tcPr>
            <w:tcW w:w="880" w:type="dxa"/>
            <w:vAlign w:val="bottom"/>
            <w:shd w:val="clear" w:color="auto" w:fill="CCEEFF"/>
          </w:tcPr>
          <w:p>
            <w:pPr>
              <w:spacing w:after="0"/>
              <w:rPr>
                <w:sz w:val="20"/>
                <w:szCs w:val="20"/>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3"/>
        </w:trPr>
        <w:tc>
          <w:tcPr>
            <w:tcW w:w="5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Taxable securities</w:t>
            </w:r>
          </w:p>
        </w:tc>
        <w:tc>
          <w:tcPr>
            <w:tcW w:w="8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10,930</w:t>
            </w: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9,419</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19,873</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19,221</w:t>
            </w:r>
          </w:p>
        </w:tc>
      </w:tr>
      <w:tr>
        <w:trPr>
          <w:trHeight w:val="219"/>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Tax-exempt securities</w:t>
            </w:r>
          </w:p>
        </w:tc>
        <w:tc>
          <w:tcPr>
            <w:tcW w:w="8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2,556</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1,409</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3,917</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2,867</w:t>
            </w:r>
          </w:p>
        </w:tc>
      </w:tr>
      <w:tr>
        <w:trPr>
          <w:trHeight w:val="213"/>
        </w:trPr>
        <w:tc>
          <w:tcPr>
            <w:tcW w:w="5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interest income</w:t>
            </w:r>
          </w:p>
        </w:tc>
        <w:tc>
          <w:tcPr>
            <w:tcW w:w="8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905</w:t>
            </w:r>
          </w:p>
        </w:tc>
        <w:tc>
          <w:tcPr>
            <w:tcW w:w="100" w:type="dxa"/>
            <w:vAlign w:val="bottom"/>
            <w:tcBorders>
              <w:bottom w:val="single" w:sz="8" w:color="CCEEFF"/>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988</w:t>
            </w:r>
          </w:p>
        </w:tc>
        <w:tc>
          <w:tcPr>
            <w:tcW w:w="8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1,301</w:t>
            </w:r>
          </w:p>
        </w:tc>
        <w:tc>
          <w:tcPr>
            <w:tcW w:w="8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1,296</w:t>
            </w:r>
          </w:p>
        </w:tc>
      </w:tr>
      <w:tr>
        <w:trPr>
          <w:trHeight w:val="212"/>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interest income</w:t>
            </w:r>
          </w:p>
        </w:tc>
        <w:tc>
          <w:tcPr>
            <w:tcW w:w="8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96,097</w:t>
            </w:r>
          </w:p>
        </w:tc>
        <w:tc>
          <w:tcPr>
            <w:tcW w:w="100" w:type="dxa"/>
            <w:vAlign w:val="bottom"/>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37,116</w:t>
            </w:r>
          </w:p>
        </w:tc>
        <w:tc>
          <w:tcPr>
            <w:tcW w:w="8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134,842</w:t>
            </w:r>
          </w:p>
        </w:tc>
        <w:tc>
          <w:tcPr>
            <w:tcW w:w="8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71,444</w:t>
            </w:r>
          </w:p>
        </w:tc>
      </w:tr>
      <w:tr>
        <w:trPr>
          <w:trHeight w:val="194"/>
        </w:trPr>
        <w:tc>
          <w:tcPr>
            <w:tcW w:w="50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Interest expense</w:t>
            </w:r>
          </w:p>
        </w:tc>
        <w:tc>
          <w:tcPr>
            <w:tcW w:w="8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218"/>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Deposits</w:t>
            </w:r>
          </w:p>
        </w:tc>
        <w:tc>
          <w:tcPr>
            <w:tcW w:w="8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30,373</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10,030</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43,304</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15,431</w:t>
            </w:r>
          </w:p>
        </w:tc>
      </w:tr>
      <w:tr>
        <w:trPr>
          <w:trHeight w:val="213"/>
        </w:trPr>
        <w:tc>
          <w:tcPr>
            <w:tcW w:w="5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Short-term borrowings</w:t>
            </w:r>
          </w:p>
        </w:tc>
        <w:tc>
          <w:tcPr>
            <w:tcW w:w="8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4,071</w:t>
            </w: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3,279</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7,726</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7,417</w:t>
            </w:r>
          </w:p>
        </w:tc>
      </w:tr>
      <w:tr>
        <w:trPr>
          <w:trHeight w:val="219"/>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Subordinated debt</w:t>
            </w:r>
          </w:p>
        </w:tc>
        <w:tc>
          <w:tcPr>
            <w:tcW w:w="8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1,860</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1,860</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5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interest expense</w:t>
            </w:r>
          </w:p>
        </w:tc>
        <w:tc>
          <w:tcPr>
            <w:tcW w:w="8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100" w:type="dxa"/>
            <w:vAlign w:val="bottom"/>
            <w:tcBorders>
              <w:bottom w:val="single" w:sz="8" w:color="CCEEFF"/>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8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56</w:t>
            </w:r>
          </w:p>
        </w:tc>
        <w:tc>
          <w:tcPr>
            <w:tcW w:w="8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w:t>
            </w:r>
          </w:p>
        </w:tc>
      </w:tr>
      <w:tr>
        <w:trPr>
          <w:trHeight w:val="212"/>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interest expense</w:t>
            </w:r>
          </w:p>
        </w:tc>
        <w:tc>
          <w:tcPr>
            <w:tcW w:w="8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36,332</w:t>
            </w:r>
          </w:p>
        </w:tc>
        <w:tc>
          <w:tcPr>
            <w:tcW w:w="100" w:type="dxa"/>
            <w:vAlign w:val="bottom"/>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13,324</w:t>
            </w:r>
          </w:p>
        </w:tc>
        <w:tc>
          <w:tcPr>
            <w:tcW w:w="8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52,946</w:t>
            </w:r>
          </w:p>
        </w:tc>
        <w:tc>
          <w:tcPr>
            <w:tcW w:w="8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22,878</w:t>
            </w:r>
          </w:p>
        </w:tc>
      </w:tr>
      <w:tr>
        <w:trPr>
          <w:trHeight w:val="207"/>
        </w:trPr>
        <w:tc>
          <w:tcPr>
            <w:tcW w:w="5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Net interest income</w:t>
            </w:r>
          </w:p>
        </w:tc>
        <w:tc>
          <w:tcPr>
            <w:tcW w:w="88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59,765</w:t>
            </w:r>
          </w:p>
        </w:tc>
        <w:tc>
          <w:tcPr>
            <w:tcW w:w="100" w:type="dxa"/>
            <w:vAlign w:val="bottom"/>
            <w:tcBorders>
              <w:bottom w:val="single" w:sz="8" w:color="CCEEFF"/>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23,792</w:t>
            </w:r>
          </w:p>
        </w:tc>
        <w:tc>
          <w:tcPr>
            <w:tcW w:w="8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81,896</w:t>
            </w:r>
          </w:p>
        </w:tc>
        <w:tc>
          <w:tcPr>
            <w:tcW w:w="8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48,566</w:t>
            </w:r>
          </w:p>
        </w:tc>
      </w:tr>
      <w:tr>
        <w:trPr>
          <w:trHeight w:val="199"/>
        </w:trPr>
        <w:tc>
          <w:tcPr>
            <w:tcW w:w="50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r>
      <w:tr>
        <w:trPr>
          <w:trHeight w:val="213"/>
        </w:trPr>
        <w:tc>
          <w:tcPr>
            <w:tcW w:w="5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Credit loss expense - loans and available-for-sale securities</w:t>
            </w:r>
          </w:p>
        </w:tc>
        <w:tc>
          <w:tcPr>
            <w:tcW w:w="8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20,100</w:t>
            </w: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310</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19,430</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833</w:t>
            </w:r>
          </w:p>
        </w:tc>
      </w:tr>
      <w:tr>
        <w:trPr>
          <w:trHeight w:val="219"/>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Credit loss expense - off-balance sheet credit exposures</w:t>
            </w:r>
          </w:p>
        </w:tc>
        <w:tc>
          <w:tcPr>
            <w:tcW w:w="88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3,810</w:t>
            </w:r>
          </w:p>
        </w:tc>
        <w:tc>
          <w:tcPr>
            <w:tcW w:w="100" w:type="dxa"/>
            <w:vAlign w:val="bottom"/>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w:t>
            </w:r>
          </w:p>
        </w:tc>
        <w:tc>
          <w:tcPr>
            <w:tcW w:w="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3,810</w:t>
            </w:r>
          </w:p>
        </w:tc>
        <w:tc>
          <w:tcPr>
            <w:tcW w:w="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w:t>
            </w:r>
          </w:p>
        </w:tc>
      </w:tr>
      <w:tr>
        <w:trPr>
          <w:trHeight w:val="207"/>
        </w:trPr>
        <w:tc>
          <w:tcPr>
            <w:tcW w:w="5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Total provision for credit losses</w:t>
            </w:r>
          </w:p>
        </w:tc>
        <w:tc>
          <w:tcPr>
            <w:tcW w:w="88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23,910</w:t>
            </w:r>
          </w:p>
        </w:tc>
        <w:tc>
          <w:tcPr>
            <w:tcW w:w="100" w:type="dxa"/>
            <w:vAlign w:val="bottom"/>
            <w:tcBorders>
              <w:bottom w:val="single" w:sz="8" w:color="CCEEFF"/>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214</w:t>
            </w:r>
          </w:p>
        </w:tc>
        <w:tc>
          <w:tcPr>
            <w:tcW w:w="8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23,240</w:t>
            </w:r>
          </w:p>
        </w:tc>
        <w:tc>
          <w:tcPr>
            <w:tcW w:w="8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729</w:t>
            </w:r>
          </w:p>
        </w:tc>
      </w:tr>
      <w:tr>
        <w:trPr>
          <w:trHeight w:val="210"/>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interest income after credit loss expense</w:t>
            </w:r>
          </w:p>
        </w:tc>
        <w:tc>
          <w:tcPr>
            <w:tcW w:w="8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35,855</w:t>
            </w:r>
          </w:p>
        </w:tc>
        <w:tc>
          <w:tcPr>
            <w:tcW w:w="100" w:type="dxa"/>
            <w:vAlign w:val="bottom"/>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23,578</w:t>
            </w:r>
          </w:p>
        </w:tc>
        <w:tc>
          <w:tcPr>
            <w:tcW w:w="8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58,656</w:t>
            </w:r>
          </w:p>
        </w:tc>
        <w:tc>
          <w:tcPr>
            <w:tcW w:w="8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47,837</w:t>
            </w:r>
          </w:p>
        </w:tc>
      </w:tr>
      <w:tr>
        <w:trPr>
          <w:trHeight w:val="199"/>
        </w:trPr>
        <w:tc>
          <w:tcPr>
            <w:tcW w:w="50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16"/>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Non-interest income</w:t>
            </w:r>
          </w:p>
        </w:tc>
        <w:tc>
          <w:tcPr>
            <w:tcW w:w="8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13"/>
        </w:trPr>
        <w:tc>
          <w:tcPr>
            <w:tcW w:w="5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Fiduciary and wealth management</w:t>
            </w:r>
          </w:p>
        </w:tc>
        <w:tc>
          <w:tcPr>
            <w:tcW w:w="8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2,211</w:t>
            </w: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1,305</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3,630</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2,642</w:t>
            </w:r>
          </w:p>
        </w:tc>
      </w:tr>
      <w:tr>
        <w:trPr>
          <w:trHeight w:val="219"/>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Service charges and fees</w:t>
            </w:r>
          </w:p>
        </w:tc>
        <w:tc>
          <w:tcPr>
            <w:tcW w:w="8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4,088</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1,741</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5,694</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3,376</w:t>
            </w:r>
          </w:p>
        </w:tc>
      </w:tr>
      <w:tr>
        <w:trPr>
          <w:trHeight w:val="213"/>
        </w:trPr>
        <w:tc>
          <w:tcPr>
            <w:tcW w:w="5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gains (losses) on securities</w:t>
            </w:r>
          </w:p>
        </w:tc>
        <w:tc>
          <w:tcPr>
            <w:tcW w:w="8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613</w:t>
            </w: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613</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w:t>
            </w:r>
          </w:p>
        </w:tc>
      </w:tr>
      <w:tr>
        <w:trPr>
          <w:trHeight w:val="219"/>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from company-owned life insurance</w:t>
            </w:r>
          </w:p>
        </w:tc>
        <w:tc>
          <w:tcPr>
            <w:tcW w:w="8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922</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571</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1,469</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1,131</w:t>
            </w:r>
          </w:p>
        </w:tc>
      </w:tr>
      <w:tr>
        <w:trPr>
          <w:trHeight w:val="213"/>
        </w:trPr>
        <w:tc>
          <w:tcPr>
            <w:tcW w:w="5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non-interest income</w:t>
            </w:r>
          </w:p>
        </w:tc>
        <w:tc>
          <w:tcPr>
            <w:tcW w:w="8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1,671</w:t>
            </w:r>
          </w:p>
        </w:tc>
        <w:tc>
          <w:tcPr>
            <w:tcW w:w="100" w:type="dxa"/>
            <w:vAlign w:val="bottom"/>
            <w:tcBorders>
              <w:bottom w:val="single" w:sz="8" w:color="CCEEFF"/>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1,119</w:t>
            </w:r>
          </w:p>
        </w:tc>
        <w:tc>
          <w:tcPr>
            <w:tcW w:w="8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2,353</w:t>
            </w:r>
          </w:p>
        </w:tc>
        <w:tc>
          <w:tcPr>
            <w:tcW w:w="8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1,801</w:t>
            </w:r>
          </w:p>
        </w:tc>
      </w:tr>
      <w:tr>
        <w:trPr>
          <w:trHeight w:val="210"/>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 non-interest income</w:t>
            </w:r>
          </w:p>
        </w:tc>
        <w:tc>
          <w:tcPr>
            <w:tcW w:w="8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9,505</w:t>
            </w:r>
          </w:p>
        </w:tc>
        <w:tc>
          <w:tcPr>
            <w:tcW w:w="100" w:type="dxa"/>
            <w:vAlign w:val="bottom"/>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4,625</w:t>
            </w:r>
          </w:p>
        </w:tc>
        <w:tc>
          <w:tcPr>
            <w:tcW w:w="8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13,759</w:t>
            </w:r>
          </w:p>
        </w:tc>
        <w:tc>
          <w:tcPr>
            <w:tcW w:w="8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8,839</w:t>
            </w:r>
          </w:p>
        </w:tc>
      </w:tr>
      <w:tr>
        <w:trPr>
          <w:trHeight w:val="199"/>
        </w:trPr>
        <w:tc>
          <w:tcPr>
            <w:tcW w:w="50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16"/>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Non-interest expense</w:t>
            </w:r>
          </w:p>
        </w:tc>
        <w:tc>
          <w:tcPr>
            <w:tcW w:w="8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13"/>
        </w:trPr>
        <w:tc>
          <w:tcPr>
            <w:tcW w:w="5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Salaries and wages</w:t>
            </w:r>
          </w:p>
        </w:tc>
        <w:tc>
          <w:tcPr>
            <w:tcW w:w="8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20,895</w:t>
            </w: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9,922</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30,413</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19,416</w:t>
            </w:r>
          </w:p>
        </w:tc>
      </w:tr>
      <w:tr>
        <w:trPr>
          <w:trHeight w:val="219"/>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Pensions and other employee benefits</w:t>
            </w:r>
          </w:p>
        </w:tc>
        <w:tc>
          <w:tcPr>
            <w:tcW w:w="8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5,303</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2,406</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7,668</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4,874</w:t>
            </w:r>
          </w:p>
        </w:tc>
      </w:tr>
      <w:tr>
        <w:trPr>
          <w:trHeight w:val="213"/>
        </w:trPr>
        <w:tc>
          <w:tcPr>
            <w:tcW w:w="5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Occupancy</w:t>
            </w:r>
          </w:p>
        </w:tc>
        <w:tc>
          <w:tcPr>
            <w:tcW w:w="8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2,997</w:t>
            </w: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1,545</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4,535</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3,002</w:t>
            </w:r>
          </w:p>
        </w:tc>
      </w:tr>
      <w:tr>
        <w:trPr>
          <w:trHeight w:val="219"/>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Equipment rentals, depreciation and maintenance</w:t>
            </w:r>
          </w:p>
        </w:tc>
        <w:tc>
          <w:tcPr>
            <w:tcW w:w="8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12,663</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1,457</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13,944</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2,796</w:t>
            </w:r>
          </w:p>
        </w:tc>
      </w:tr>
      <w:tr>
        <w:trPr>
          <w:trHeight w:val="213"/>
        </w:trPr>
        <w:tc>
          <w:tcPr>
            <w:tcW w:w="5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operating</w:t>
            </w:r>
          </w:p>
        </w:tc>
        <w:tc>
          <w:tcPr>
            <w:tcW w:w="8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22,574</w:t>
            </w:r>
          </w:p>
        </w:tc>
        <w:tc>
          <w:tcPr>
            <w:tcW w:w="100" w:type="dxa"/>
            <w:vAlign w:val="bottom"/>
            <w:tcBorders>
              <w:bottom w:val="single" w:sz="8" w:color="CCEEFF"/>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6,018</w:t>
            </w:r>
          </w:p>
        </w:tc>
        <w:tc>
          <w:tcPr>
            <w:tcW w:w="8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29,037</w:t>
            </w:r>
          </w:p>
        </w:tc>
        <w:tc>
          <w:tcPr>
            <w:tcW w:w="8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11,625</w:t>
            </w:r>
          </w:p>
        </w:tc>
      </w:tr>
      <w:tr>
        <w:trPr>
          <w:trHeight w:val="209"/>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 non-interest expense</w:t>
            </w:r>
          </w:p>
        </w:tc>
        <w:tc>
          <w:tcPr>
            <w:tcW w:w="8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64,432</w:t>
            </w:r>
          </w:p>
        </w:tc>
        <w:tc>
          <w:tcPr>
            <w:tcW w:w="100" w:type="dxa"/>
            <w:vAlign w:val="bottom"/>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21,348</w:t>
            </w:r>
          </w:p>
        </w:tc>
        <w:tc>
          <w:tcPr>
            <w:tcW w:w="8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85,597</w:t>
            </w:r>
          </w:p>
        </w:tc>
        <w:tc>
          <w:tcPr>
            <w:tcW w:w="8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41,713</w:t>
            </w:r>
          </w:p>
        </w:tc>
      </w:tr>
      <w:tr>
        <w:trPr>
          <w:trHeight w:val="199"/>
        </w:trPr>
        <w:tc>
          <w:tcPr>
            <w:tcW w:w="50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16"/>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(loss) before income taxes</w:t>
            </w:r>
          </w:p>
        </w:tc>
        <w:tc>
          <w:tcPr>
            <w:tcW w:w="8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8"/>
              </w:rPr>
              <w:t>(19,072)</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6,855</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(13,182)</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14,963</w:t>
            </w:r>
          </w:p>
        </w:tc>
      </w:tr>
      <w:tr>
        <w:trPr>
          <w:trHeight w:val="213"/>
        </w:trPr>
        <w:tc>
          <w:tcPr>
            <w:tcW w:w="5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Income tax expense (benefit)</w:t>
            </w:r>
          </w:p>
        </w:tc>
        <w:tc>
          <w:tcPr>
            <w:tcW w:w="8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(2,153)</w:t>
            </w:r>
          </w:p>
        </w:tc>
        <w:tc>
          <w:tcPr>
            <w:tcW w:w="100" w:type="dxa"/>
            <w:vAlign w:val="bottom"/>
            <w:tcBorders>
              <w:bottom w:val="single" w:sz="8" w:color="CCEEFF"/>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821</w:t>
            </w:r>
          </w:p>
        </w:tc>
        <w:tc>
          <w:tcPr>
            <w:tcW w:w="8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(1,475)</w:t>
            </w:r>
          </w:p>
        </w:tc>
        <w:tc>
          <w:tcPr>
            <w:tcW w:w="8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1,405</w:t>
            </w:r>
          </w:p>
        </w:tc>
      </w:tr>
      <w:tr>
        <w:trPr>
          <w:trHeight w:val="253"/>
        </w:trPr>
        <w:tc>
          <w:tcPr>
            <w:tcW w:w="506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r>
      <w:tr>
        <w:trPr>
          <w:trHeight w:val="214"/>
        </w:trPr>
        <w:tc>
          <w:tcPr>
            <w:tcW w:w="50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Net income (loss)</w:t>
            </w:r>
          </w:p>
        </w:tc>
        <w:tc>
          <w:tcPr>
            <w:tcW w:w="8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8"/>
              </w:rPr>
              <w:t>(16,919)</w:t>
            </w: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6,034</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(11,707)</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13,558</w:t>
            </w:r>
          </w:p>
        </w:tc>
      </w:tr>
      <w:tr>
        <w:trPr>
          <w:trHeight w:val="218"/>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Preferred stock dividends</w:t>
            </w:r>
          </w:p>
        </w:tc>
        <w:tc>
          <w:tcPr>
            <w:tcW w:w="8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225</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225</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7"/>
        </w:trPr>
        <w:tc>
          <w:tcPr>
            <w:tcW w:w="5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Net income (loss) applicable to common shares</w:t>
            </w:r>
          </w:p>
        </w:tc>
        <w:tc>
          <w:tcPr>
            <w:tcW w:w="880" w:type="dxa"/>
            <w:vAlign w:val="bottom"/>
            <w:tcBorders>
              <w:top w:val="single" w:sz="8" w:color="auto"/>
              <w:bottom w:val="single" w:sz="8" w:color="auto"/>
            </w:tcBorders>
          </w:tcPr>
          <w:p>
            <w:pPr>
              <w:jc w:val="right"/>
              <w:ind w:right="703"/>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8"/>
              </w:rPr>
              <w:t>(17,144)</w:t>
            </w:r>
          </w:p>
        </w:tc>
        <w:tc>
          <w:tcPr>
            <w:tcW w:w="100" w:type="dxa"/>
            <w:vAlign w:val="bottom"/>
            <w:tcBorders>
              <w:bottom w:val="single" w:sz="8" w:color="CCEEFF"/>
            </w:tcBorders>
          </w:tcPr>
          <w:p>
            <w:pPr>
              <w:spacing w:after="0"/>
              <w:rPr>
                <w:sz w:val="17"/>
                <w:szCs w:val="17"/>
                <w:color w:val="auto"/>
              </w:rPr>
            </w:pPr>
          </w:p>
        </w:tc>
        <w:tc>
          <w:tcPr>
            <w:tcW w:w="920" w:type="dxa"/>
            <w:vAlign w:val="bottom"/>
            <w:tcBorders>
              <w:top w:val="single" w:sz="8" w:color="auto"/>
              <w:bottom w:val="single" w:sz="8" w:color="auto"/>
            </w:tcBorders>
          </w:tcPr>
          <w:p>
            <w:pPr>
              <w:jc w:val="right"/>
              <w:ind w:right="741"/>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6,034</w:t>
            </w:r>
          </w:p>
        </w:tc>
        <w:tc>
          <w:tcPr>
            <w:tcW w:w="80" w:type="dxa"/>
            <w:vAlign w:val="bottom"/>
            <w:tcBorders>
              <w:bottom w:val="single" w:sz="8" w:color="CCEEFF"/>
            </w:tcBorders>
          </w:tcPr>
          <w:p>
            <w:pPr>
              <w:spacing w:after="0"/>
              <w:rPr>
                <w:sz w:val="17"/>
                <w:szCs w:val="17"/>
                <w:color w:val="auto"/>
              </w:rPr>
            </w:pPr>
          </w:p>
        </w:tc>
        <w:tc>
          <w:tcPr>
            <w:tcW w:w="360" w:type="dxa"/>
            <w:vAlign w:val="bottom"/>
            <w:tcBorders>
              <w:top w:val="single" w:sz="8" w:color="auto"/>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(11,932)</w:t>
            </w:r>
          </w:p>
        </w:tc>
        <w:tc>
          <w:tcPr>
            <w:tcW w:w="80" w:type="dxa"/>
            <w:vAlign w:val="bottom"/>
            <w:tcBorders>
              <w:bottom w:val="single" w:sz="8" w:color="CCEEFF"/>
            </w:tcBorders>
          </w:tcPr>
          <w:p>
            <w:pPr>
              <w:spacing w:after="0"/>
              <w:rPr>
                <w:sz w:val="17"/>
                <w:szCs w:val="17"/>
                <w:color w:val="auto"/>
              </w:rPr>
            </w:pPr>
          </w:p>
        </w:tc>
        <w:tc>
          <w:tcPr>
            <w:tcW w:w="360" w:type="dxa"/>
            <w:vAlign w:val="bottom"/>
            <w:tcBorders>
              <w:top w:val="single" w:sz="8" w:color="auto"/>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13,558</w:t>
            </w:r>
          </w:p>
        </w:tc>
      </w:tr>
      <w:tr>
        <w:trPr>
          <w:trHeight w:val="199"/>
        </w:trPr>
        <w:tc>
          <w:tcPr>
            <w:tcW w:w="50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r>
      <w:tr>
        <w:trPr>
          <w:trHeight w:val="213"/>
        </w:trPr>
        <w:tc>
          <w:tcPr>
            <w:tcW w:w="5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Earnings (loss) per common share:</w:t>
            </w:r>
          </w:p>
        </w:tc>
        <w:tc>
          <w:tcPr>
            <w:tcW w:w="8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9"/>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Basic</w:t>
            </w:r>
          </w:p>
        </w:tc>
        <w:tc>
          <w:tcPr>
            <w:tcW w:w="880" w:type="dxa"/>
            <w:vAlign w:val="bottom"/>
            <w:shd w:val="clear" w:color="auto" w:fill="CCEEFF"/>
          </w:tcPr>
          <w:p>
            <w:pPr>
              <w:jc w:val="right"/>
              <w:ind w:right="703"/>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(1.41)</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741"/>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0.81</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1.82</w:t>
            </w:r>
          </w:p>
        </w:tc>
      </w:tr>
      <w:tr>
        <w:trPr>
          <w:trHeight w:val="210"/>
        </w:trPr>
        <w:tc>
          <w:tcPr>
            <w:tcW w:w="5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Diluted</w:t>
            </w:r>
          </w:p>
        </w:tc>
        <w:tc>
          <w:tcPr>
            <w:tcW w:w="8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(1.41)</w:t>
            </w: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0.80</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(1.22)</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1.80</w:t>
            </w:r>
          </w:p>
        </w:tc>
      </w:tr>
    </w:tbl>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See Notes to Consolidated Financial Statements.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190500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Burke &amp; Herbert Financial Services Corp.</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Income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25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7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600" w:type="dxa"/>
            <w:vAlign w:val="bottom"/>
            <w:gridSpan w:val="5"/>
          </w:tcPr>
          <w:p>
            <w:pPr>
              <w:ind w:left="18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320" w:type="dxa"/>
            <w:vAlign w:val="bottom"/>
          </w:tcPr>
          <w:p>
            <w:pPr>
              <w:spacing w:after="0"/>
              <w:rPr>
                <w:sz w:val="16"/>
                <w:szCs w:val="16"/>
                <w:color w:val="auto"/>
              </w:rPr>
            </w:pPr>
          </w:p>
        </w:tc>
        <w:tc>
          <w:tcPr>
            <w:tcW w:w="2500" w:type="dxa"/>
            <w:vAlign w:val="bottom"/>
            <w:gridSpan w:val="4"/>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5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7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jc w:val="right"/>
              <w:ind w:right="46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jc w:val="right"/>
              <w:ind w:right="46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3"/>
        </w:trPr>
        <w:tc>
          <w:tcPr>
            <w:tcW w:w="20" w:type="dxa"/>
            <w:vAlign w:val="bottom"/>
            <w:tcBorders>
              <w:bottom w:val="single" w:sz="8" w:color="CCEEFF"/>
            </w:tcBorders>
          </w:tcPr>
          <w:p>
            <w:pPr>
              <w:spacing w:after="0"/>
              <w:rPr>
                <w:sz w:val="2"/>
                <w:szCs w:val="2"/>
                <w:color w:val="auto"/>
              </w:rPr>
            </w:pPr>
          </w:p>
        </w:tc>
        <w:tc>
          <w:tcPr>
            <w:tcW w:w="254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27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55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Net income (loss)</w:t>
            </w: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(16,919)</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6,034</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(11,707)</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13,558</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50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Other comprehensive income (loss), net of tax:</w:t>
            </w: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20" w:type="dxa"/>
            <w:vAlign w:val="bottom"/>
            <w:tcBorders>
              <w:bottom w:val="single" w:sz="8" w:color="CCEEFF"/>
            </w:tcBorders>
            <w:shd w:val="clear" w:color="auto" w:fill="CCEEFF"/>
          </w:tcPr>
          <w:p>
            <w:pPr>
              <w:spacing w:after="0"/>
              <w:rPr>
                <w:sz w:val="17"/>
                <w:szCs w:val="17"/>
                <w:color w:val="auto"/>
              </w:rPr>
            </w:pPr>
          </w:p>
        </w:tc>
        <w:tc>
          <w:tcPr>
            <w:tcW w:w="2540" w:type="dxa"/>
            <w:vAlign w:val="bottom"/>
            <w:tcBorders>
              <w:bottom w:val="single" w:sz="8" w:color="auto"/>
            </w:tcBorders>
            <w:shd w:val="clear" w:color="auto" w:fill="CCEEFF"/>
          </w:tcPr>
          <w:p>
            <w:pPr>
              <w:spacing w:after="0" w:line="178" w:lineRule="exact"/>
              <w:rPr>
                <w:sz w:val="20"/>
                <w:szCs w:val="20"/>
                <w:color w:val="auto"/>
              </w:rPr>
            </w:pPr>
            <w:r>
              <w:rPr>
                <w:rFonts w:ascii="Times New Roman" w:cs="Times New Roman" w:eastAsia="Times New Roman" w:hAnsi="Times New Roman"/>
                <w:sz w:val="16"/>
                <w:szCs w:val="16"/>
                <w:color w:val="auto"/>
              </w:rPr>
              <w:t>Unrealized gains (losses) on securities:</w:t>
            </w:r>
          </w:p>
        </w:tc>
        <w:tc>
          <w:tcPr>
            <w:tcW w:w="2960" w:type="dxa"/>
            <w:vAlign w:val="bottom"/>
            <w:tcBorders>
              <w:bottom w:val="single" w:sz="8" w:color="CCEEFF"/>
            </w:tcBorders>
            <w:gridSpan w:val="2"/>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500" w:type="dxa"/>
            <w:vAlign w:val="bottom"/>
            <w:gridSpan w:val="3"/>
          </w:tcPr>
          <w:p>
            <w:pPr>
              <w:ind w:left="220"/>
              <w:spacing w:after="0" w:line="162" w:lineRule="exact"/>
              <w:rPr>
                <w:sz w:val="20"/>
                <w:szCs w:val="20"/>
                <w:color w:val="auto"/>
              </w:rPr>
            </w:pPr>
            <w:r>
              <w:rPr>
                <w:rFonts w:ascii="Times New Roman" w:cs="Times New Roman" w:eastAsia="Times New Roman" w:hAnsi="Times New Roman"/>
                <w:sz w:val="16"/>
                <w:szCs w:val="16"/>
                <w:color w:val="auto"/>
              </w:rPr>
              <w:t>Unrealized gain (loss) arising during period, net of tax of ($221) and $1,397 for</w:t>
            </w:r>
          </w:p>
        </w:tc>
        <w:tc>
          <w:tcPr>
            <w:tcW w:w="3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500" w:type="dxa"/>
            <w:vAlign w:val="bottom"/>
            <w:gridSpan w:val="3"/>
          </w:tcPr>
          <w:p>
            <w:pPr>
              <w:ind w:left="380"/>
              <w:spacing w:after="0" w:line="162" w:lineRule="exact"/>
              <w:rPr>
                <w:sz w:val="20"/>
                <w:szCs w:val="20"/>
                <w:color w:val="auto"/>
              </w:rPr>
            </w:pPr>
            <w:r>
              <w:rPr>
                <w:rFonts w:ascii="Times New Roman" w:cs="Times New Roman" w:eastAsia="Times New Roman" w:hAnsi="Times New Roman"/>
                <w:sz w:val="16"/>
                <w:szCs w:val="16"/>
                <w:color w:val="auto"/>
              </w:rPr>
              <w:t>the three months ended June 30, 2024, and June 30, 2023, respectively, net</w:t>
            </w:r>
          </w:p>
        </w:tc>
        <w:tc>
          <w:tcPr>
            <w:tcW w:w="3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500" w:type="dxa"/>
            <w:vAlign w:val="bottom"/>
            <w:gridSpan w:val="3"/>
          </w:tcPr>
          <w:p>
            <w:pPr>
              <w:ind w:left="380"/>
              <w:spacing w:after="0" w:line="162" w:lineRule="exact"/>
              <w:rPr>
                <w:sz w:val="20"/>
                <w:szCs w:val="20"/>
                <w:color w:val="auto"/>
              </w:rPr>
            </w:pPr>
            <w:r>
              <w:rPr>
                <w:rFonts w:ascii="Times New Roman" w:cs="Times New Roman" w:eastAsia="Times New Roman" w:hAnsi="Times New Roman"/>
                <w:sz w:val="16"/>
                <w:szCs w:val="16"/>
                <w:color w:val="auto"/>
              </w:rPr>
              <w:t>of tax of ($104) and ($3,180) for the six months ended June 30, 2024, and</w:t>
            </w:r>
          </w:p>
        </w:tc>
        <w:tc>
          <w:tcPr>
            <w:tcW w:w="300" w:type="dxa"/>
            <w:vAlign w:val="bottom"/>
          </w:tcPr>
          <w:p>
            <w:pPr>
              <w:spacing w:after="0"/>
              <w:rPr>
                <w:sz w:val="14"/>
                <w:szCs w:val="14"/>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833</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(5,254)</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392</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11,964</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500" w:type="dxa"/>
            <w:vAlign w:val="bottom"/>
            <w:gridSpan w:val="3"/>
          </w:tcPr>
          <w:p>
            <w:pPr>
              <w:ind w:left="380"/>
              <w:spacing w:after="0"/>
              <w:rPr>
                <w:sz w:val="20"/>
                <w:szCs w:val="20"/>
                <w:color w:val="auto"/>
              </w:rPr>
            </w:pPr>
            <w:r>
              <w:rPr>
                <w:rFonts w:ascii="Times New Roman" w:cs="Times New Roman" w:eastAsia="Times New Roman" w:hAnsi="Times New Roman"/>
                <w:sz w:val="16"/>
                <w:szCs w:val="16"/>
                <w:color w:val="auto"/>
              </w:rPr>
              <w:t>June 30, 2023, respectively</w:t>
            </w:r>
          </w:p>
        </w:tc>
        <w:tc>
          <w:tcPr>
            <w:tcW w:w="300" w:type="dxa"/>
            <w:vAlign w:val="bottom"/>
          </w:tcPr>
          <w:p>
            <w:pPr>
              <w:spacing w:after="0"/>
              <w:rPr>
                <w:sz w:val="18"/>
                <w:szCs w:val="18"/>
                <w:color w:val="auto"/>
              </w:rPr>
            </w:pPr>
          </w:p>
        </w:tc>
        <w:tc>
          <w:tcPr>
            <w:tcW w:w="10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20" w:type="dxa"/>
            <w:vAlign w:val="bottom"/>
            <w:shd w:val="clear" w:color="auto" w:fill="CCEEFF"/>
          </w:tcPr>
          <w:p>
            <w:pPr>
              <w:spacing w:after="0"/>
              <w:rPr>
                <w:sz w:val="14"/>
                <w:szCs w:val="14"/>
                <w:color w:val="auto"/>
              </w:rPr>
            </w:pPr>
          </w:p>
        </w:tc>
        <w:tc>
          <w:tcPr>
            <w:tcW w:w="5500" w:type="dxa"/>
            <w:vAlign w:val="bottom"/>
            <w:gridSpan w:val="3"/>
            <w:shd w:val="clear" w:color="auto" w:fill="CCEEFF"/>
          </w:tcPr>
          <w:p>
            <w:pPr>
              <w:ind w:left="220"/>
              <w:spacing w:after="0" w:line="165" w:lineRule="exact"/>
              <w:rPr>
                <w:sz w:val="20"/>
                <w:szCs w:val="20"/>
                <w:color w:val="auto"/>
              </w:rPr>
            </w:pPr>
            <w:r>
              <w:rPr>
                <w:rFonts w:ascii="Times New Roman" w:cs="Times New Roman" w:eastAsia="Times New Roman" w:hAnsi="Times New Roman"/>
                <w:sz w:val="16"/>
                <w:szCs w:val="16"/>
                <w:color w:val="auto"/>
              </w:rPr>
              <w:t>Reclassification adjustment for loss (gain) on securities, net of tax of $129 and</w:t>
            </w:r>
          </w:p>
        </w:tc>
        <w:tc>
          <w:tcPr>
            <w:tcW w:w="30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shd w:val="clear" w:color="auto" w:fill="CCEEFF"/>
          </w:tcPr>
          <w:p>
            <w:pPr>
              <w:spacing w:after="0"/>
              <w:rPr>
                <w:sz w:val="14"/>
                <w:szCs w:val="14"/>
                <w:color w:val="auto"/>
              </w:rPr>
            </w:pPr>
          </w:p>
        </w:tc>
        <w:tc>
          <w:tcPr>
            <w:tcW w:w="5500" w:type="dxa"/>
            <w:vAlign w:val="bottom"/>
            <w:gridSpan w:val="3"/>
            <w:shd w:val="clear" w:color="auto" w:fill="CCEEFF"/>
          </w:tcPr>
          <w:p>
            <w:pPr>
              <w:ind w:left="380"/>
              <w:spacing w:after="0" w:line="162" w:lineRule="exact"/>
              <w:rPr>
                <w:sz w:val="20"/>
                <w:szCs w:val="20"/>
                <w:color w:val="auto"/>
              </w:rPr>
            </w:pPr>
            <w:r>
              <w:rPr>
                <w:rFonts w:ascii="Times New Roman" w:cs="Times New Roman" w:eastAsia="Times New Roman" w:hAnsi="Times New Roman"/>
                <w:sz w:val="16"/>
                <w:szCs w:val="16"/>
                <w:color w:val="auto"/>
              </w:rPr>
              <w:t>($23) for the three months ended June 30, 2024, and June 30, 2023,</w:t>
            </w:r>
          </w:p>
        </w:tc>
        <w:tc>
          <w:tcPr>
            <w:tcW w:w="30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shd w:val="clear" w:color="auto" w:fill="CCEEFF"/>
          </w:tcPr>
          <w:p>
            <w:pPr>
              <w:spacing w:after="0"/>
              <w:rPr>
                <w:sz w:val="14"/>
                <w:szCs w:val="14"/>
                <w:color w:val="auto"/>
              </w:rPr>
            </w:pPr>
          </w:p>
        </w:tc>
        <w:tc>
          <w:tcPr>
            <w:tcW w:w="5500" w:type="dxa"/>
            <w:vAlign w:val="bottom"/>
            <w:gridSpan w:val="3"/>
            <w:shd w:val="clear" w:color="auto" w:fill="CCEEFF"/>
          </w:tcPr>
          <w:p>
            <w:pPr>
              <w:ind w:left="380"/>
              <w:spacing w:after="0" w:line="162" w:lineRule="exact"/>
              <w:rPr>
                <w:sz w:val="20"/>
                <w:szCs w:val="20"/>
                <w:color w:val="auto"/>
              </w:rPr>
            </w:pPr>
            <w:r>
              <w:rPr>
                <w:rFonts w:ascii="Times New Roman" w:cs="Times New Roman" w:eastAsia="Times New Roman" w:hAnsi="Times New Roman"/>
                <w:sz w:val="16"/>
                <w:szCs w:val="16"/>
                <w:color w:val="auto"/>
              </w:rPr>
              <w:t>respectively, net of tax of $129 and ($23) for the six months ended June 30,</w:t>
            </w:r>
          </w:p>
        </w:tc>
        <w:tc>
          <w:tcPr>
            <w:tcW w:w="300" w:type="dxa"/>
            <w:vAlign w:val="bottom"/>
            <w:shd w:val="clear" w:color="auto" w:fill="CCEEFF"/>
          </w:tcPr>
          <w:p>
            <w:pPr>
              <w:spacing w:after="0"/>
              <w:rPr>
                <w:sz w:val="14"/>
                <w:szCs w:val="14"/>
                <w:color w:val="auto"/>
              </w:rPr>
            </w:pPr>
          </w:p>
        </w:tc>
        <w:tc>
          <w:tcPr>
            <w:tcW w:w="10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(484)</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(484)</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w:t>
            </w: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5500" w:type="dxa"/>
            <w:vAlign w:val="bottom"/>
            <w:gridSpan w:val="3"/>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2024, and June 30, 2023, respectively</w:t>
            </w:r>
          </w:p>
        </w:tc>
        <w:tc>
          <w:tcPr>
            <w:tcW w:w="300" w:type="dxa"/>
            <w:vAlign w:val="bottom"/>
            <w:shd w:val="clear" w:color="auto" w:fill="CCEEFF"/>
          </w:tcPr>
          <w:p>
            <w:pPr>
              <w:spacing w:after="0"/>
              <w:rPr>
                <w:sz w:val="18"/>
                <w:szCs w:val="18"/>
                <w:color w:val="auto"/>
              </w:rPr>
            </w:pPr>
          </w:p>
        </w:tc>
        <w:tc>
          <w:tcPr>
            <w:tcW w:w="10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500" w:type="dxa"/>
            <w:vAlign w:val="bottom"/>
            <w:gridSpan w:val="3"/>
          </w:tcPr>
          <w:p>
            <w:pPr>
              <w:ind w:left="220"/>
              <w:spacing w:after="0" w:line="162" w:lineRule="exact"/>
              <w:rPr>
                <w:sz w:val="20"/>
                <w:szCs w:val="20"/>
                <w:color w:val="auto"/>
              </w:rPr>
            </w:pPr>
            <w:r>
              <w:rPr>
                <w:rFonts w:ascii="Times New Roman" w:cs="Times New Roman" w:eastAsia="Times New Roman" w:hAnsi="Times New Roman"/>
                <w:sz w:val="16"/>
                <w:szCs w:val="16"/>
                <w:color w:val="auto"/>
              </w:rPr>
              <w:t>Reclassification adjustment for loss (gain) on fair value hedge, net of tax of $9</w:t>
            </w:r>
          </w:p>
        </w:tc>
        <w:tc>
          <w:tcPr>
            <w:tcW w:w="3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500" w:type="dxa"/>
            <w:vAlign w:val="bottom"/>
            <w:gridSpan w:val="3"/>
          </w:tcPr>
          <w:p>
            <w:pPr>
              <w:ind w:left="380"/>
              <w:spacing w:after="0" w:line="162" w:lineRule="exact"/>
              <w:rPr>
                <w:sz w:val="20"/>
                <w:szCs w:val="20"/>
                <w:color w:val="auto"/>
              </w:rPr>
            </w:pPr>
            <w:r>
              <w:rPr>
                <w:rFonts w:ascii="Times New Roman" w:cs="Times New Roman" w:eastAsia="Times New Roman" w:hAnsi="Times New Roman"/>
                <w:sz w:val="16"/>
                <w:szCs w:val="16"/>
                <w:color w:val="auto"/>
              </w:rPr>
              <w:t>and ($728) for the three months ended June 30, 2024, and June 30, 2023,</w:t>
            </w:r>
          </w:p>
        </w:tc>
        <w:tc>
          <w:tcPr>
            <w:tcW w:w="3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500" w:type="dxa"/>
            <w:vAlign w:val="bottom"/>
            <w:gridSpan w:val="3"/>
          </w:tcPr>
          <w:p>
            <w:pPr>
              <w:ind w:left="380"/>
              <w:spacing w:after="0" w:line="162" w:lineRule="exact"/>
              <w:rPr>
                <w:sz w:val="20"/>
                <w:szCs w:val="20"/>
                <w:color w:val="auto"/>
              </w:rPr>
            </w:pPr>
            <w:r>
              <w:rPr>
                <w:rFonts w:ascii="Times New Roman" w:cs="Times New Roman" w:eastAsia="Times New Roman" w:hAnsi="Times New Roman"/>
                <w:sz w:val="16"/>
                <w:szCs w:val="16"/>
                <w:color w:val="auto"/>
              </w:rPr>
              <w:t>respectively, net of tax of $17 and ($232) for the six months ended June 30,</w:t>
            </w:r>
          </w:p>
        </w:tc>
        <w:tc>
          <w:tcPr>
            <w:tcW w:w="300" w:type="dxa"/>
            <w:vAlign w:val="bottom"/>
          </w:tcPr>
          <w:p>
            <w:pPr>
              <w:spacing w:after="0"/>
              <w:rPr>
                <w:sz w:val="14"/>
                <w:szCs w:val="14"/>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(32)</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2,739</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(64)</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873</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500" w:type="dxa"/>
            <w:vAlign w:val="bottom"/>
            <w:gridSpan w:val="3"/>
          </w:tcPr>
          <w:p>
            <w:pPr>
              <w:ind w:left="380"/>
              <w:spacing w:after="0"/>
              <w:rPr>
                <w:sz w:val="20"/>
                <w:szCs w:val="20"/>
                <w:color w:val="auto"/>
              </w:rPr>
            </w:pPr>
            <w:r>
              <w:rPr>
                <w:rFonts w:ascii="Times New Roman" w:cs="Times New Roman" w:eastAsia="Times New Roman" w:hAnsi="Times New Roman"/>
                <w:sz w:val="16"/>
                <w:szCs w:val="16"/>
                <w:color w:val="auto"/>
              </w:rPr>
              <w:t>2024, and June 30, 2023, respectively</w:t>
            </w:r>
          </w:p>
        </w:tc>
        <w:tc>
          <w:tcPr>
            <w:tcW w:w="300" w:type="dxa"/>
            <w:vAlign w:val="bottom"/>
          </w:tcPr>
          <w:p>
            <w:pPr>
              <w:spacing w:after="0"/>
              <w:rPr>
                <w:sz w:val="18"/>
                <w:szCs w:val="18"/>
                <w:color w:val="auto"/>
              </w:rPr>
            </w:pPr>
          </w:p>
        </w:tc>
        <w:tc>
          <w:tcPr>
            <w:tcW w:w="10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20" w:type="dxa"/>
            <w:vAlign w:val="bottom"/>
            <w:tcBorders>
              <w:bottom w:val="single" w:sz="8" w:color="CCEEFF"/>
            </w:tcBorders>
            <w:shd w:val="clear" w:color="auto" w:fill="CCEEFF"/>
          </w:tcPr>
          <w:p>
            <w:pPr>
              <w:spacing w:after="0"/>
              <w:rPr>
                <w:sz w:val="17"/>
                <w:szCs w:val="17"/>
                <w:color w:val="auto"/>
              </w:rPr>
            </w:pPr>
          </w:p>
        </w:tc>
        <w:tc>
          <w:tcPr>
            <w:tcW w:w="2780" w:type="dxa"/>
            <w:vAlign w:val="bottom"/>
            <w:tcBorders>
              <w:bottom w:val="single" w:sz="8" w:color="auto"/>
            </w:tcBorders>
            <w:gridSpan w:val="2"/>
            <w:shd w:val="clear" w:color="auto" w:fill="CCEEFF"/>
          </w:tcPr>
          <w:p>
            <w:pPr>
              <w:spacing w:after="0" w:line="178" w:lineRule="exact"/>
              <w:rPr>
                <w:sz w:val="20"/>
                <w:szCs w:val="20"/>
                <w:color w:val="auto"/>
              </w:rPr>
            </w:pPr>
            <w:r>
              <w:rPr>
                <w:rFonts w:ascii="Times New Roman" w:cs="Times New Roman" w:eastAsia="Times New Roman" w:hAnsi="Times New Roman"/>
                <w:sz w:val="16"/>
                <w:szCs w:val="16"/>
                <w:color w:val="auto"/>
              </w:rPr>
              <w:t>Unrealized gain (loss) on cash flow hedge:</w:t>
            </w:r>
          </w:p>
        </w:tc>
        <w:tc>
          <w:tcPr>
            <w:tcW w:w="272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500" w:type="dxa"/>
            <w:vAlign w:val="bottom"/>
            <w:gridSpan w:val="3"/>
          </w:tcPr>
          <w:p>
            <w:pPr>
              <w:ind w:left="220"/>
              <w:spacing w:after="0" w:line="162" w:lineRule="exact"/>
              <w:rPr>
                <w:sz w:val="20"/>
                <w:szCs w:val="20"/>
                <w:color w:val="auto"/>
              </w:rPr>
            </w:pPr>
            <w:r>
              <w:rPr>
                <w:rFonts w:ascii="Times New Roman" w:cs="Times New Roman" w:eastAsia="Times New Roman" w:hAnsi="Times New Roman"/>
                <w:sz w:val="16"/>
                <w:szCs w:val="16"/>
                <w:color w:val="auto"/>
              </w:rPr>
              <w:t>Unrealized holding gain (loss) on cash flow hedge, net of tax of ($238) and $73</w:t>
            </w:r>
          </w:p>
        </w:tc>
        <w:tc>
          <w:tcPr>
            <w:tcW w:w="3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500" w:type="dxa"/>
            <w:vAlign w:val="bottom"/>
            <w:gridSpan w:val="3"/>
          </w:tcPr>
          <w:p>
            <w:pPr>
              <w:ind w:left="380"/>
              <w:spacing w:after="0" w:line="162" w:lineRule="exact"/>
              <w:rPr>
                <w:sz w:val="20"/>
                <w:szCs w:val="20"/>
                <w:color w:val="auto"/>
              </w:rPr>
            </w:pPr>
            <w:r>
              <w:rPr>
                <w:rFonts w:ascii="Times New Roman" w:cs="Times New Roman" w:eastAsia="Times New Roman" w:hAnsi="Times New Roman"/>
                <w:sz w:val="16"/>
                <w:szCs w:val="16"/>
                <w:color w:val="auto"/>
              </w:rPr>
              <w:t>for the three months ended June 30, 2024, and June 30, 2023, respectively,</w:t>
            </w:r>
          </w:p>
        </w:tc>
        <w:tc>
          <w:tcPr>
            <w:tcW w:w="3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500" w:type="dxa"/>
            <w:vAlign w:val="bottom"/>
            <w:gridSpan w:val="3"/>
          </w:tcPr>
          <w:p>
            <w:pPr>
              <w:ind w:left="380"/>
              <w:spacing w:after="0" w:line="162" w:lineRule="exact"/>
              <w:rPr>
                <w:sz w:val="20"/>
                <w:szCs w:val="20"/>
                <w:color w:val="auto"/>
              </w:rPr>
            </w:pPr>
            <w:r>
              <w:rPr>
                <w:rFonts w:ascii="Times New Roman" w:cs="Times New Roman" w:eastAsia="Times New Roman" w:hAnsi="Times New Roman"/>
                <w:sz w:val="16"/>
                <w:szCs w:val="16"/>
                <w:color w:val="auto"/>
              </w:rPr>
              <w:t>net of tax of ($945) and $61 for the six months ended June 30, 2024, and</w:t>
            </w:r>
          </w:p>
        </w:tc>
        <w:tc>
          <w:tcPr>
            <w:tcW w:w="300" w:type="dxa"/>
            <w:vAlign w:val="bottom"/>
          </w:tcPr>
          <w:p>
            <w:pPr>
              <w:spacing w:after="0"/>
              <w:rPr>
                <w:sz w:val="14"/>
                <w:szCs w:val="14"/>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894</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(275)</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3,554</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(228)</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500" w:type="dxa"/>
            <w:vAlign w:val="bottom"/>
            <w:gridSpan w:val="3"/>
          </w:tcPr>
          <w:p>
            <w:pPr>
              <w:ind w:left="380"/>
              <w:spacing w:after="0"/>
              <w:rPr>
                <w:sz w:val="20"/>
                <w:szCs w:val="20"/>
                <w:color w:val="auto"/>
              </w:rPr>
            </w:pPr>
            <w:r>
              <w:rPr>
                <w:rFonts w:ascii="Times New Roman" w:cs="Times New Roman" w:eastAsia="Times New Roman" w:hAnsi="Times New Roman"/>
                <w:sz w:val="16"/>
                <w:szCs w:val="16"/>
                <w:color w:val="auto"/>
              </w:rPr>
              <w:t>June 30, 2023, respectively</w:t>
            </w:r>
          </w:p>
        </w:tc>
        <w:tc>
          <w:tcPr>
            <w:tcW w:w="300" w:type="dxa"/>
            <w:vAlign w:val="bottom"/>
          </w:tcPr>
          <w:p>
            <w:pPr>
              <w:spacing w:after="0"/>
              <w:rPr>
                <w:sz w:val="18"/>
                <w:szCs w:val="18"/>
                <w:color w:val="auto"/>
              </w:rPr>
            </w:pPr>
          </w:p>
        </w:tc>
        <w:tc>
          <w:tcPr>
            <w:tcW w:w="10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20" w:type="dxa"/>
            <w:vAlign w:val="bottom"/>
            <w:shd w:val="clear" w:color="auto" w:fill="CCEEFF"/>
          </w:tcPr>
          <w:p>
            <w:pPr>
              <w:spacing w:after="0"/>
              <w:rPr>
                <w:sz w:val="14"/>
                <w:szCs w:val="14"/>
                <w:color w:val="auto"/>
              </w:rPr>
            </w:pPr>
          </w:p>
        </w:tc>
        <w:tc>
          <w:tcPr>
            <w:tcW w:w="5500" w:type="dxa"/>
            <w:vAlign w:val="bottom"/>
            <w:gridSpan w:val="3"/>
            <w:shd w:val="clear" w:color="auto" w:fill="CCEEFF"/>
          </w:tcPr>
          <w:p>
            <w:pPr>
              <w:ind w:left="220"/>
              <w:spacing w:after="0" w:line="165" w:lineRule="exact"/>
              <w:rPr>
                <w:sz w:val="20"/>
                <w:szCs w:val="20"/>
                <w:color w:val="auto"/>
              </w:rPr>
            </w:pPr>
            <w:r>
              <w:rPr>
                <w:rFonts w:ascii="Times New Roman" w:cs="Times New Roman" w:eastAsia="Times New Roman" w:hAnsi="Times New Roman"/>
                <w:sz w:val="16"/>
                <w:szCs w:val="16"/>
                <w:color w:val="auto"/>
              </w:rPr>
              <w:t>Reclassification adjustment for losses (gains) included in net income, net of tax</w:t>
            </w:r>
          </w:p>
        </w:tc>
        <w:tc>
          <w:tcPr>
            <w:tcW w:w="30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shd w:val="clear" w:color="auto" w:fill="CCEEFF"/>
          </w:tcPr>
          <w:p>
            <w:pPr>
              <w:spacing w:after="0"/>
              <w:rPr>
                <w:sz w:val="14"/>
                <w:szCs w:val="14"/>
                <w:color w:val="auto"/>
              </w:rPr>
            </w:pPr>
          </w:p>
        </w:tc>
        <w:tc>
          <w:tcPr>
            <w:tcW w:w="5500" w:type="dxa"/>
            <w:vAlign w:val="bottom"/>
            <w:gridSpan w:val="3"/>
            <w:shd w:val="clear" w:color="auto" w:fill="CCEEFF"/>
          </w:tcPr>
          <w:p>
            <w:pPr>
              <w:ind w:left="380"/>
              <w:spacing w:after="0" w:line="162" w:lineRule="exact"/>
              <w:rPr>
                <w:sz w:val="20"/>
                <w:szCs w:val="20"/>
                <w:color w:val="auto"/>
              </w:rPr>
            </w:pPr>
            <w:r>
              <w:rPr>
                <w:rFonts w:ascii="Times New Roman" w:cs="Times New Roman" w:eastAsia="Times New Roman" w:hAnsi="Times New Roman"/>
                <w:sz w:val="16"/>
                <w:szCs w:val="16"/>
                <w:color w:val="auto"/>
              </w:rPr>
              <w:t>$183 and ($89) for the three months ended June 30, 2024, and June 30, 2023,</w:t>
            </w:r>
          </w:p>
        </w:tc>
        <w:tc>
          <w:tcPr>
            <w:tcW w:w="30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shd w:val="clear" w:color="auto" w:fill="CCEEFF"/>
          </w:tcPr>
          <w:p>
            <w:pPr>
              <w:spacing w:after="0"/>
              <w:rPr>
                <w:sz w:val="14"/>
                <w:szCs w:val="14"/>
                <w:color w:val="auto"/>
              </w:rPr>
            </w:pPr>
          </w:p>
        </w:tc>
        <w:tc>
          <w:tcPr>
            <w:tcW w:w="5500" w:type="dxa"/>
            <w:vAlign w:val="bottom"/>
            <w:gridSpan w:val="3"/>
            <w:shd w:val="clear" w:color="auto" w:fill="CCEEFF"/>
          </w:tcPr>
          <w:p>
            <w:pPr>
              <w:ind w:left="380"/>
              <w:spacing w:after="0" w:line="162" w:lineRule="exact"/>
              <w:rPr>
                <w:sz w:val="20"/>
                <w:szCs w:val="20"/>
                <w:color w:val="auto"/>
              </w:rPr>
            </w:pPr>
            <w:r>
              <w:rPr>
                <w:rFonts w:ascii="Times New Roman" w:cs="Times New Roman" w:eastAsia="Times New Roman" w:hAnsi="Times New Roman"/>
                <w:sz w:val="16"/>
                <w:szCs w:val="16"/>
                <w:color w:val="auto"/>
              </w:rPr>
              <w:t>respectively, net of tax of $89 and ($165) for the six months ended June 30,</w:t>
            </w:r>
          </w:p>
        </w:tc>
        <w:tc>
          <w:tcPr>
            <w:tcW w:w="300" w:type="dxa"/>
            <w:vAlign w:val="bottom"/>
            <w:shd w:val="clear" w:color="auto" w:fill="CCEEFF"/>
          </w:tcPr>
          <w:p>
            <w:pPr>
              <w:spacing w:after="0"/>
              <w:rPr>
                <w:sz w:val="14"/>
                <w:szCs w:val="14"/>
                <w:color w:val="auto"/>
              </w:rPr>
            </w:pPr>
          </w:p>
        </w:tc>
        <w:tc>
          <w:tcPr>
            <w:tcW w:w="10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(687)</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334</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(334)</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621</w:t>
            </w: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5500" w:type="dxa"/>
            <w:vAlign w:val="bottom"/>
            <w:gridSpan w:val="3"/>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2024, and June 30, 2023, respectively</w:t>
            </w:r>
          </w:p>
        </w:tc>
        <w:tc>
          <w:tcPr>
            <w:tcW w:w="3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0" w:type="dxa"/>
            <w:vAlign w:val="bottom"/>
            <w:tcBorders>
              <w:bottom w:val="single" w:sz="8" w:color="CCEEFF"/>
            </w:tcBorders>
          </w:tcPr>
          <w:p>
            <w:pPr>
              <w:spacing w:after="0"/>
              <w:rPr>
                <w:sz w:val="17"/>
                <w:szCs w:val="17"/>
                <w:color w:val="auto"/>
              </w:rPr>
            </w:pPr>
          </w:p>
        </w:tc>
        <w:tc>
          <w:tcPr>
            <w:tcW w:w="550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6"/>
                <w:szCs w:val="16"/>
                <w:color w:val="auto"/>
              </w:rPr>
              <w:t>Total other comprehensive income (loss)</w:t>
            </w:r>
          </w:p>
        </w:tc>
        <w:tc>
          <w:tcPr>
            <w:tcW w:w="3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524</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(2,368)</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3,064</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13,318</w:t>
            </w: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550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6"/>
                <w:szCs w:val="16"/>
                <w:b w:val="1"/>
                <w:bCs w:val="1"/>
                <w:color w:val="auto"/>
              </w:rPr>
              <w:t>Comprehensive income (loss)</w:t>
            </w: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(16,395)</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3,666</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(8,643)</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26,876</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92519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925195" cy="8255"/>
                    </a:xfrm>
                    <a:prstGeom prst="rect">
                      <a:avLst/>
                    </a:prstGeom>
                    <a:noFill/>
                  </pic:spPr>
                </pic:pic>
              </a:graphicData>
            </a:graphic>
          </wp:anchor>
        </w:drawing>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Burke &amp; Herbert Financial Services Corp.</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Changes in Shareholders’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Three Months Ended June 30, 2024, and 2023</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80"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2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gridSpan w:val="4"/>
          </w:tcPr>
          <w:p>
            <w:pPr>
              <w:ind w:left="60"/>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1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2620" w:type="dxa"/>
            <w:vAlign w:val="bottom"/>
          </w:tcPr>
          <w:p>
            <w:pPr>
              <w:spacing w:after="0"/>
              <w:rPr>
                <w:sz w:val="10"/>
                <w:szCs w:val="10"/>
                <w:color w:val="auto"/>
              </w:rPr>
            </w:pPr>
          </w:p>
        </w:tc>
        <w:tc>
          <w:tcPr>
            <w:tcW w:w="1000" w:type="dxa"/>
            <w:vAlign w:val="bottom"/>
            <w:gridSpan w:val="3"/>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Preferred Stock</w:t>
            </w:r>
          </w:p>
        </w:tc>
        <w:tc>
          <w:tcPr>
            <w:tcW w:w="1000" w:type="dxa"/>
            <w:vAlign w:val="bottom"/>
            <w:vMerge w:val="restart"/>
          </w:tcPr>
          <w:p>
            <w:pPr>
              <w:jc w:val="right"/>
              <w:ind w:right="249"/>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tcPr>
          <w:p>
            <w:pPr>
              <w:jc w:val="center"/>
              <w:ind w:right="49"/>
              <w:spacing w:after="0" w:line="122" w:lineRule="exact"/>
              <w:rPr>
                <w:sz w:val="20"/>
                <w:szCs w:val="20"/>
                <w:color w:val="auto"/>
              </w:rPr>
            </w:pPr>
            <w:r>
              <w:rPr>
                <w:rFonts w:ascii="Times New Roman" w:cs="Times New Roman" w:eastAsia="Times New Roman" w:hAnsi="Times New Roman"/>
                <w:sz w:val="13"/>
                <w:szCs w:val="13"/>
                <w:b w:val="1"/>
                <w:bCs w:val="1"/>
                <w:color w:val="auto"/>
                <w:w w:val="97"/>
              </w:rPr>
              <w:t>Additional</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4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b w:val="1"/>
                <w:bCs w:val="1"/>
                <w:color w:val="auto"/>
              </w:rPr>
              <w:t>Retained</w:t>
            </w:r>
          </w:p>
        </w:tc>
        <w:tc>
          <w:tcPr>
            <w:tcW w:w="140" w:type="dxa"/>
            <w:vAlign w:val="bottom"/>
          </w:tcPr>
          <w:p>
            <w:pPr>
              <w:spacing w:after="0"/>
              <w:rPr>
                <w:sz w:val="10"/>
                <w:szCs w:val="10"/>
                <w:color w:val="auto"/>
              </w:rPr>
            </w:pPr>
          </w:p>
        </w:tc>
        <w:tc>
          <w:tcPr>
            <w:tcW w:w="120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6"/>
              </w:rPr>
              <w:t>Comprehensive</w:t>
            </w:r>
          </w:p>
        </w:tc>
        <w:tc>
          <w:tcPr>
            <w:tcW w:w="160" w:type="dxa"/>
            <w:vAlign w:val="bottom"/>
          </w:tcPr>
          <w:p>
            <w:pPr>
              <w:spacing w:after="0"/>
              <w:rPr>
                <w:sz w:val="10"/>
                <w:szCs w:val="10"/>
                <w:color w:val="auto"/>
              </w:rPr>
            </w:pPr>
          </w:p>
        </w:tc>
        <w:tc>
          <w:tcPr>
            <w:tcW w:w="840" w:type="dxa"/>
            <w:vAlign w:val="bottom"/>
            <w:gridSpan w:val="2"/>
            <w:vMerge w:val="restart"/>
          </w:tcPr>
          <w:p>
            <w:pPr>
              <w:ind w:left="40"/>
              <w:spacing w:after="0"/>
              <w:rPr>
                <w:sz w:val="20"/>
                <w:szCs w:val="20"/>
                <w:color w:val="auto"/>
              </w:rPr>
            </w:pPr>
            <w:r>
              <w:rPr>
                <w:rFonts w:ascii="Times New Roman" w:cs="Times New Roman" w:eastAsia="Times New Roman" w:hAnsi="Times New Roman"/>
                <w:sz w:val="13"/>
                <w:szCs w:val="13"/>
                <w:b w:val="1"/>
                <w:bCs w:val="1"/>
                <w:color w:val="auto"/>
              </w:rPr>
              <w:t>Treasury</w:t>
            </w:r>
          </w:p>
        </w:tc>
        <w:tc>
          <w:tcPr>
            <w:tcW w:w="160" w:type="dxa"/>
            <w:vAlign w:val="bottom"/>
          </w:tcPr>
          <w:p>
            <w:pPr>
              <w:spacing w:after="0"/>
              <w:rPr>
                <w:sz w:val="10"/>
                <w:szCs w:val="10"/>
                <w:color w:val="auto"/>
              </w:rPr>
            </w:pPr>
          </w:p>
        </w:tc>
        <w:tc>
          <w:tcPr>
            <w:tcW w:w="1060" w:type="dxa"/>
            <w:vAlign w:val="bottom"/>
            <w:vMerge w:val="restart"/>
          </w:tcPr>
          <w:p>
            <w:pPr>
              <w:jc w:val="right"/>
              <w:ind w:right="169"/>
              <w:spacing w:after="0"/>
              <w:rPr>
                <w:sz w:val="20"/>
                <w:szCs w:val="20"/>
                <w:color w:val="auto"/>
              </w:rPr>
            </w:pPr>
            <w:r>
              <w:rPr>
                <w:rFonts w:ascii="Times New Roman" w:cs="Times New Roman" w:eastAsia="Times New Roman" w:hAnsi="Times New Roman"/>
                <w:sz w:val="13"/>
                <w:szCs w:val="13"/>
                <w:b w:val="1"/>
                <w:bCs w:val="1"/>
                <w:color w:val="auto"/>
              </w:rPr>
              <w:t>Shareholders’</w:t>
            </w:r>
          </w:p>
        </w:tc>
        <w:tc>
          <w:tcPr>
            <w:tcW w:w="0" w:type="dxa"/>
            <w:vAlign w:val="bottom"/>
          </w:tcPr>
          <w:p>
            <w:pPr>
              <w:spacing w:after="0"/>
              <w:rPr>
                <w:sz w:val="1"/>
                <w:szCs w:val="1"/>
                <w:color w:val="auto"/>
              </w:rPr>
            </w:pPr>
          </w:p>
        </w:tc>
      </w:tr>
      <w:tr>
        <w:trPr>
          <w:trHeight w:val="121"/>
        </w:trPr>
        <w:tc>
          <w:tcPr>
            <w:tcW w:w="2620" w:type="dxa"/>
            <w:vAlign w:val="bottom"/>
          </w:tcPr>
          <w:p>
            <w:pPr>
              <w:spacing w:after="0"/>
              <w:rPr>
                <w:sz w:val="10"/>
                <w:szCs w:val="10"/>
                <w:color w:val="auto"/>
              </w:rPr>
            </w:pPr>
          </w:p>
        </w:tc>
        <w:tc>
          <w:tcPr>
            <w:tcW w:w="1000" w:type="dxa"/>
            <w:vAlign w:val="bottom"/>
            <w:gridSpan w:val="3"/>
            <w:vMerge w:val="continue"/>
          </w:tcPr>
          <w:p>
            <w:pPr>
              <w:spacing w:after="0"/>
              <w:rPr>
                <w:sz w:val="10"/>
                <w:szCs w:val="10"/>
                <w:color w:val="auto"/>
              </w:rPr>
            </w:pPr>
          </w:p>
        </w:tc>
        <w:tc>
          <w:tcPr>
            <w:tcW w:w="100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gridSpan w:val="2"/>
          </w:tcPr>
          <w:p>
            <w:pPr>
              <w:jc w:val="center"/>
              <w:ind w:right="220"/>
              <w:spacing w:after="0" w:line="122" w:lineRule="exact"/>
              <w:rPr>
                <w:sz w:val="20"/>
                <w:szCs w:val="20"/>
                <w:color w:val="auto"/>
              </w:rPr>
            </w:pPr>
            <w:r>
              <w:rPr>
                <w:rFonts w:ascii="Times New Roman" w:cs="Times New Roman" w:eastAsia="Times New Roman" w:hAnsi="Times New Roman"/>
                <w:sz w:val="13"/>
                <w:szCs w:val="13"/>
                <w:b w:val="1"/>
                <w:bCs w:val="1"/>
                <w:color w:val="auto"/>
                <w:w w:val="93"/>
              </w:rPr>
              <w:t>Paid-in</w:t>
            </w:r>
          </w:p>
        </w:tc>
        <w:tc>
          <w:tcPr>
            <w:tcW w:w="140" w:type="dxa"/>
            <w:vAlign w:val="bottom"/>
          </w:tcPr>
          <w:p>
            <w:pPr>
              <w:spacing w:after="0"/>
              <w:rPr>
                <w:sz w:val="10"/>
                <w:szCs w:val="10"/>
                <w:color w:val="auto"/>
              </w:rPr>
            </w:pPr>
          </w:p>
        </w:tc>
        <w:tc>
          <w:tcPr>
            <w:tcW w:w="84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1200" w:type="dxa"/>
            <w:vAlign w:val="bottom"/>
            <w:gridSpan w:val="2"/>
            <w:vMerge w:val="continue"/>
          </w:tcPr>
          <w:p>
            <w:pPr>
              <w:spacing w:after="0"/>
              <w:rPr>
                <w:sz w:val="10"/>
                <w:szCs w:val="10"/>
                <w:color w:val="auto"/>
              </w:rPr>
            </w:pPr>
          </w:p>
        </w:tc>
        <w:tc>
          <w:tcPr>
            <w:tcW w:w="160" w:type="dxa"/>
            <w:vAlign w:val="bottom"/>
          </w:tcPr>
          <w:p>
            <w:pPr>
              <w:spacing w:after="0"/>
              <w:rPr>
                <w:sz w:val="10"/>
                <w:szCs w:val="10"/>
                <w:color w:val="auto"/>
              </w:rPr>
            </w:pPr>
          </w:p>
        </w:tc>
        <w:tc>
          <w:tcPr>
            <w:tcW w:w="840" w:type="dxa"/>
            <w:vAlign w:val="bottom"/>
            <w:gridSpan w:val="2"/>
            <w:vMerge w:val="continue"/>
          </w:tcPr>
          <w:p>
            <w:pPr>
              <w:spacing w:after="0"/>
              <w:rPr>
                <w:sz w:val="10"/>
                <w:szCs w:val="10"/>
                <w:color w:val="auto"/>
              </w:rPr>
            </w:pPr>
          </w:p>
        </w:tc>
        <w:tc>
          <w:tcPr>
            <w:tcW w:w="160" w:type="dxa"/>
            <w:vAlign w:val="bottom"/>
          </w:tcPr>
          <w:p>
            <w:pPr>
              <w:spacing w:after="0"/>
              <w:rPr>
                <w:sz w:val="10"/>
                <w:szCs w:val="10"/>
                <w:color w:val="auto"/>
              </w:rPr>
            </w:pPr>
          </w:p>
        </w:tc>
        <w:tc>
          <w:tcPr>
            <w:tcW w:w="10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83"/>
        </w:trPr>
        <w:tc>
          <w:tcPr>
            <w:tcW w:w="2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and Surplus</w:t>
            </w:r>
          </w:p>
        </w:tc>
        <w:tc>
          <w:tcPr>
            <w:tcW w:w="1000" w:type="dxa"/>
            <w:vAlign w:val="bottom"/>
          </w:tcPr>
          <w:p>
            <w:pPr>
              <w:jc w:val="right"/>
              <w:ind w:right="89"/>
              <w:spacing w:after="0"/>
              <w:rPr>
                <w:sz w:val="20"/>
                <w:szCs w:val="20"/>
                <w:color w:val="auto"/>
              </w:rPr>
            </w:pPr>
            <w:r>
              <w:rPr>
                <w:rFonts w:ascii="Times New Roman" w:cs="Times New Roman" w:eastAsia="Times New Roman" w:hAnsi="Times New Roman"/>
                <w:sz w:val="13"/>
                <w:szCs w:val="13"/>
                <w:b w:val="1"/>
                <w:bCs w:val="1"/>
                <w:color w:val="auto"/>
              </w:rPr>
              <w:t>Outstanding</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120" w:type="dxa"/>
            <w:vAlign w:val="bottom"/>
          </w:tcPr>
          <w:p>
            <w:pPr>
              <w:spacing w:after="0"/>
              <w:rPr>
                <w:sz w:val="15"/>
                <w:szCs w:val="15"/>
                <w:color w:val="auto"/>
              </w:rPr>
            </w:pPr>
          </w:p>
        </w:tc>
        <w:tc>
          <w:tcPr>
            <w:tcW w:w="88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7"/>
              </w:rPr>
              <w:t>Capital</w:t>
            </w:r>
          </w:p>
        </w:tc>
        <w:tc>
          <w:tcPr>
            <w:tcW w:w="140" w:type="dxa"/>
            <w:vAlign w:val="bottom"/>
          </w:tcPr>
          <w:p>
            <w:pPr>
              <w:spacing w:after="0"/>
              <w:rPr>
                <w:sz w:val="15"/>
                <w:szCs w:val="15"/>
                <w:color w:val="auto"/>
              </w:rPr>
            </w:pPr>
          </w:p>
        </w:tc>
        <w:tc>
          <w:tcPr>
            <w:tcW w:w="840" w:type="dxa"/>
            <w:vAlign w:val="bottom"/>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rPr>
              <w:t>Earnings</w:t>
            </w:r>
          </w:p>
        </w:tc>
        <w:tc>
          <w:tcPr>
            <w:tcW w:w="140" w:type="dxa"/>
            <w:vAlign w:val="bottom"/>
          </w:tcPr>
          <w:p>
            <w:pPr>
              <w:spacing w:after="0"/>
              <w:rPr>
                <w:sz w:val="15"/>
                <w:szCs w:val="15"/>
                <w:color w:val="auto"/>
              </w:rPr>
            </w:pPr>
          </w:p>
        </w:tc>
        <w:tc>
          <w:tcPr>
            <w:tcW w:w="120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6"/>
              </w:rPr>
              <w:t>Income (Loss)</w:t>
            </w:r>
          </w:p>
        </w:tc>
        <w:tc>
          <w:tcPr>
            <w:tcW w:w="160" w:type="dxa"/>
            <w:vAlign w:val="bottom"/>
          </w:tcPr>
          <w:p>
            <w:pPr>
              <w:spacing w:after="0"/>
              <w:rPr>
                <w:sz w:val="15"/>
                <w:szCs w:val="15"/>
                <w:color w:val="auto"/>
              </w:rPr>
            </w:pPr>
          </w:p>
        </w:tc>
        <w:tc>
          <w:tcPr>
            <w:tcW w:w="840" w:type="dxa"/>
            <w:vAlign w:val="bottom"/>
            <w:gridSpan w:val="2"/>
          </w:tcPr>
          <w:p>
            <w:pPr>
              <w:ind w:left="140"/>
              <w:spacing w:after="0"/>
              <w:rPr>
                <w:sz w:val="20"/>
                <w:szCs w:val="20"/>
                <w:color w:val="auto"/>
              </w:rPr>
            </w:pPr>
            <w:r>
              <w:rPr>
                <w:rFonts w:ascii="Times New Roman" w:cs="Times New Roman" w:eastAsia="Times New Roman" w:hAnsi="Times New Roman"/>
                <w:sz w:val="13"/>
                <w:szCs w:val="13"/>
                <w:b w:val="1"/>
                <w:bCs w:val="1"/>
                <w:color w:val="auto"/>
              </w:rPr>
              <w:t>Stock</w:t>
            </w:r>
          </w:p>
        </w:tc>
        <w:tc>
          <w:tcPr>
            <w:tcW w:w="160" w:type="dxa"/>
            <w:vAlign w:val="bottom"/>
          </w:tcPr>
          <w:p>
            <w:pPr>
              <w:spacing w:after="0"/>
              <w:rPr>
                <w:sz w:val="15"/>
                <w:szCs w:val="15"/>
                <w:color w:val="auto"/>
              </w:rPr>
            </w:pPr>
          </w:p>
        </w:tc>
        <w:tc>
          <w:tcPr>
            <w:tcW w:w="1060" w:type="dxa"/>
            <w:vAlign w:val="bottom"/>
          </w:tcPr>
          <w:p>
            <w:pPr>
              <w:jc w:val="right"/>
              <w:ind w:right="369"/>
              <w:spacing w:after="0"/>
              <w:rPr>
                <w:sz w:val="20"/>
                <w:szCs w:val="20"/>
                <w:color w:val="auto"/>
              </w:rPr>
            </w:pPr>
            <w:r>
              <w:rPr>
                <w:rFonts w:ascii="Times New Roman" w:cs="Times New Roman" w:eastAsia="Times New Roman" w:hAnsi="Times New Roman"/>
                <w:sz w:val="13"/>
                <w:szCs w:val="13"/>
                <w:b w:val="1"/>
                <w:bCs w:val="1"/>
                <w:color w:val="auto"/>
              </w:rPr>
              <w:t>Equity</w:t>
            </w:r>
          </w:p>
        </w:tc>
        <w:tc>
          <w:tcPr>
            <w:tcW w:w="0" w:type="dxa"/>
            <w:vAlign w:val="bottom"/>
          </w:tcPr>
          <w:p>
            <w:pPr>
              <w:spacing w:after="0"/>
              <w:rPr>
                <w:sz w:val="1"/>
                <w:szCs w:val="1"/>
                <w:color w:val="auto"/>
              </w:rPr>
            </w:pPr>
          </w:p>
        </w:tc>
      </w:tr>
      <w:tr>
        <w:trPr>
          <w:trHeight w:val="203"/>
        </w:trPr>
        <w:tc>
          <w:tcPr>
            <w:tcW w:w="26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March 31, 2024</w:t>
            </w:r>
          </w:p>
        </w:tc>
        <w:tc>
          <w:tcPr>
            <w:tcW w:w="1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7,440,025</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4,006</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15,308</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428,532</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(100,954)</w:t>
            </w:r>
          </w:p>
        </w:tc>
        <w:tc>
          <w:tcPr>
            <w:tcW w:w="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top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(27,584)</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319,308</w:t>
            </w:r>
          </w:p>
        </w:tc>
        <w:tc>
          <w:tcPr>
            <w:tcW w:w="0" w:type="dxa"/>
            <w:vAlign w:val="bottom"/>
          </w:tcPr>
          <w:p>
            <w:pPr>
              <w:spacing w:after="0"/>
              <w:rPr>
                <w:sz w:val="1"/>
                <w:szCs w:val="1"/>
                <w:color w:val="auto"/>
              </w:rPr>
            </w:pPr>
          </w:p>
        </w:tc>
      </w:tr>
      <w:tr>
        <w:trPr>
          <w:trHeight w:val="139"/>
        </w:trPr>
        <w:tc>
          <w:tcPr>
            <w:tcW w:w="2620" w:type="dxa"/>
            <w:vAlign w:val="bottom"/>
          </w:tcPr>
          <w:p>
            <w:pPr>
              <w:ind w:left="240"/>
              <w:spacing w:after="0" w:line="139" w:lineRule="exact"/>
              <w:rPr>
                <w:sz w:val="20"/>
                <w:szCs w:val="20"/>
                <w:color w:val="auto"/>
              </w:rPr>
            </w:pPr>
            <w:r>
              <w:rPr>
                <w:rFonts w:ascii="Times New Roman" w:cs="Times New Roman" w:eastAsia="Times New Roman" w:hAnsi="Times New Roman"/>
                <w:sz w:val="14"/>
                <w:szCs w:val="14"/>
                <w:color w:val="auto"/>
              </w:rPr>
              <w:t>Acquisition of Summit Financial Group,</w:t>
            </w:r>
          </w:p>
        </w:tc>
        <w:tc>
          <w:tcPr>
            <w:tcW w:w="120" w:type="dxa"/>
            <w:vAlign w:val="bottom"/>
          </w:tcPr>
          <w:p>
            <w:pPr>
              <w:spacing w:after="0"/>
              <w:rPr>
                <w:sz w:val="12"/>
                <w:szCs w:val="12"/>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10,413</w:t>
            </w:r>
          </w:p>
        </w:tc>
        <w:tc>
          <w:tcPr>
            <w:tcW w:w="100" w:type="dxa"/>
            <w:vAlign w:val="bottom"/>
          </w:tcPr>
          <w:p>
            <w:pPr>
              <w:spacing w:after="0"/>
              <w:rPr>
                <w:sz w:val="12"/>
                <w:szCs w:val="12"/>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7,405,772</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vMerge w:val="restart"/>
          </w:tcPr>
          <w:p>
            <w:pPr>
              <w:jc w:val="right"/>
              <w:ind w:right="9"/>
              <w:spacing w:after="0"/>
              <w:rPr>
                <w:sz w:val="20"/>
                <w:szCs w:val="20"/>
                <w:color w:val="auto"/>
              </w:rPr>
            </w:pPr>
            <w:r>
              <w:rPr>
                <w:rFonts w:ascii="Times New Roman" w:cs="Times New Roman" w:eastAsia="Times New Roman" w:hAnsi="Times New Roman"/>
                <w:sz w:val="14"/>
                <w:szCs w:val="14"/>
                <w:color w:val="auto"/>
              </w:rPr>
              <w:t>3,703</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383,329</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12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840" w:type="dxa"/>
            <w:vAlign w:val="bottom"/>
            <w:gridSpan w:val="2"/>
            <w:vMerge w:val="restart"/>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397,445</w:t>
            </w:r>
          </w:p>
        </w:tc>
        <w:tc>
          <w:tcPr>
            <w:tcW w:w="0" w:type="dxa"/>
            <w:vAlign w:val="bottom"/>
          </w:tcPr>
          <w:p>
            <w:pPr>
              <w:spacing w:after="0"/>
              <w:rPr>
                <w:sz w:val="1"/>
                <w:szCs w:val="1"/>
                <w:color w:val="auto"/>
              </w:rPr>
            </w:pPr>
          </w:p>
        </w:tc>
      </w:tr>
      <w:tr>
        <w:trPr>
          <w:trHeight w:val="193"/>
        </w:trPr>
        <w:tc>
          <w:tcPr>
            <w:tcW w:w="262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Inc.</w:t>
            </w:r>
          </w:p>
        </w:tc>
        <w:tc>
          <w:tcPr>
            <w:tcW w:w="12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26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Net income (loss)</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(16,919)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(16,919)</w:t>
            </w:r>
          </w:p>
        </w:tc>
        <w:tc>
          <w:tcPr>
            <w:tcW w:w="0" w:type="dxa"/>
            <w:vAlign w:val="bottom"/>
          </w:tcPr>
          <w:p>
            <w:pPr>
              <w:spacing w:after="0"/>
              <w:rPr>
                <w:sz w:val="1"/>
                <w:szCs w:val="1"/>
                <w:color w:val="auto"/>
              </w:rPr>
            </w:pPr>
          </w:p>
        </w:tc>
      </w:tr>
      <w:tr>
        <w:trPr>
          <w:trHeight w:val="195"/>
        </w:trPr>
        <w:tc>
          <w:tcPr>
            <w:tcW w:w="262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Other comprehensive income (loss)</w:t>
            </w:r>
          </w:p>
        </w:tc>
        <w:tc>
          <w:tcPr>
            <w:tcW w:w="12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12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524</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gridSpan w:val="2"/>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524</w:t>
            </w:r>
          </w:p>
        </w:tc>
        <w:tc>
          <w:tcPr>
            <w:tcW w:w="0" w:type="dxa"/>
            <w:vAlign w:val="bottom"/>
          </w:tcPr>
          <w:p>
            <w:pPr>
              <w:spacing w:after="0"/>
              <w:rPr>
                <w:sz w:val="1"/>
                <w:szCs w:val="1"/>
                <w:color w:val="auto"/>
              </w:rPr>
            </w:pPr>
          </w:p>
        </w:tc>
      </w:tr>
      <w:tr>
        <w:trPr>
          <w:trHeight w:val="210"/>
        </w:trPr>
        <w:tc>
          <w:tcPr>
            <w:tcW w:w="26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(Purchase) sale of treasury stock, net</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5"/>
        </w:trPr>
        <w:tc>
          <w:tcPr>
            <w:tcW w:w="262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Common stock cash dividends, declared</w:t>
            </w:r>
          </w:p>
        </w:tc>
        <w:tc>
          <w:tcPr>
            <w:tcW w:w="12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(7,869)</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840" w:type="dxa"/>
            <w:vAlign w:val="bottom"/>
            <w:gridSpan w:val="2"/>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(7,869)</w:t>
            </w:r>
          </w:p>
        </w:tc>
        <w:tc>
          <w:tcPr>
            <w:tcW w:w="0" w:type="dxa"/>
            <w:vAlign w:val="bottom"/>
          </w:tcPr>
          <w:p>
            <w:pPr>
              <w:spacing w:after="0"/>
              <w:rPr>
                <w:sz w:val="1"/>
                <w:szCs w:val="1"/>
                <w:color w:val="auto"/>
              </w:rPr>
            </w:pPr>
          </w:p>
        </w:tc>
      </w:tr>
      <w:tr>
        <w:trPr>
          <w:trHeight w:val="210"/>
        </w:trPr>
        <w:tc>
          <w:tcPr>
            <w:tcW w:w="26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Preferred stock cash dividends, declared</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(225)</w:t>
            </w:r>
          </w:p>
        </w:tc>
        <w:tc>
          <w:tcPr>
            <w:tcW w:w="0" w:type="dxa"/>
            <w:vAlign w:val="bottom"/>
          </w:tcPr>
          <w:p>
            <w:pPr>
              <w:spacing w:after="0"/>
              <w:rPr>
                <w:sz w:val="1"/>
                <w:szCs w:val="1"/>
                <w:color w:val="auto"/>
              </w:rPr>
            </w:pPr>
          </w:p>
        </w:tc>
      </w:tr>
      <w:tr>
        <w:trPr>
          <w:trHeight w:val="196"/>
        </w:trPr>
        <w:tc>
          <w:tcPr>
            <w:tcW w:w="262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Share-based compensation expense, net</w:t>
            </w:r>
          </w:p>
        </w:tc>
        <w:tc>
          <w:tcPr>
            <w:tcW w:w="120" w:type="dxa"/>
            <w:vAlign w:val="bottom"/>
          </w:tcPr>
          <w:p>
            <w:pPr>
              <w:spacing w:after="0"/>
              <w:rPr>
                <w:sz w:val="17"/>
                <w:szCs w:val="17"/>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86,372</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43</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916</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840" w:type="dxa"/>
            <w:vAlign w:val="bottom"/>
            <w:gridSpan w:val="2"/>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862</w:t>
            </w:r>
          </w:p>
        </w:tc>
        <w:tc>
          <w:tcPr>
            <w:tcW w:w="0" w:type="dxa"/>
            <w:vAlign w:val="bottom"/>
          </w:tcPr>
          <w:p>
            <w:pPr>
              <w:spacing w:after="0"/>
              <w:rPr>
                <w:sz w:val="1"/>
                <w:szCs w:val="1"/>
                <w:color w:val="auto"/>
              </w:rPr>
            </w:pPr>
          </w:p>
        </w:tc>
      </w:tr>
      <w:tr>
        <w:trPr>
          <w:trHeight w:val="196"/>
        </w:trPr>
        <w:tc>
          <w:tcPr>
            <w:tcW w:w="26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June 30, 2024</w:t>
            </w:r>
          </w:p>
        </w:tc>
        <w:tc>
          <w:tcPr>
            <w:tcW w:w="12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10,413</w:t>
            </w:r>
          </w:p>
        </w:tc>
        <w:tc>
          <w:tcPr>
            <w:tcW w:w="10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14,932,169</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7,752</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399,553</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403,422</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(100,430)</w:t>
            </w:r>
          </w:p>
        </w:tc>
        <w:tc>
          <w:tcPr>
            <w:tcW w:w="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top w:val="single" w:sz="8" w:color="auto"/>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(27,584)</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693,126</w:t>
            </w:r>
          </w:p>
        </w:tc>
        <w:tc>
          <w:tcPr>
            <w:tcW w:w="0" w:type="dxa"/>
            <w:vAlign w:val="bottom"/>
          </w:tcPr>
          <w:p>
            <w:pPr>
              <w:spacing w:after="0"/>
              <w:rPr>
                <w:sz w:val="1"/>
                <w:szCs w:val="1"/>
                <w:color w:val="auto"/>
              </w:rPr>
            </w:pPr>
          </w:p>
        </w:tc>
      </w:tr>
      <w:tr>
        <w:trPr>
          <w:trHeight w:val="256"/>
        </w:trPr>
        <w:tc>
          <w:tcPr>
            <w:tcW w:w="26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3"/>
        </w:trPr>
        <w:tc>
          <w:tcPr>
            <w:tcW w:w="2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March 31, 2023</w:t>
            </w:r>
          </w:p>
        </w:tc>
        <w:tc>
          <w:tcPr>
            <w:tcW w:w="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7,427,840</w:t>
            </w:r>
          </w:p>
        </w:tc>
        <w:tc>
          <w:tcPr>
            <w:tcW w:w="260" w:type="dxa"/>
            <w:vAlign w:val="bottom"/>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4,000</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12,686</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424,532</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(123,809)</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(27,626)</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289,783</w:t>
            </w:r>
          </w:p>
        </w:tc>
        <w:tc>
          <w:tcPr>
            <w:tcW w:w="0" w:type="dxa"/>
            <w:vAlign w:val="bottom"/>
          </w:tcPr>
          <w:p>
            <w:pPr>
              <w:spacing w:after="0"/>
              <w:rPr>
                <w:sz w:val="1"/>
                <w:szCs w:val="1"/>
                <w:color w:val="auto"/>
              </w:rPr>
            </w:pPr>
          </w:p>
        </w:tc>
      </w:tr>
      <w:tr>
        <w:trPr>
          <w:trHeight w:val="195"/>
        </w:trPr>
        <w:tc>
          <w:tcPr>
            <w:tcW w:w="262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Net income</w:t>
            </w:r>
          </w:p>
        </w:tc>
        <w:tc>
          <w:tcPr>
            <w:tcW w:w="12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6,034</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840" w:type="dxa"/>
            <w:vAlign w:val="bottom"/>
            <w:gridSpan w:val="2"/>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6,034</w:t>
            </w:r>
          </w:p>
        </w:tc>
        <w:tc>
          <w:tcPr>
            <w:tcW w:w="0" w:type="dxa"/>
            <w:vAlign w:val="bottom"/>
          </w:tcPr>
          <w:p>
            <w:pPr>
              <w:spacing w:after="0"/>
              <w:rPr>
                <w:sz w:val="1"/>
                <w:szCs w:val="1"/>
                <w:color w:val="auto"/>
              </w:rPr>
            </w:pPr>
          </w:p>
        </w:tc>
      </w:tr>
      <w:tr>
        <w:trPr>
          <w:trHeight w:val="210"/>
        </w:trPr>
        <w:tc>
          <w:tcPr>
            <w:tcW w:w="26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Other comprehensive income (loss)</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(2,368)</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(2,368)</w:t>
            </w:r>
          </w:p>
        </w:tc>
        <w:tc>
          <w:tcPr>
            <w:tcW w:w="0" w:type="dxa"/>
            <w:vAlign w:val="bottom"/>
          </w:tcPr>
          <w:p>
            <w:pPr>
              <w:spacing w:after="0"/>
              <w:rPr>
                <w:sz w:val="1"/>
                <w:szCs w:val="1"/>
                <w:color w:val="auto"/>
              </w:rPr>
            </w:pPr>
          </w:p>
        </w:tc>
      </w:tr>
      <w:tr>
        <w:trPr>
          <w:trHeight w:val="195"/>
        </w:trPr>
        <w:tc>
          <w:tcPr>
            <w:tcW w:w="262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(Purchase) sale of treasury stock, net</w:t>
            </w:r>
          </w:p>
        </w:tc>
        <w:tc>
          <w:tcPr>
            <w:tcW w:w="12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870</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740" w:type="dxa"/>
            <w:vAlign w:val="bottom"/>
          </w:tcPr>
          <w:p>
            <w:pPr>
              <w:ind w:left="540"/>
              <w:spacing w:after="0"/>
              <w:rPr>
                <w:sz w:val="20"/>
                <w:szCs w:val="20"/>
                <w:color w:val="auto"/>
              </w:rPr>
            </w:pPr>
            <w:r>
              <w:rPr>
                <w:rFonts w:ascii="Times New Roman" w:cs="Times New Roman" w:eastAsia="Times New Roman" w:hAnsi="Times New Roman"/>
                <w:sz w:val="14"/>
                <w:szCs w:val="14"/>
                <w:color w:val="auto"/>
              </w:rPr>
              <w:t>42</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w:t>
            </w:r>
          </w:p>
        </w:tc>
        <w:tc>
          <w:tcPr>
            <w:tcW w:w="0" w:type="dxa"/>
            <w:vAlign w:val="bottom"/>
          </w:tcPr>
          <w:p>
            <w:pPr>
              <w:spacing w:after="0"/>
              <w:rPr>
                <w:sz w:val="1"/>
                <w:szCs w:val="1"/>
                <w:color w:val="auto"/>
              </w:rPr>
            </w:pPr>
          </w:p>
        </w:tc>
      </w:tr>
      <w:tr>
        <w:trPr>
          <w:trHeight w:val="210"/>
        </w:trPr>
        <w:tc>
          <w:tcPr>
            <w:tcW w:w="26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Common stock cash dividends, declared</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(3,936)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(3,936)</w:t>
            </w:r>
          </w:p>
        </w:tc>
        <w:tc>
          <w:tcPr>
            <w:tcW w:w="0" w:type="dxa"/>
            <w:vAlign w:val="bottom"/>
          </w:tcPr>
          <w:p>
            <w:pPr>
              <w:spacing w:after="0"/>
              <w:rPr>
                <w:sz w:val="1"/>
                <w:szCs w:val="1"/>
                <w:color w:val="auto"/>
              </w:rPr>
            </w:pPr>
          </w:p>
        </w:tc>
      </w:tr>
      <w:tr>
        <w:trPr>
          <w:trHeight w:val="196"/>
        </w:trPr>
        <w:tc>
          <w:tcPr>
            <w:tcW w:w="262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Share-based compensation expense, net</w:t>
            </w:r>
          </w:p>
        </w:tc>
        <w:tc>
          <w:tcPr>
            <w:tcW w:w="120" w:type="dxa"/>
            <w:vAlign w:val="bottom"/>
          </w:tcPr>
          <w:p>
            <w:pPr>
              <w:spacing w:after="0"/>
              <w:rPr>
                <w:sz w:val="17"/>
                <w:szCs w:val="17"/>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522</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840" w:type="dxa"/>
            <w:vAlign w:val="bottom"/>
            <w:gridSpan w:val="2"/>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517</w:t>
            </w:r>
          </w:p>
        </w:tc>
        <w:tc>
          <w:tcPr>
            <w:tcW w:w="0" w:type="dxa"/>
            <w:vAlign w:val="bottom"/>
          </w:tcPr>
          <w:p>
            <w:pPr>
              <w:spacing w:after="0"/>
              <w:rPr>
                <w:sz w:val="1"/>
                <w:szCs w:val="1"/>
                <w:color w:val="auto"/>
              </w:rPr>
            </w:pPr>
          </w:p>
        </w:tc>
      </w:tr>
      <w:tr>
        <w:trPr>
          <w:trHeight w:val="196"/>
        </w:trPr>
        <w:tc>
          <w:tcPr>
            <w:tcW w:w="26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June 30, 2023</w:t>
            </w:r>
          </w:p>
        </w:tc>
        <w:tc>
          <w:tcPr>
            <w:tcW w:w="12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7,428,710</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4,000</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13,208</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426,625</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(126,177)</w:t>
            </w:r>
          </w:p>
        </w:tc>
        <w:tc>
          <w:tcPr>
            <w:tcW w:w="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top w:val="single" w:sz="8" w:color="auto"/>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(27,584)</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290,072</w:t>
            </w:r>
          </w:p>
        </w:tc>
        <w:tc>
          <w:tcPr>
            <w:tcW w:w="0" w:type="dxa"/>
            <w:vAlign w:val="bottom"/>
          </w:tcPr>
          <w:p>
            <w:pPr>
              <w:spacing w:after="0"/>
              <w:rPr>
                <w:sz w:val="1"/>
                <w:szCs w:val="1"/>
                <w:color w:val="auto"/>
              </w:rPr>
            </w:pPr>
          </w:p>
        </w:tc>
      </w:tr>
    </w:tbl>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Burke &amp; Herbert Financial Services Corp.</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Changes in Shareholders’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Six Months Ended June 30, 2024, and 2023</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80"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2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gridSpan w:val="4"/>
          </w:tcPr>
          <w:p>
            <w:pPr>
              <w:ind w:left="60"/>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1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2640" w:type="dxa"/>
            <w:vAlign w:val="bottom"/>
          </w:tcPr>
          <w:p>
            <w:pPr>
              <w:spacing w:after="0"/>
              <w:rPr>
                <w:sz w:val="10"/>
                <w:szCs w:val="10"/>
                <w:color w:val="auto"/>
              </w:rPr>
            </w:pPr>
          </w:p>
        </w:tc>
        <w:tc>
          <w:tcPr>
            <w:tcW w:w="980" w:type="dxa"/>
            <w:vAlign w:val="bottom"/>
            <w:gridSpan w:val="3"/>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Preferred Stock</w:t>
            </w:r>
          </w:p>
        </w:tc>
        <w:tc>
          <w:tcPr>
            <w:tcW w:w="1020" w:type="dxa"/>
            <w:vAlign w:val="bottom"/>
            <w:vMerge w:val="restart"/>
          </w:tcPr>
          <w:p>
            <w:pPr>
              <w:jc w:val="right"/>
              <w:ind w:right="249"/>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jc w:val="center"/>
              <w:ind w:right="29"/>
              <w:spacing w:after="0" w:line="122" w:lineRule="exact"/>
              <w:rPr>
                <w:sz w:val="20"/>
                <w:szCs w:val="20"/>
                <w:color w:val="auto"/>
              </w:rPr>
            </w:pPr>
            <w:r>
              <w:rPr>
                <w:rFonts w:ascii="Times New Roman" w:cs="Times New Roman" w:eastAsia="Times New Roman" w:hAnsi="Times New Roman"/>
                <w:sz w:val="13"/>
                <w:szCs w:val="13"/>
                <w:b w:val="1"/>
                <w:bCs w:val="1"/>
                <w:color w:val="auto"/>
                <w:w w:val="97"/>
              </w:rPr>
              <w:t>Additional</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4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b w:val="1"/>
                <w:bCs w:val="1"/>
                <w:color w:val="auto"/>
              </w:rPr>
              <w:t>Retained</w:t>
            </w:r>
          </w:p>
        </w:tc>
        <w:tc>
          <w:tcPr>
            <w:tcW w:w="160" w:type="dxa"/>
            <w:vAlign w:val="bottom"/>
          </w:tcPr>
          <w:p>
            <w:pPr>
              <w:spacing w:after="0"/>
              <w:rPr>
                <w:sz w:val="10"/>
                <w:szCs w:val="10"/>
                <w:color w:val="auto"/>
              </w:rPr>
            </w:pPr>
          </w:p>
        </w:tc>
        <w:tc>
          <w:tcPr>
            <w:tcW w:w="118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w w:val="96"/>
              </w:rPr>
              <w:t>Comprehensive</w:t>
            </w:r>
          </w:p>
        </w:tc>
        <w:tc>
          <w:tcPr>
            <w:tcW w:w="140" w:type="dxa"/>
            <w:vAlign w:val="bottom"/>
          </w:tcPr>
          <w:p>
            <w:pPr>
              <w:spacing w:after="0"/>
              <w:rPr>
                <w:sz w:val="10"/>
                <w:szCs w:val="10"/>
                <w:color w:val="auto"/>
              </w:rPr>
            </w:pPr>
          </w:p>
        </w:tc>
        <w:tc>
          <w:tcPr>
            <w:tcW w:w="86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w w:val="93"/>
              </w:rPr>
              <w:t>Treasury</w:t>
            </w:r>
          </w:p>
        </w:tc>
        <w:tc>
          <w:tcPr>
            <w:tcW w:w="160" w:type="dxa"/>
            <w:vAlign w:val="bottom"/>
          </w:tcPr>
          <w:p>
            <w:pPr>
              <w:spacing w:after="0"/>
              <w:rPr>
                <w:sz w:val="10"/>
                <w:szCs w:val="10"/>
                <w:color w:val="auto"/>
              </w:rPr>
            </w:pPr>
          </w:p>
        </w:tc>
        <w:tc>
          <w:tcPr>
            <w:tcW w:w="1060" w:type="dxa"/>
            <w:vAlign w:val="bottom"/>
            <w:vMerge w:val="restart"/>
          </w:tcPr>
          <w:p>
            <w:pPr>
              <w:jc w:val="right"/>
              <w:ind w:right="169"/>
              <w:spacing w:after="0"/>
              <w:rPr>
                <w:sz w:val="20"/>
                <w:szCs w:val="20"/>
                <w:color w:val="auto"/>
              </w:rPr>
            </w:pPr>
            <w:r>
              <w:rPr>
                <w:rFonts w:ascii="Times New Roman" w:cs="Times New Roman" w:eastAsia="Times New Roman" w:hAnsi="Times New Roman"/>
                <w:sz w:val="13"/>
                <w:szCs w:val="13"/>
                <w:b w:val="1"/>
                <w:bCs w:val="1"/>
                <w:color w:val="auto"/>
              </w:rPr>
              <w:t>Shareholders’</w:t>
            </w:r>
          </w:p>
        </w:tc>
        <w:tc>
          <w:tcPr>
            <w:tcW w:w="0" w:type="dxa"/>
            <w:vAlign w:val="bottom"/>
          </w:tcPr>
          <w:p>
            <w:pPr>
              <w:spacing w:after="0"/>
              <w:rPr>
                <w:sz w:val="1"/>
                <w:szCs w:val="1"/>
                <w:color w:val="auto"/>
              </w:rPr>
            </w:pPr>
          </w:p>
        </w:tc>
      </w:tr>
      <w:tr>
        <w:trPr>
          <w:trHeight w:val="122"/>
        </w:trPr>
        <w:tc>
          <w:tcPr>
            <w:tcW w:w="2640" w:type="dxa"/>
            <w:vAlign w:val="bottom"/>
          </w:tcPr>
          <w:p>
            <w:pPr>
              <w:spacing w:after="0"/>
              <w:rPr>
                <w:sz w:val="10"/>
                <w:szCs w:val="10"/>
                <w:color w:val="auto"/>
              </w:rPr>
            </w:pPr>
          </w:p>
        </w:tc>
        <w:tc>
          <w:tcPr>
            <w:tcW w:w="980" w:type="dxa"/>
            <w:vAlign w:val="bottom"/>
            <w:gridSpan w:val="3"/>
            <w:vMerge w:val="continue"/>
          </w:tcPr>
          <w:p>
            <w:pPr>
              <w:spacing w:after="0"/>
              <w:rPr>
                <w:sz w:val="10"/>
                <w:szCs w:val="10"/>
                <w:color w:val="auto"/>
              </w:rPr>
            </w:pPr>
          </w:p>
        </w:tc>
        <w:tc>
          <w:tcPr>
            <w:tcW w:w="102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gridSpan w:val="2"/>
          </w:tcPr>
          <w:p>
            <w:pPr>
              <w:jc w:val="center"/>
              <w:ind w:right="220"/>
              <w:spacing w:after="0" w:line="122" w:lineRule="exact"/>
              <w:rPr>
                <w:sz w:val="20"/>
                <w:szCs w:val="20"/>
                <w:color w:val="auto"/>
              </w:rPr>
            </w:pPr>
            <w:r>
              <w:rPr>
                <w:rFonts w:ascii="Times New Roman" w:cs="Times New Roman" w:eastAsia="Times New Roman" w:hAnsi="Times New Roman"/>
                <w:sz w:val="13"/>
                <w:szCs w:val="13"/>
                <w:b w:val="1"/>
                <w:bCs w:val="1"/>
                <w:color w:val="auto"/>
                <w:w w:val="98"/>
              </w:rPr>
              <w:t>Paid-in</w:t>
            </w:r>
          </w:p>
        </w:tc>
        <w:tc>
          <w:tcPr>
            <w:tcW w:w="140" w:type="dxa"/>
            <w:vAlign w:val="bottom"/>
          </w:tcPr>
          <w:p>
            <w:pPr>
              <w:spacing w:after="0"/>
              <w:rPr>
                <w:sz w:val="10"/>
                <w:szCs w:val="10"/>
                <w:color w:val="auto"/>
              </w:rPr>
            </w:pPr>
          </w:p>
        </w:tc>
        <w:tc>
          <w:tcPr>
            <w:tcW w:w="840" w:type="dxa"/>
            <w:vAlign w:val="bottom"/>
            <w:gridSpan w:val="2"/>
            <w:vMerge w:val="continue"/>
          </w:tcPr>
          <w:p>
            <w:pPr>
              <w:spacing w:after="0"/>
              <w:rPr>
                <w:sz w:val="10"/>
                <w:szCs w:val="10"/>
                <w:color w:val="auto"/>
              </w:rPr>
            </w:pPr>
          </w:p>
        </w:tc>
        <w:tc>
          <w:tcPr>
            <w:tcW w:w="16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860" w:type="dxa"/>
            <w:vAlign w:val="bottom"/>
            <w:gridSpan w:val="2"/>
            <w:vMerge w:val="continue"/>
          </w:tcPr>
          <w:p>
            <w:pPr>
              <w:spacing w:after="0"/>
              <w:rPr>
                <w:sz w:val="10"/>
                <w:szCs w:val="10"/>
                <w:color w:val="auto"/>
              </w:rPr>
            </w:pPr>
          </w:p>
        </w:tc>
        <w:tc>
          <w:tcPr>
            <w:tcW w:w="160" w:type="dxa"/>
            <w:vAlign w:val="bottom"/>
          </w:tcPr>
          <w:p>
            <w:pPr>
              <w:spacing w:after="0"/>
              <w:rPr>
                <w:sz w:val="10"/>
                <w:szCs w:val="10"/>
                <w:color w:val="auto"/>
              </w:rPr>
            </w:pPr>
          </w:p>
        </w:tc>
        <w:tc>
          <w:tcPr>
            <w:tcW w:w="10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83"/>
        </w:trPr>
        <w:tc>
          <w:tcPr>
            <w:tcW w:w="2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and Surplus</w:t>
            </w:r>
          </w:p>
        </w:tc>
        <w:tc>
          <w:tcPr>
            <w:tcW w:w="1020" w:type="dxa"/>
            <w:vAlign w:val="bottom"/>
          </w:tcPr>
          <w:p>
            <w:pPr>
              <w:jc w:val="right"/>
              <w:ind w:right="109"/>
              <w:spacing w:after="0"/>
              <w:rPr>
                <w:sz w:val="20"/>
                <w:szCs w:val="20"/>
                <w:color w:val="auto"/>
              </w:rPr>
            </w:pPr>
            <w:r>
              <w:rPr>
                <w:rFonts w:ascii="Times New Roman" w:cs="Times New Roman" w:eastAsia="Times New Roman" w:hAnsi="Times New Roman"/>
                <w:sz w:val="13"/>
                <w:szCs w:val="13"/>
                <w:b w:val="1"/>
                <w:bCs w:val="1"/>
                <w:color w:val="auto"/>
              </w:rPr>
              <w:t>Outstanding</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120" w:type="dxa"/>
            <w:vAlign w:val="bottom"/>
          </w:tcPr>
          <w:p>
            <w:pPr>
              <w:spacing w:after="0"/>
              <w:rPr>
                <w:sz w:val="15"/>
                <w:szCs w:val="15"/>
                <w:color w:val="auto"/>
              </w:rPr>
            </w:pPr>
          </w:p>
        </w:tc>
        <w:tc>
          <w:tcPr>
            <w:tcW w:w="86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7"/>
              </w:rPr>
              <w:t>Capital</w:t>
            </w:r>
          </w:p>
        </w:tc>
        <w:tc>
          <w:tcPr>
            <w:tcW w:w="140" w:type="dxa"/>
            <w:vAlign w:val="bottom"/>
          </w:tcPr>
          <w:p>
            <w:pPr>
              <w:spacing w:after="0"/>
              <w:rPr>
                <w:sz w:val="15"/>
                <w:szCs w:val="15"/>
                <w:color w:val="auto"/>
              </w:rPr>
            </w:pPr>
          </w:p>
        </w:tc>
        <w:tc>
          <w:tcPr>
            <w:tcW w:w="840" w:type="dxa"/>
            <w:vAlign w:val="bottom"/>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rPr>
              <w:t>Earnings</w:t>
            </w:r>
          </w:p>
        </w:tc>
        <w:tc>
          <w:tcPr>
            <w:tcW w:w="160" w:type="dxa"/>
            <w:vAlign w:val="bottom"/>
          </w:tcPr>
          <w:p>
            <w:pPr>
              <w:spacing w:after="0"/>
              <w:rPr>
                <w:sz w:val="15"/>
                <w:szCs w:val="15"/>
                <w:color w:val="auto"/>
              </w:rPr>
            </w:pPr>
          </w:p>
        </w:tc>
        <w:tc>
          <w:tcPr>
            <w:tcW w:w="118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w w:val="96"/>
              </w:rPr>
              <w:t>Income (Loss)</w:t>
            </w:r>
          </w:p>
        </w:tc>
        <w:tc>
          <w:tcPr>
            <w:tcW w:w="140" w:type="dxa"/>
            <w:vAlign w:val="bottom"/>
          </w:tcPr>
          <w:p>
            <w:pPr>
              <w:spacing w:after="0"/>
              <w:rPr>
                <w:sz w:val="15"/>
                <w:szCs w:val="15"/>
                <w:color w:val="auto"/>
              </w:rPr>
            </w:pPr>
          </w:p>
        </w:tc>
        <w:tc>
          <w:tcPr>
            <w:tcW w:w="86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6"/>
              </w:rPr>
              <w:t>Stock</w:t>
            </w:r>
          </w:p>
        </w:tc>
        <w:tc>
          <w:tcPr>
            <w:tcW w:w="160" w:type="dxa"/>
            <w:vAlign w:val="bottom"/>
          </w:tcPr>
          <w:p>
            <w:pPr>
              <w:spacing w:after="0"/>
              <w:rPr>
                <w:sz w:val="15"/>
                <w:szCs w:val="15"/>
                <w:color w:val="auto"/>
              </w:rPr>
            </w:pPr>
          </w:p>
        </w:tc>
        <w:tc>
          <w:tcPr>
            <w:tcW w:w="1060" w:type="dxa"/>
            <w:vAlign w:val="bottom"/>
          </w:tcPr>
          <w:p>
            <w:pPr>
              <w:jc w:val="right"/>
              <w:ind w:right="369"/>
              <w:spacing w:after="0"/>
              <w:rPr>
                <w:sz w:val="20"/>
                <w:szCs w:val="20"/>
                <w:color w:val="auto"/>
              </w:rPr>
            </w:pPr>
            <w:r>
              <w:rPr>
                <w:rFonts w:ascii="Times New Roman" w:cs="Times New Roman" w:eastAsia="Times New Roman" w:hAnsi="Times New Roman"/>
                <w:sz w:val="13"/>
                <w:szCs w:val="13"/>
                <w:b w:val="1"/>
                <w:bCs w:val="1"/>
                <w:color w:val="auto"/>
              </w:rPr>
              <w:t>Equity</w:t>
            </w:r>
          </w:p>
        </w:tc>
        <w:tc>
          <w:tcPr>
            <w:tcW w:w="0" w:type="dxa"/>
            <w:vAlign w:val="bottom"/>
          </w:tcPr>
          <w:p>
            <w:pPr>
              <w:spacing w:after="0"/>
              <w:rPr>
                <w:sz w:val="1"/>
                <w:szCs w:val="1"/>
                <w:color w:val="auto"/>
              </w:rPr>
            </w:pPr>
          </w:p>
        </w:tc>
      </w:tr>
      <w:tr>
        <w:trPr>
          <w:trHeight w:val="202"/>
        </w:trPr>
        <w:tc>
          <w:tcPr>
            <w:tcW w:w="26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December 31, 2023</w:t>
            </w:r>
          </w:p>
        </w:tc>
        <w:tc>
          <w:tcPr>
            <w:tcW w:w="1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7,428,710</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4,000</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14,495</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427,333</w:t>
            </w:r>
          </w:p>
        </w:tc>
        <w:tc>
          <w:tcPr>
            <w:tcW w:w="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(103,494)</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(27,584)</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314,750</w:t>
            </w:r>
          </w:p>
        </w:tc>
        <w:tc>
          <w:tcPr>
            <w:tcW w:w="0" w:type="dxa"/>
            <w:vAlign w:val="bottom"/>
          </w:tcPr>
          <w:p>
            <w:pPr>
              <w:spacing w:after="0"/>
              <w:rPr>
                <w:sz w:val="1"/>
                <w:szCs w:val="1"/>
                <w:color w:val="auto"/>
              </w:rPr>
            </w:pPr>
          </w:p>
        </w:tc>
      </w:tr>
      <w:tr>
        <w:trPr>
          <w:trHeight w:val="139"/>
        </w:trPr>
        <w:tc>
          <w:tcPr>
            <w:tcW w:w="2640" w:type="dxa"/>
            <w:vAlign w:val="bottom"/>
          </w:tcPr>
          <w:p>
            <w:pPr>
              <w:ind w:left="240"/>
              <w:spacing w:after="0" w:line="139" w:lineRule="exact"/>
              <w:rPr>
                <w:sz w:val="20"/>
                <w:szCs w:val="20"/>
                <w:color w:val="auto"/>
              </w:rPr>
            </w:pPr>
            <w:r>
              <w:rPr>
                <w:rFonts w:ascii="Times New Roman" w:cs="Times New Roman" w:eastAsia="Times New Roman" w:hAnsi="Times New Roman"/>
                <w:sz w:val="14"/>
                <w:szCs w:val="14"/>
                <w:color w:val="auto"/>
              </w:rPr>
              <w:t>Acquisition of Summit Financial Group,</w:t>
            </w:r>
          </w:p>
        </w:tc>
        <w:tc>
          <w:tcPr>
            <w:tcW w:w="100" w:type="dxa"/>
            <w:vAlign w:val="bottom"/>
          </w:tcPr>
          <w:p>
            <w:pPr>
              <w:spacing w:after="0"/>
              <w:rPr>
                <w:sz w:val="12"/>
                <w:szCs w:val="12"/>
                <w:color w:val="auto"/>
              </w:rPr>
            </w:pPr>
          </w:p>
        </w:tc>
        <w:tc>
          <w:tcPr>
            <w:tcW w:w="800" w:type="dxa"/>
            <w:vAlign w:val="bottom"/>
            <w:vMerge w:val="restart"/>
          </w:tcPr>
          <w:p>
            <w:pPr>
              <w:jc w:val="right"/>
              <w:ind w:right="9"/>
              <w:spacing w:after="0"/>
              <w:rPr>
                <w:sz w:val="20"/>
                <w:szCs w:val="20"/>
                <w:color w:val="auto"/>
              </w:rPr>
            </w:pPr>
            <w:r>
              <w:rPr>
                <w:rFonts w:ascii="Times New Roman" w:cs="Times New Roman" w:eastAsia="Times New Roman" w:hAnsi="Times New Roman"/>
                <w:sz w:val="14"/>
                <w:szCs w:val="14"/>
                <w:color w:val="auto"/>
              </w:rPr>
              <w:t>10,413</w:t>
            </w:r>
          </w:p>
        </w:tc>
        <w:tc>
          <w:tcPr>
            <w:tcW w:w="80" w:type="dxa"/>
            <w:vAlign w:val="bottom"/>
          </w:tcPr>
          <w:p>
            <w:pPr>
              <w:spacing w:after="0"/>
              <w:rPr>
                <w:sz w:val="12"/>
                <w:szCs w:val="12"/>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7,405,772</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3,703</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383,329</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11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8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397,445</w:t>
            </w:r>
          </w:p>
        </w:tc>
        <w:tc>
          <w:tcPr>
            <w:tcW w:w="0" w:type="dxa"/>
            <w:vAlign w:val="bottom"/>
          </w:tcPr>
          <w:p>
            <w:pPr>
              <w:spacing w:after="0"/>
              <w:rPr>
                <w:sz w:val="1"/>
                <w:szCs w:val="1"/>
                <w:color w:val="auto"/>
              </w:rPr>
            </w:pPr>
          </w:p>
        </w:tc>
      </w:tr>
      <w:tr>
        <w:trPr>
          <w:trHeight w:val="193"/>
        </w:trPr>
        <w:tc>
          <w:tcPr>
            <w:tcW w:w="264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Inc.</w:t>
            </w:r>
          </w:p>
        </w:tc>
        <w:tc>
          <w:tcPr>
            <w:tcW w:w="10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26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Net income (loss)</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(11,707)</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(11,707)</w:t>
            </w:r>
          </w:p>
        </w:tc>
        <w:tc>
          <w:tcPr>
            <w:tcW w:w="0" w:type="dxa"/>
            <w:vAlign w:val="bottom"/>
          </w:tcPr>
          <w:p>
            <w:pPr>
              <w:spacing w:after="0"/>
              <w:rPr>
                <w:sz w:val="1"/>
                <w:szCs w:val="1"/>
                <w:color w:val="auto"/>
              </w:rPr>
            </w:pPr>
          </w:p>
        </w:tc>
      </w:tr>
      <w:tr>
        <w:trPr>
          <w:trHeight w:val="230"/>
        </w:trPr>
        <w:tc>
          <w:tcPr>
            <w:tcW w:w="264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Other comprehensive income (loss)</w:t>
            </w:r>
          </w:p>
        </w:tc>
        <w:tc>
          <w:tcPr>
            <w:tcW w:w="10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9"/>
                <w:szCs w:val="19"/>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9"/>
                <w:szCs w:val="19"/>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3,064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3,064</w:t>
            </w:r>
          </w:p>
        </w:tc>
        <w:tc>
          <w:tcPr>
            <w:tcW w:w="0" w:type="dxa"/>
            <w:vAlign w:val="bottom"/>
          </w:tcPr>
          <w:p>
            <w:pPr>
              <w:spacing w:after="0"/>
              <w:rPr>
                <w:sz w:val="1"/>
                <w:szCs w:val="1"/>
                <w:color w:val="auto"/>
              </w:rPr>
            </w:pPr>
          </w:p>
        </w:tc>
      </w:tr>
      <w:tr>
        <w:trPr>
          <w:trHeight w:val="229"/>
        </w:trPr>
        <w:tc>
          <w:tcPr>
            <w:tcW w:w="26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(Purchase) sale of treasury stock, net</w:t>
            </w:r>
          </w:p>
        </w:tc>
        <w:tc>
          <w:tcPr>
            <w:tcW w:w="10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5"/>
        </w:trPr>
        <w:tc>
          <w:tcPr>
            <w:tcW w:w="264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Common stock cash dividends, declared</w:t>
            </w:r>
          </w:p>
        </w:tc>
        <w:tc>
          <w:tcPr>
            <w:tcW w:w="10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(11,808)</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(11,808)</w:t>
            </w:r>
          </w:p>
        </w:tc>
        <w:tc>
          <w:tcPr>
            <w:tcW w:w="0" w:type="dxa"/>
            <w:vAlign w:val="bottom"/>
          </w:tcPr>
          <w:p>
            <w:pPr>
              <w:spacing w:after="0"/>
              <w:rPr>
                <w:sz w:val="1"/>
                <w:szCs w:val="1"/>
                <w:color w:val="auto"/>
              </w:rPr>
            </w:pPr>
          </w:p>
        </w:tc>
      </w:tr>
      <w:tr>
        <w:trPr>
          <w:trHeight w:val="210"/>
        </w:trPr>
        <w:tc>
          <w:tcPr>
            <w:tcW w:w="26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Preferred stock cash dividends, declared</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(225)</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(225)</w:t>
            </w:r>
          </w:p>
        </w:tc>
        <w:tc>
          <w:tcPr>
            <w:tcW w:w="0" w:type="dxa"/>
            <w:vAlign w:val="bottom"/>
          </w:tcPr>
          <w:p>
            <w:pPr>
              <w:spacing w:after="0"/>
              <w:rPr>
                <w:sz w:val="1"/>
                <w:szCs w:val="1"/>
                <w:color w:val="auto"/>
              </w:rPr>
            </w:pPr>
          </w:p>
        </w:tc>
      </w:tr>
      <w:tr>
        <w:trPr>
          <w:trHeight w:val="196"/>
        </w:trPr>
        <w:tc>
          <w:tcPr>
            <w:tcW w:w="264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Share-based compensation expense, net</w:t>
            </w:r>
          </w:p>
        </w:tc>
        <w:tc>
          <w:tcPr>
            <w:tcW w:w="100" w:type="dxa"/>
            <w:vAlign w:val="bottom"/>
          </w:tcPr>
          <w:p>
            <w:pPr>
              <w:spacing w:after="0"/>
              <w:rPr>
                <w:sz w:val="17"/>
                <w:szCs w:val="17"/>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97,687</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1,729</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(171)</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1,607</w:t>
            </w:r>
          </w:p>
        </w:tc>
        <w:tc>
          <w:tcPr>
            <w:tcW w:w="0" w:type="dxa"/>
            <w:vAlign w:val="bottom"/>
          </w:tcPr>
          <w:p>
            <w:pPr>
              <w:spacing w:after="0"/>
              <w:rPr>
                <w:sz w:val="1"/>
                <w:szCs w:val="1"/>
                <w:color w:val="auto"/>
              </w:rPr>
            </w:pPr>
          </w:p>
        </w:tc>
      </w:tr>
      <w:tr>
        <w:trPr>
          <w:trHeight w:val="196"/>
        </w:trPr>
        <w:tc>
          <w:tcPr>
            <w:tcW w:w="26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June 30, 2024</w:t>
            </w:r>
          </w:p>
        </w:tc>
        <w:tc>
          <w:tcPr>
            <w:tcW w:w="10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10,413</w:t>
            </w:r>
          </w:p>
        </w:tc>
        <w:tc>
          <w:tcPr>
            <w:tcW w:w="8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14,932,169</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7,752</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399,553</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403,422</w:t>
            </w:r>
          </w:p>
        </w:tc>
        <w:tc>
          <w:tcPr>
            <w:tcW w:w="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(100,430)</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(27,584)</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693,126</w:t>
            </w:r>
          </w:p>
        </w:tc>
        <w:tc>
          <w:tcPr>
            <w:tcW w:w="0" w:type="dxa"/>
            <w:vAlign w:val="bottom"/>
          </w:tcPr>
          <w:p>
            <w:pPr>
              <w:spacing w:after="0"/>
              <w:rPr>
                <w:sz w:val="1"/>
                <w:szCs w:val="1"/>
                <w:color w:val="auto"/>
              </w:rPr>
            </w:pPr>
          </w:p>
        </w:tc>
      </w:tr>
      <w:tr>
        <w:trPr>
          <w:trHeight w:val="256"/>
        </w:trPr>
        <w:tc>
          <w:tcPr>
            <w:tcW w:w="26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3"/>
        </w:trPr>
        <w:tc>
          <w:tcPr>
            <w:tcW w:w="2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December 31, 2022</w:t>
            </w:r>
          </w:p>
        </w:tc>
        <w:tc>
          <w:tcPr>
            <w:tcW w:w="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7,425,760</w:t>
            </w:r>
          </w:p>
        </w:tc>
        <w:tc>
          <w:tcPr>
            <w:tcW w:w="260" w:type="dxa"/>
            <w:vAlign w:val="bottom"/>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4,000</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12,282</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424,391</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(139,495)</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(27,725)</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273,453</w:t>
            </w:r>
          </w:p>
        </w:tc>
        <w:tc>
          <w:tcPr>
            <w:tcW w:w="0" w:type="dxa"/>
            <w:vAlign w:val="bottom"/>
          </w:tcPr>
          <w:p>
            <w:pPr>
              <w:spacing w:after="0"/>
              <w:rPr>
                <w:sz w:val="1"/>
                <w:szCs w:val="1"/>
                <w:color w:val="auto"/>
              </w:rPr>
            </w:pPr>
          </w:p>
        </w:tc>
      </w:tr>
      <w:tr>
        <w:trPr>
          <w:trHeight w:val="139"/>
        </w:trPr>
        <w:tc>
          <w:tcPr>
            <w:tcW w:w="2640" w:type="dxa"/>
            <w:vAlign w:val="bottom"/>
          </w:tcPr>
          <w:p>
            <w:pPr>
              <w:ind w:left="240"/>
              <w:spacing w:after="0" w:line="139" w:lineRule="exact"/>
              <w:rPr>
                <w:sz w:val="20"/>
                <w:szCs w:val="20"/>
                <w:color w:val="auto"/>
              </w:rPr>
            </w:pPr>
            <w:r>
              <w:rPr>
                <w:rFonts w:ascii="Times New Roman" w:cs="Times New Roman" w:eastAsia="Times New Roman" w:hAnsi="Times New Roman"/>
                <w:sz w:val="14"/>
                <w:szCs w:val="14"/>
                <w:color w:val="auto"/>
              </w:rPr>
              <w:t>Cumulative effect adjustment due to the</w:t>
            </w:r>
          </w:p>
        </w:tc>
        <w:tc>
          <w:tcPr>
            <w:tcW w:w="100" w:type="dxa"/>
            <w:vAlign w:val="bottom"/>
          </w:tcPr>
          <w:p>
            <w:pPr>
              <w:spacing w:after="0"/>
              <w:rPr>
                <w:sz w:val="12"/>
                <w:szCs w:val="12"/>
                <w:color w:val="auto"/>
              </w:rPr>
            </w:pPr>
          </w:p>
        </w:tc>
        <w:tc>
          <w:tcPr>
            <w:tcW w:w="8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(3,439)</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8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(3,439)</w:t>
            </w:r>
          </w:p>
        </w:tc>
        <w:tc>
          <w:tcPr>
            <w:tcW w:w="0" w:type="dxa"/>
            <w:vAlign w:val="bottom"/>
          </w:tcPr>
          <w:p>
            <w:pPr>
              <w:spacing w:after="0"/>
              <w:rPr>
                <w:sz w:val="1"/>
                <w:szCs w:val="1"/>
                <w:color w:val="auto"/>
              </w:rPr>
            </w:pPr>
          </w:p>
        </w:tc>
      </w:tr>
      <w:tr>
        <w:trPr>
          <w:trHeight w:val="193"/>
        </w:trPr>
        <w:tc>
          <w:tcPr>
            <w:tcW w:w="264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adoption of CECL, net of tax</w:t>
            </w:r>
          </w:p>
        </w:tc>
        <w:tc>
          <w:tcPr>
            <w:tcW w:w="10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0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26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Net income</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13,558</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13,558</w:t>
            </w:r>
          </w:p>
        </w:tc>
        <w:tc>
          <w:tcPr>
            <w:tcW w:w="0" w:type="dxa"/>
            <w:vAlign w:val="bottom"/>
          </w:tcPr>
          <w:p>
            <w:pPr>
              <w:spacing w:after="0"/>
              <w:rPr>
                <w:sz w:val="1"/>
                <w:szCs w:val="1"/>
                <w:color w:val="auto"/>
              </w:rPr>
            </w:pPr>
          </w:p>
        </w:tc>
      </w:tr>
      <w:tr>
        <w:trPr>
          <w:trHeight w:val="195"/>
        </w:trPr>
        <w:tc>
          <w:tcPr>
            <w:tcW w:w="264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Other comprehensive income (loss)</w:t>
            </w:r>
          </w:p>
        </w:tc>
        <w:tc>
          <w:tcPr>
            <w:tcW w:w="10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13,318</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13,318</w:t>
            </w:r>
          </w:p>
        </w:tc>
        <w:tc>
          <w:tcPr>
            <w:tcW w:w="0" w:type="dxa"/>
            <w:vAlign w:val="bottom"/>
          </w:tcPr>
          <w:p>
            <w:pPr>
              <w:spacing w:after="0"/>
              <w:rPr>
                <w:sz w:val="1"/>
                <w:szCs w:val="1"/>
                <w:color w:val="auto"/>
              </w:rPr>
            </w:pPr>
          </w:p>
        </w:tc>
      </w:tr>
      <w:tr>
        <w:trPr>
          <w:trHeight w:val="210"/>
        </w:trPr>
        <w:tc>
          <w:tcPr>
            <w:tcW w:w="26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(Purchase) sale of treasury stock, net</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2,950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141</w:t>
            </w:r>
          </w:p>
        </w:tc>
        <w:tc>
          <w:tcPr>
            <w:tcW w:w="0" w:type="dxa"/>
            <w:vAlign w:val="bottom"/>
          </w:tcPr>
          <w:p>
            <w:pPr>
              <w:spacing w:after="0"/>
              <w:rPr>
                <w:sz w:val="1"/>
                <w:szCs w:val="1"/>
                <w:color w:val="auto"/>
              </w:rPr>
            </w:pPr>
          </w:p>
        </w:tc>
      </w:tr>
      <w:tr>
        <w:trPr>
          <w:trHeight w:val="195"/>
        </w:trPr>
        <w:tc>
          <w:tcPr>
            <w:tcW w:w="264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Common stock cash dividends, declared</w:t>
            </w:r>
          </w:p>
        </w:tc>
        <w:tc>
          <w:tcPr>
            <w:tcW w:w="10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(7,872)</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(7,872)</w:t>
            </w:r>
          </w:p>
        </w:tc>
        <w:tc>
          <w:tcPr>
            <w:tcW w:w="0" w:type="dxa"/>
            <w:vAlign w:val="bottom"/>
          </w:tcPr>
          <w:p>
            <w:pPr>
              <w:spacing w:after="0"/>
              <w:rPr>
                <w:sz w:val="1"/>
                <w:szCs w:val="1"/>
                <w:color w:val="auto"/>
              </w:rPr>
            </w:pPr>
          </w:p>
        </w:tc>
      </w:tr>
      <w:tr>
        <w:trPr>
          <w:trHeight w:val="210"/>
        </w:trPr>
        <w:tc>
          <w:tcPr>
            <w:tcW w:w="26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Share-based compensation expense, net</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913</w:t>
            </w:r>
          </w:p>
        </w:tc>
        <w:tc>
          <w:tcPr>
            <w:tcW w:w="0" w:type="dxa"/>
            <w:vAlign w:val="bottom"/>
          </w:tcPr>
          <w:p>
            <w:pPr>
              <w:spacing w:after="0"/>
              <w:rPr>
                <w:sz w:val="1"/>
                <w:szCs w:val="1"/>
                <w:color w:val="auto"/>
              </w:rPr>
            </w:pPr>
          </w:p>
        </w:tc>
      </w:tr>
      <w:tr>
        <w:trPr>
          <w:trHeight w:val="190"/>
        </w:trPr>
        <w:tc>
          <w:tcPr>
            <w:tcW w:w="26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Balance June 30, 2023</w:t>
            </w:r>
          </w:p>
        </w:tc>
        <w:tc>
          <w:tcPr>
            <w:tcW w:w="1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7,428,710</w:t>
            </w:r>
          </w:p>
        </w:tc>
        <w:tc>
          <w:tcPr>
            <w:tcW w:w="100" w:type="dxa"/>
            <w:vAlign w:val="bottom"/>
          </w:tcPr>
          <w:p>
            <w:pPr>
              <w:spacing w:after="0"/>
              <w:rPr>
                <w:sz w:val="16"/>
                <w:szCs w:val="16"/>
                <w:color w:val="auto"/>
              </w:rPr>
            </w:pPr>
          </w:p>
        </w:tc>
        <w:tc>
          <w:tcPr>
            <w:tcW w:w="16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4,000</w:t>
            </w:r>
          </w:p>
        </w:tc>
        <w:tc>
          <w:tcPr>
            <w:tcW w:w="10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13,208</w:t>
            </w:r>
          </w:p>
        </w:tc>
        <w:tc>
          <w:tcPr>
            <w:tcW w:w="10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426,625</w:t>
            </w:r>
          </w:p>
        </w:tc>
        <w:tc>
          <w:tcPr>
            <w:tcW w:w="80" w:type="dxa"/>
            <w:vAlign w:val="bottom"/>
          </w:tcPr>
          <w:p>
            <w:pPr>
              <w:spacing w:after="0"/>
              <w:rPr>
                <w:sz w:val="16"/>
                <w:szCs w:val="16"/>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(126,177)</w:t>
            </w:r>
          </w:p>
        </w:tc>
        <w:tc>
          <w:tcPr>
            <w:tcW w:w="10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(27,584)</w:t>
            </w:r>
          </w:p>
        </w:tc>
        <w:tc>
          <w:tcPr>
            <w:tcW w:w="100" w:type="dxa"/>
            <w:vAlign w:val="bottom"/>
          </w:tcPr>
          <w:p>
            <w:pPr>
              <w:spacing w:after="0"/>
              <w:rPr>
                <w:sz w:val="16"/>
                <w:szCs w:val="16"/>
                <w:color w:val="auto"/>
              </w:rPr>
            </w:pPr>
          </w:p>
        </w:tc>
        <w:tc>
          <w:tcPr>
            <w:tcW w:w="16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290,072</w:t>
            </w:r>
          </w:p>
        </w:tc>
        <w:tc>
          <w:tcPr>
            <w:tcW w:w="0" w:type="dxa"/>
            <w:vAlign w:val="bottom"/>
          </w:tcPr>
          <w:p>
            <w:pPr>
              <w:spacing w:after="0"/>
              <w:rPr>
                <w:sz w:val="1"/>
                <w:szCs w:val="1"/>
                <w:color w:val="auto"/>
              </w:rPr>
            </w:pPr>
          </w:p>
        </w:tc>
      </w:tr>
    </w:tbl>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Burke &amp; Herbert Financial Services Corp.</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80" w:type="dxa"/>
            <w:vAlign w:val="bottom"/>
          </w:tcPr>
          <w:p>
            <w:pPr>
              <w:spacing w:after="0"/>
              <w:rPr>
                <w:sz w:val="16"/>
                <w:szCs w:val="16"/>
                <w:color w:val="auto"/>
              </w:rPr>
            </w:pPr>
          </w:p>
        </w:tc>
        <w:tc>
          <w:tcPr>
            <w:tcW w:w="2460" w:type="dxa"/>
            <w:vAlign w:val="bottom"/>
            <w:gridSpan w:val="4"/>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600" w:type="dxa"/>
            <w:vAlign w:val="bottom"/>
          </w:tcPr>
          <w:p>
            <w:pPr>
              <w:spacing w:after="0"/>
              <w:rPr>
                <w:sz w:val="16"/>
                <w:szCs w:val="16"/>
                <w:color w:val="auto"/>
              </w:rPr>
            </w:pPr>
          </w:p>
        </w:tc>
      </w:tr>
      <w:tr>
        <w:trPr>
          <w:trHeight w:val="203"/>
        </w:trPr>
        <w:tc>
          <w:tcPr>
            <w:tcW w:w="81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600" w:type="dxa"/>
            <w:vAlign w:val="bottom"/>
          </w:tcPr>
          <w:p>
            <w:pPr>
              <w:spacing w:after="0"/>
              <w:rPr>
                <w:sz w:val="17"/>
                <w:szCs w:val="17"/>
                <w:color w:val="auto"/>
              </w:rPr>
            </w:pPr>
          </w:p>
        </w:tc>
      </w:tr>
      <w:tr>
        <w:trPr>
          <w:trHeight w:val="23"/>
        </w:trPr>
        <w:tc>
          <w:tcPr>
            <w:tcW w:w="818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r>
      <w:tr>
        <w:trPr>
          <w:trHeight w:val="18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Operating Activities</w:t>
            </w:r>
          </w:p>
        </w:tc>
        <w:tc>
          <w:tcPr>
            <w:tcW w:w="8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r>
      <w:tr>
        <w:trPr>
          <w:trHeight w:val="195"/>
        </w:trPr>
        <w:tc>
          <w:tcPr>
            <w:tcW w:w="81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Net Income (loss)</w:t>
            </w:r>
          </w:p>
        </w:tc>
        <w:tc>
          <w:tcPr>
            <w:tcW w:w="880" w:type="dxa"/>
            <w:vAlign w:val="bottom"/>
          </w:tcPr>
          <w:p>
            <w:pPr>
              <w:jc w:val="right"/>
              <w:ind w:right="728"/>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(11,707)</w:t>
            </w:r>
          </w:p>
        </w:tc>
        <w:tc>
          <w:tcPr>
            <w:tcW w:w="100" w:type="dxa"/>
            <w:vAlign w:val="bottom"/>
          </w:tcPr>
          <w:p>
            <w:pPr>
              <w:spacing w:after="0"/>
              <w:rPr>
                <w:sz w:val="16"/>
                <w:szCs w:val="16"/>
                <w:color w:val="auto"/>
              </w:rPr>
            </w:pPr>
          </w:p>
        </w:tc>
        <w:tc>
          <w:tcPr>
            <w:tcW w:w="880" w:type="dxa"/>
            <w:vAlign w:val="bottom"/>
          </w:tcPr>
          <w:p>
            <w:pPr>
              <w:jc w:val="right"/>
              <w:ind w:right="728"/>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13,558</w:t>
            </w:r>
          </w:p>
        </w:tc>
      </w:tr>
      <w:tr>
        <w:trPr>
          <w:trHeight w:val="21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Adjustments to reconcile net income (loss) to net cash provided by operating activities:</w:t>
            </w:r>
          </w:p>
        </w:tc>
        <w:tc>
          <w:tcPr>
            <w:tcW w:w="8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r>
      <w:tr>
        <w:trPr>
          <w:trHeight w:val="195"/>
        </w:trPr>
        <w:tc>
          <w:tcPr>
            <w:tcW w:w="818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Depreciation and amortization of fixed assets</w:t>
            </w:r>
          </w:p>
        </w:tc>
        <w:tc>
          <w:tcPr>
            <w:tcW w:w="8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2,315</w:t>
            </w: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1,354</w:t>
            </w:r>
          </w:p>
        </w:tc>
      </w:tr>
      <w:tr>
        <w:trPr>
          <w:trHeight w:val="210"/>
        </w:trPr>
        <w:tc>
          <w:tcPr>
            <w:tcW w:w="81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Amortization of other intangible assets</w:t>
            </w:r>
          </w:p>
        </w:tc>
        <w:tc>
          <w:tcPr>
            <w:tcW w:w="8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2,865</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5"/>
        </w:trPr>
        <w:tc>
          <w:tcPr>
            <w:tcW w:w="818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Accretion on assumed liabilities</w:t>
            </w:r>
          </w:p>
        </w:tc>
        <w:tc>
          <w:tcPr>
            <w:tcW w:w="8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2,526</w:t>
            </w: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10"/>
        </w:trPr>
        <w:tc>
          <w:tcPr>
            <w:tcW w:w="81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Accretion income related to acquired loans</w:t>
            </w:r>
          </w:p>
        </w:tc>
        <w:tc>
          <w:tcPr>
            <w:tcW w:w="8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13,302</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5"/>
        </w:trPr>
        <w:tc>
          <w:tcPr>
            <w:tcW w:w="818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Amortization of housing tax credits</w:t>
            </w:r>
          </w:p>
        </w:tc>
        <w:tc>
          <w:tcPr>
            <w:tcW w:w="8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2,745</w:t>
            </w: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2,796</w:t>
            </w:r>
          </w:p>
        </w:tc>
      </w:tr>
      <w:tr>
        <w:trPr>
          <w:trHeight w:val="210"/>
        </w:trPr>
        <w:tc>
          <w:tcPr>
            <w:tcW w:w="81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Realized (gain) loss on sales of available-for-sale securities</w:t>
            </w:r>
          </w:p>
        </w:tc>
        <w:tc>
          <w:tcPr>
            <w:tcW w:w="8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(613)</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w:t>
            </w:r>
          </w:p>
        </w:tc>
      </w:tr>
      <w:tr>
        <w:trPr>
          <w:trHeight w:val="195"/>
        </w:trPr>
        <w:tc>
          <w:tcPr>
            <w:tcW w:w="818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Realized (gain) on sales of OREO property</w:t>
            </w:r>
          </w:p>
        </w:tc>
        <w:tc>
          <w:tcPr>
            <w:tcW w:w="8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10"/>
        </w:trPr>
        <w:tc>
          <w:tcPr>
            <w:tcW w:w="81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Provision for credit losses</w:t>
            </w:r>
          </w:p>
        </w:tc>
        <w:tc>
          <w:tcPr>
            <w:tcW w:w="8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23,240</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729</w:t>
            </w:r>
          </w:p>
        </w:tc>
      </w:tr>
      <w:tr>
        <w:trPr>
          <w:trHeight w:val="195"/>
        </w:trPr>
        <w:tc>
          <w:tcPr>
            <w:tcW w:w="818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Income from company-owned life insurance</w:t>
            </w:r>
          </w:p>
        </w:tc>
        <w:tc>
          <w:tcPr>
            <w:tcW w:w="8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(1,469)</w:t>
            </w: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(1,131)</w:t>
            </w:r>
          </w:p>
        </w:tc>
      </w:tr>
      <w:tr>
        <w:trPr>
          <w:trHeight w:val="210"/>
        </w:trPr>
        <w:tc>
          <w:tcPr>
            <w:tcW w:w="81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Deferred tax (benefit)</w:t>
            </w:r>
          </w:p>
        </w:tc>
        <w:tc>
          <w:tcPr>
            <w:tcW w:w="8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(38,461)</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(1,560)</w:t>
            </w:r>
          </w:p>
        </w:tc>
      </w:tr>
      <w:tr>
        <w:trPr>
          <w:trHeight w:val="195"/>
        </w:trPr>
        <w:tc>
          <w:tcPr>
            <w:tcW w:w="818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Loss on disposal of fixed assets</w:t>
            </w:r>
          </w:p>
        </w:tc>
        <w:tc>
          <w:tcPr>
            <w:tcW w:w="8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473</w:t>
            </w: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10"/>
        </w:trPr>
        <w:tc>
          <w:tcPr>
            <w:tcW w:w="81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Accretion of securities</w:t>
            </w:r>
          </w:p>
        </w:tc>
        <w:tc>
          <w:tcPr>
            <w:tcW w:w="8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(1,654)</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(815)</w:t>
            </w:r>
          </w:p>
        </w:tc>
      </w:tr>
      <w:tr>
        <w:trPr>
          <w:trHeight w:val="195"/>
        </w:trPr>
        <w:tc>
          <w:tcPr>
            <w:tcW w:w="818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Amortization of securities</w:t>
            </w:r>
          </w:p>
        </w:tc>
        <w:tc>
          <w:tcPr>
            <w:tcW w:w="8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4,631</w:t>
            </w: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4,643</w:t>
            </w:r>
          </w:p>
        </w:tc>
      </w:tr>
      <w:tr>
        <w:trPr>
          <w:trHeight w:val="210"/>
        </w:trPr>
        <w:tc>
          <w:tcPr>
            <w:tcW w:w="81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Share-based compensation expense</w:t>
            </w:r>
          </w:p>
        </w:tc>
        <w:tc>
          <w:tcPr>
            <w:tcW w:w="8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1,496</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1,188</w:t>
            </w:r>
          </w:p>
        </w:tc>
      </w:tr>
      <w:tr>
        <w:trPr>
          <w:trHeight w:val="195"/>
        </w:trPr>
        <w:tc>
          <w:tcPr>
            <w:tcW w:w="818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Repayment of operating lease liabilities</w:t>
            </w:r>
          </w:p>
        </w:tc>
        <w:tc>
          <w:tcPr>
            <w:tcW w:w="8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(1,111)</w:t>
            </w: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(1,631)</w:t>
            </w:r>
          </w:p>
        </w:tc>
      </w:tr>
      <w:tr>
        <w:trPr>
          <w:trHeight w:val="210"/>
        </w:trPr>
        <w:tc>
          <w:tcPr>
            <w:tcW w:w="81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(Gain) on loans held-for-sale</w:t>
            </w:r>
          </w:p>
        </w:tc>
        <w:tc>
          <w:tcPr>
            <w:tcW w:w="8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(199)</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w:t>
            </w:r>
          </w:p>
        </w:tc>
      </w:tr>
      <w:tr>
        <w:trPr>
          <w:trHeight w:val="195"/>
        </w:trPr>
        <w:tc>
          <w:tcPr>
            <w:tcW w:w="818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Proceeds from sale of loans held-for-sale</w:t>
            </w:r>
          </w:p>
        </w:tc>
        <w:tc>
          <w:tcPr>
            <w:tcW w:w="8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14,105</w:t>
            </w: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2,845</w:t>
            </w:r>
          </w:p>
        </w:tc>
      </w:tr>
      <w:tr>
        <w:trPr>
          <w:trHeight w:val="210"/>
        </w:trPr>
        <w:tc>
          <w:tcPr>
            <w:tcW w:w="81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Change in fair value of loans held-for-sale</w:t>
            </w:r>
          </w:p>
        </w:tc>
        <w:tc>
          <w:tcPr>
            <w:tcW w:w="8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r>
      <w:tr>
        <w:trPr>
          <w:trHeight w:val="195"/>
        </w:trPr>
        <w:tc>
          <w:tcPr>
            <w:tcW w:w="818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Originations of loans held-for-sale</w:t>
            </w:r>
          </w:p>
        </w:tc>
        <w:tc>
          <w:tcPr>
            <w:tcW w:w="8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(15,705)</w:t>
            </w: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(3,307)</w:t>
            </w:r>
          </w:p>
        </w:tc>
      </w:tr>
      <w:tr>
        <w:trPr>
          <w:trHeight w:val="210"/>
        </w:trPr>
        <w:tc>
          <w:tcPr>
            <w:tcW w:w="81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(Increase) decrease in accrued interest receivable</w:t>
            </w:r>
          </w:p>
        </w:tc>
        <w:tc>
          <w:tcPr>
            <w:tcW w:w="8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(1,501)</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700</w:t>
            </w:r>
          </w:p>
        </w:tc>
      </w:tr>
      <w:tr>
        <w:trPr>
          <w:trHeight w:val="195"/>
        </w:trPr>
        <w:tc>
          <w:tcPr>
            <w:tcW w:w="818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(Increase) decrease in other assets</w:t>
            </w:r>
          </w:p>
        </w:tc>
        <w:tc>
          <w:tcPr>
            <w:tcW w:w="8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(39,733)</w:t>
            </w: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2,750</w:t>
            </w:r>
          </w:p>
        </w:tc>
      </w:tr>
      <w:tr>
        <w:trPr>
          <w:trHeight w:val="210"/>
        </w:trPr>
        <w:tc>
          <w:tcPr>
            <w:tcW w:w="81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Increase in accrued interest payable and other liabilities</w:t>
            </w:r>
          </w:p>
        </w:tc>
        <w:tc>
          <w:tcPr>
            <w:tcW w:w="8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32,178</w:t>
            </w:r>
          </w:p>
        </w:tc>
        <w:tc>
          <w:tcPr>
            <w:tcW w:w="100" w:type="dxa"/>
            <w:vAlign w:val="bottom"/>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656</w:t>
            </w:r>
          </w:p>
        </w:tc>
      </w:tr>
      <w:tr>
        <w:trPr>
          <w:trHeight w:val="190"/>
        </w:trPr>
        <w:tc>
          <w:tcPr>
            <w:tcW w:w="818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4"/>
                <w:szCs w:val="14"/>
                <w:color w:val="auto"/>
              </w:rPr>
              <w:t>Net cash flows provided by (used in) operating activities</w:t>
            </w:r>
          </w:p>
        </w:tc>
        <w:tc>
          <w:tcPr>
            <w:tcW w:w="880" w:type="dxa"/>
            <w:vAlign w:val="bottom"/>
            <w:tcBorders>
              <w:bottom w:val="single" w:sz="8" w:color="auto"/>
            </w:tcBorders>
          </w:tcPr>
          <w:p>
            <w:pPr>
              <w:jc w:val="right"/>
              <w:ind w:right="728"/>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(12,275)</w:t>
            </w:r>
          </w:p>
        </w:tc>
        <w:tc>
          <w:tcPr>
            <w:tcW w:w="100" w:type="dxa"/>
            <w:vAlign w:val="bottom"/>
            <w:tcBorders>
              <w:bottom w:val="single" w:sz="8" w:color="CCEEFF"/>
            </w:tcBorders>
          </w:tcPr>
          <w:p>
            <w:pPr>
              <w:spacing w:after="0"/>
              <w:rPr>
                <w:sz w:val="16"/>
                <w:szCs w:val="16"/>
                <w:color w:val="auto"/>
              </w:rPr>
            </w:pPr>
          </w:p>
        </w:tc>
        <w:tc>
          <w:tcPr>
            <w:tcW w:w="880" w:type="dxa"/>
            <w:vAlign w:val="bottom"/>
            <w:tcBorders>
              <w:bottom w:val="single" w:sz="8" w:color="auto"/>
            </w:tcBorders>
          </w:tcPr>
          <w:p>
            <w:pPr>
              <w:jc w:val="right"/>
              <w:ind w:right="728"/>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22,864</w:t>
            </w:r>
          </w:p>
        </w:tc>
      </w:tr>
      <w:tr>
        <w:trPr>
          <w:trHeight w:val="257"/>
        </w:trPr>
        <w:tc>
          <w:tcPr>
            <w:tcW w:w="818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r>
      <w:tr>
        <w:trPr>
          <w:trHeight w:val="196"/>
        </w:trPr>
        <w:tc>
          <w:tcPr>
            <w:tcW w:w="81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Investing Activities</w:t>
            </w:r>
          </w:p>
        </w:tc>
        <w:tc>
          <w:tcPr>
            <w:tcW w:w="8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00" w:type="dxa"/>
            <w:vAlign w:val="bottom"/>
          </w:tcPr>
          <w:p>
            <w:pPr>
              <w:spacing w:after="0"/>
              <w:rPr>
                <w:sz w:val="17"/>
                <w:szCs w:val="17"/>
                <w:color w:val="auto"/>
              </w:rPr>
            </w:pPr>
          </w:p>
        </w:tc>
      </w:tr>
      <w:tr>
        <w:trPr>
          <w:trHeight w:val="209"/>
        </w:trPr>
        <w:tc>
          <w:tcPr>
            <w:tcW w:w="81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Proceeds from maturities, prepayments, and calls of securities available-for-sale, net</w:t>
            </w:r>
          </w:p>
        </w:tc>
        <w:tc>
          <w:tcPr>
            <w:tcW w:w="8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128,020</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52,500</w:t>
            </w:r>
          </w:p>
        </w:tc>
      </w:tr>
      <w:tr>
        <w:trPr>
          <w:trHeight w:val="195"/>
        </w:trPr>
        <w:tc>
          <w:tcPr>
            <w:tcW w:w="818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Proceeds from sale of securities available-for-sale, net</w:t>
            </w:r>
          </w:p>
        </w:tc>
        <w:tc>
          <w:tcPr>
            <w:tcW w:w="8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365,990</w:t>
            </w: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77,780</w:t>
            </w:r>
          </w:p>
        </w:tc>
      </w:tr>
      <w:tr>
        <w:trPr>
          <w:trHeight w:val="210"/>
        </w:trPr>
        <w:tc>
          <w:tcPr>
            <w:tcW w:w="81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Purchases of securities available-for-sale, net</w:t>
            </w:r>
          </w:p>
        </w:tc>
        <w:tc>
          <w:tcPr>
            <w:tcW w:w="8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(480,920)</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5"/>
        </w:trPr>
        <w:tc>
          <w:tcPr>
            <w:tcW w:w="818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Cash (paid) from merger, net</w:t>
            </w:r>
          </w:p>
        </w:tc>
        <w:tc>
          <w:tcPr>
            <w:tcW w:w="8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(750)</w:t>
            </w: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10"/>
        </w:trPr>
        <w:tc>
          <w:tcPr>
            <w:tcW w:w="81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Sales of restricted stock</w:t>
            </w:r>
          </w:p>
        </w:tc>
        <w:tc>
          <w:tcPr>
            <w:tcW w:w="8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24,201</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27,447</w:t>
            </w:r>
          </w:p>
        </w:tc>
      </w:tr>
      <w:tr>
        <w:trPr>
          <w:trHeight w:val="195"/>
        </w:trPr>
        <w:tc>
          <w:tcPr>
            <w:tcW w:w="818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Purchases of restricted stock</w:t>
            </w:r>
          </w:p>
        </w:tc>
        <w:tc>
          <w:tcPr>
            <w:tcW w:w="8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(33,406)</w:t>
            </w: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(14,918)</w:t>
            </w:r>
          </w:p>
        </w:tc>
      </w:tr>
      <w:tr>
        <w:trPr>
          <w:trHeight w:val="210"/>
        </w:trPr>
        <w:tc>
          <w:tcPr>
            <w:tcW w:w="81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Purchases of property and equipment, net of disposals</w:t>
            </w:r>
          </w:p>
        </w:tc>
        <w:tc>
          <w:tcPr>
            <w:tcW w:w="8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(2,523)</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(4,367)</w:t>
            </w:r>
          </w:p>
        </w:tc>
      </w:tr>
      <w:tr>
        <w:trPr>
          <w:trHeight w:val="195"/>
        </w:trPr>
        <w:tc>
          <w:tcPr>
            <w:tcW w:w="818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(Purchase of) proceeds from company-owned life insurance</w:t>
            </w:r>
          </w:p>
        </w:tc>
        <w:tc>
          <w:tcPr>
            <w:tcW w:w="8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1,433</w:t>
            </w: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r>
      <w:tr>
        <w:trPr>
          <w:trHeight w:val="210"/>
        </w:trPr>
        <w:tc>
          <w:tcPr>
            <w:tcW w:w="81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(Increase) decrease in loans made to customers, net</w:t>
            </w:r>
          </w:p>
        </w:tc>
        <w:tc>
          <w:tcPr>
            <w:tcW w:w="8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137,008</w:t>
            </w:r>
          </w:p>
        </w:tc>
        <w:tc>
          <w:tcPr>
            <w:tcW w:w="100" w:type="dxa"/>
            <w:vAlign w:val="bottom"/>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(113,748)</w:t>
            </w:r>
          </w:p>
        </w:tc>
      </w:tr>
      <w:tr>
        <w:trPr>
          <w:trHeight w:val="190"/>
        </w:trPr>
        <w:tc>
          <w:tcPr>
            <w:tcW w:w="818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4"/>
                <w:szCs w:val="14"/>
                <w:color w:val="auto"/>
              </w:rPr>
              <w:t>Net cash flows provided by investing activities</w:t>
            </w:r>
          </w:p>
        </w:tc>
        <w:tc>
          <w:tcPr>
            <w:tcW w:w="880" w:type="dxa"/>
            <w:vAlign w:val="bottom"/>
            <w:tcBorders>
              <w:bottom w:val="single" w:sz="8" w:color="auto"/>
            </w:tcBorders>
          </w:tcPr>
          <w:p>
            <w:pPr>
              <w:jc w:val="right"/>
              <w:ind w:right="728"/>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139,053</w:t>
            </w:r>
          </w:p>
        </w:tc>
        <w:tc>
          <w:tcPr>
            <w:tcW w:w="100" w:type="dxa"/>
            <w:vAlign w:val="bottom"/>
            <w:tcBorders>
              <w:bottom w:val="single" w:sz="8" w:color="CCEEFF"/>
            </w:tcBorders>
          </w:tcPr>
          <w:p>
            <w:pPr>
              <w:spacing w:after="0"/>
              <w:rPr>
                <w:sz w:val="16"/>
                <w:szCs w:val="16"/>
                <w:color w:val="auto"/>
              </w:rPr>
            </w:pPr>
          </w:p>
        </w:tc>
        <w:tc>
          <w:tcPr>
            <w:tcW w:w="880" w:type="dxa"/>
            <w:vAlign w:val="bottom"/>
            <w:tcBorders>
              <w:bottom w:val="single" w:sz="8" w:color="auto"/>
            </w:tcBorders>
          </w:tcPr>
          <w:p>
            <w:pPr>
              <w:jc w:val="right"/>
              <w:ind w:right="728"/>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24,688</w:t>
            </w:r>
          </w:p>
        </w:tc>
      </w:tr>
      <w:tr>
        <w:trPr>
          <w:trHeight w:val="257"/>
        </w:trPr>
        <w:tc>
          <w:tcPr>
            <w:tcW w:w="818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r>
      <w:tr>
        <w:trPr>
          <w:trHeight w:val="196"/>
        </w:trPr>
        <w:tc>
          <w:tcPr>
            <w:tcW w:w="81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Financing Activities</w:t>
            </w:r>
          </w:p>
        </w:tc>
        <w:tc>
          <w:tcPr>
            <w:tcW w:w="8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00" w:type="dxa"/>
            <w:vAlign w:val="bottom"/>
          </w:tcPr>
          <w:p>
            <w:pPr>
              <w:spacing w:after="0"/>
              <w:rPr>
                <w:sz w:val="17"/>
                <w:szCs w:val="17"/>
                <w:color w:val="auto"/>
              </w:rPr>
            </w:pPr>
          </w:p>
        </w:tc>
      </w:tr>
      <w:tr>
        <w:trPr>
          <w:trHeight w:val="209"/>
        </w:trPr>
        <w:tc>
          <w:tcPr>
            <w:tcW w:w="81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Net (decrease) in non-interest-bearing accounts</w:t>
            </w:r>
          </w:p>
        </w:tc>
        <w:tc>
          <w:tcPr>
            <w:tcW w:w="8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(14,966)</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(84,296)</w:t>
            </w:r>
          </w:p>
        </w:tc>
      </w:tr>
      <w:tr>
        <w:trPr>
          <w:trHeight w:val="195"/>
        </w:trPr>
        <w:tc>
          <w:tcPr>
            <w:tcW w:w="818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Net increase (decrease) in interest-bearing accounts</w:t>
            </w:r>
          </w:p>
        </w:tc>
        <w:tc>
          <w:tcPr>
            <w:tcW w:w="8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(56,300)</w:t>
            </w: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169,159</w:t>
            </w:r>
          </w:p>
        </w:tc>
      </w:tr>
      <w:tr>
        <w:trPr>
          <w:trHeight w:val="210"/>
        </w:trPr>
        <w:tc>
          <w:tcPr>
            <w:tcW w:w="81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Net increase (decrease) in other short-term borrowings</w:t>
            </w:r>
          </w:p>
        </w:tc>
        <w:tc>
          <w:tcPr>
            <w:tcW w:w="8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122,064</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(94,100)</w:t>
            </w:r>
          </w:p>
        </w:tc>
      </w:tr>
      <w:tr>
        <w:trPr>
          <w:trHeight w:val="195"/>
        </w:trPr>
        <w:tc>
          <w:tcPr>
            <w:tcW w:w="818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Repayment of finance lease liabilities</w:t>
            </w:r>
          </w:p>
        </w:tc>
        <w:tc>
          <w:tcPr>
            <w:tcW w:w="8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(107)</w:t>
            </w: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w:t>
            </w:r>
          </w:p>
        </w:tc>
      </w:tr>
      <w:tr>
        <w:trPr>
          <w:trHeight w:val="210"/>
        </w:trPr>
        <w:tc>
          <w:tcPr>
            <w:tcW w:w="81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Cash dividends paid</w:t>
            </w:r>
          </w:p>
        </w:tc>
        <w:tc>
          <w:tcPr>
            <w:tcW w:w="8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(12,033)</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(7,872)</w:t>
            </w:r>
          </w:p>
        </w:tc>
      </w:tr>
      <w:tr>
        <w:trPr>
          <w:trHeight w:val="195"/>
        </w:trPr>
        <w:tc>
          <w:tcPr>
            <w:tcW w:w="818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Proceeds from employee stock purchase program</w:t>
            </w:r>
          </w:p>
        </w:tc>
        <w:tc>
          <w:tcPr>
            <w:tcW w:w="8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208</w:t>
            </w: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10"/>
        </w:trPr>
        <w:tc>
          <w:tcPr>
            <w:tcW w:w="81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Issuance of common stock</w:t>
            </w:r>
          </w:p>
        </w:tc>
        <w:tc>
          <w:tcPr>
            <w:tcW w:w="8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1,778</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Burke &amp; Herbert Financial Services Corp.</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818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Sale of treasury stock</w:t>
            </w:r>
          </w:p>
        </w:tc>
        <w:tc>
          <w:tcPr>
            <w:tcW w:w="520" w:type="dxa"/>
            <w:vAlign w:val="bottom"/>
          </w:tcPr>
          <w:p>
            <w:pPr>
              <w:spacing w:after="0"/>
              <w:rPr>
                <w:sz w:val="16"/>
                <w:szCs w:val="16"/>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141</w:t>
            </w:r>
          </w:p>
        </w:tc>
      </w:tr>
      <w:tr>
        <w:trPr>
          <w:trHeight w:val="23"/>
        </w:trPr>
        <w:tc>
          <w:tcPr>
            <w:tcW w:w="818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196"/>
        </w:trPr>
        <w:tc>
          <w:tcPr>
            <w:tcW w:w="818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Net cash flows provided by (used in) financing activities</w:t>
            </w:r>
          </w:p>
        </w:tc>
        <w:tc>
          <w:tcPr>
            <w:tcW w:w="520" w:type="dxa"/>
            <w:vAlign w:val="bottom"/>
            <w:tcBorders>
              <w:bottom w:val="single" w:sz="8" w:color="auto"/>
            </w:tcBorders>
            <w:shd w:val="clear" w:color="auto" w:fill="CCEEFF"/>
          </w:tcPr>
          <w:p>
            <w:pPr>
              <w:jc w:val="right"/>
              <w:ind w:right="368"/>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40,644</w:t>
            </w:r>
          </w:p>
        </w:tc>
        <w:tc>
          <w:tcPr>
            <w:tcW w:w="100" w:type="dxa"/>
            <w:vAlign w:val="bottom"/>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jc w:val="right"/>
              <w:ind w:right="368"/>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(17,048)</w:t>
            </w:r>
          </w:p>
        </w:tc>
      </w:tr>
      <w:tr>
        <w:trPr>
          <w:trHeight w:val="189"/>
        </w:trPr>
        <w:tc>
          <w:tcPr>
            <w:tcW w:w="818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Increase in cash and cash equivalents</w:t>
            </w:r>
          </w:p>
        </w:tc>
        <w:tc>
          <w:tcPr>
            <w:tcW w:w="5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167,422</w:t>
            </w: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30,504</w:t>
            </w:r>
          </w:p>
        </w:tc>
      </w:tr>
      <w:tr>
        <w:trPr>
          <w:trHeight w:val="21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5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196"/>
        </w:trPr>
        <w:tc>
          <w:tcPr>
            <w:tcW w:w="818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4"/>
                <w:szCs w:val="14"/>
                <w:color w:val="auto"/>
              </w:rPr>
              <w:t>Beginning of period</w:t>
            </w:r>
          </w:p>
        </w:tc>
        <w:tc>
          <w:tcPr>
            <w:tcW w:w="5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44,498</w:t>
            </w:r>
          </w:p>
        </w:tc>
        <w:tc>
          <w:tcPr>
            <w:tcW w:w="100" w:type="dxa"/>
            <w:vAlign w:val="bottom"/>
            <w:tcBorders>
              <w:bottom w:val="single" w:sz="8" w:color="CCEEFF"/>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50,295</w:t>
            </w:r>
          </w:p>
        </w:tc>
      </w:tr>
      <w:tr>
        <w:trPr>
          <w:trHeight w:val="196"/>
        </w:trPr>
        <w:tc>
          <w:tcPr>
            <w:tcW w:w="81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End of period</w:t>
            </w:r>
          </w:p>
        </w:tc>
        <w:tc>
          <w:tcPr>
            <w:tcW w:w="520" w:type="dxa"/>
            <w:vAlign w:val="bottom"/>
            <w:tcBorders>
              <w:bottom w:val="single" w:sz="8" w:color="auto"/>
            </w:tcBorders>
            <w:shd w:val="clear" w:color="auto" w:fill="CCEEFF"/>
          </w:tcPr>
          <w:p>
            <w:pPr>
              <w:jc w:val="right"/>
              <w:ind w:right="368"/>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211,920</w:t>
            </w:r>
          </w:p>
        </w:tc>
        <w:tc>
          <w:tcPr>
            <w:tcW w:w="100" w:type="dxa"/>
            <w:vAlign w:val="bottom"/>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jc w:val="right"/>
              <w:ind w:right="368"/>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80,799</w:t>
            </w:r>
          </w:p>
        </w:tc>
      </w:tr>
      <w:tr>
        <w:trPr>
          <w:trHeight w:val="257"/>
        </w:trPr>
        <w:tc>
          <w:tcPr>
            <w:tcW w:w="81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960" w:type="dxa"/>
            <w:vAlign w:val="bottom"/>
          </w:tcPr>
          <w:p>
            <w:pPr>
              <w:spacing w:after="0"/>
              <w:rPr>
                <w:sz w:val="22"/>
                <w:szCs w:val="22"/>
                <w:color w:val="auto"/>
              </w:rPr>
            </w:pPr>
          </w:p>
        </w:tc>
      </w:tr>
      <w:tr>
        <w:trPr>
          <w:trHeight w:val="20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Supplemental Disclosures of Cash Flow Information</w:t>
            </w:r>
          </w:p>
        </w:tc>
        <w:tc>
          <w:tcPr>
            <w:tcW w:w="5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r>
      <w:tr>
        <w:trPr>
          <w:trHeight w:val="195"/>
        </w:trPr>
        <w:tc>
          <w:tcPr>
            <w:tcW w:w="8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Cash payments for:</w:t>
            </w:r>
          </w:p>
        </w:tc>
        <w:tc>
          <w:tcPr>
            <w:tcW w:w="5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210"/>
        </w:trPr>
        <w:tc>
          <w:tcPr>
            <w:tcW w:w="81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Interest paid to depositors</w:t>
            </w:r>
          </w:p>
        </w:tc>
        <w:tc>
          <w:tcPr>
            <w:tcW w:w="520" w:type="dxa"/>
            <w:vAlign w:val="bottom"/>
            <w:shd w:val="clear" w:color="auto" w:fill="CCEEFF"/>
          </w:tcPr>
          <w:p>
            <w:pPr>
              <w:jc w:val="right"/>
              <w:ind w:right="368"/>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41,716</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ind w:right="368"/>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14,302</w:t>
            </w:r>
          </w:p>
        </w:tc>
      </w:tr>
      <w:tr>
        <w:trPr>
          <w:trHeight w:val="195"/>
        </w:trPr>
        <w:tc>
          <w:tcPr>
            <w:tcW w:w="818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Interest paid on short-term borrowings</w:t>
            </w:r>
          </w:p>
        </w:tc>
        <w:tc>
          <w:tcPr>
            <w:tcW w:w="5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14,004</w:t>
            </w: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8,379</w:t>
            </w:r>
          </w:p>
        </w:tc>
      </w:tr>
      <w:tr>
        <w:trPr>
          <w:trHeight w:val="210"/>
        </w:trPr>
        <w:tc>
          <w:tcPr>
            <w:tcW w:w="81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Interest paid on subordinated debt and trust preferred securities</w:t>
            </w:r>
          </w:p>
        </w:tc>
        <w:tc>
          <w:tcPr>
            <w:tcW w:w="5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1,860</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5"/>
        </w:trPr>
        <w:tc>
          <w:tcPr>
            <w:tcW w:w="818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Interest paid on finance leases</w:t>
            </w:r>
          </w:p>
        </w:tc>
        <w:tc>
          <w:tcPr>
            <w:tcW w:w="5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w:t>
            </w: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w:t>
            </w:r>
          </w:p>
        </w:tc>
      </w:tr>
      <w:tr>
        <w:trPr>
          <w:trHeight w:val="210"/>
        </w:trPr>
        <w:tc>
          <w:tcPr>
            <w:tcW w:w="81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Income taxes</w:t>
            </w:r>
          </w:p>
        </w:tc>
        <w:tc>
          <w:tcPr>
            <w:tcW w:w="5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775</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275</w:t>
            </w:r>
          </w:p>
        </w:tc>
      </w:tr>
      <w:tr>
        <w:trPr>
          <w:trHeight w:val="195"/>
        </w:trPr>
        <w:tc>
          <w:tcPr>
            <w:tcW w:w="8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Change in unrealized gains on available-for-sale securities</w:t>
            </w:r>
          </w:p>
        </w:tc>
        <w:tc>
          <w:tcPr>
            <w:tcW w:w="520" w:type="dxa"/>
            <w:vAlign w:val="bottom"/>
          </w:tcPr>
          <w:p>
            <w:pPr>
              <w:spacing w:after="0"/>
              <w:rPr>
                <w:sz w:val="16"/>
                <w:szCs w:val="16"/>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15,255</w:t>
            </w:r>
          </w:p>
        </w:tc>
      </w:tr>
      <w:tr>
        <w:trPr>
          <w:trHeight w:val="21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Lease liability arising from obtaining right-of-use assets</w:t>
            </w:r>
          </w:p>
        </w:tc>
        <w:tc>
          <w:tcPr>
            <w:tcW w:w="5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10,362</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5"/>
        </w:trPr>
        <w:tc>
          <w:tcPr>
            <w:tcW w:w="8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Common stock issued for merger, net</w:t>
            </w:r>
          </w:p>
        </w:tc>
        <w:tc>
          <w:tcPr>
            <w:tcW w:w="5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387,032</w:t>
            </w: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1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Preferred stock issued for merger, net</w:t>
            </w:r>
          </w:p>
        </w:tc>
        <w:tc>
          <w:tcPr>
            <w:tcW w:w="5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10,413</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bl>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right="5560"/>
        <w:spacing w:after="0" w:line="440" w:lineRule="auto"/>
        <w:rPr>
          <w:sz w:val="20"/>
          <w:szCs w:val="20"/>
          <w:color w:val="auto"/>
        </w:rPr>
      </w:pPr>
      <w:r>
        <w:rPr>
          <w:rFonts w:ascii="Times New Roman" w:cs="Times New Roman" w:eastAsia="Times New Roman" w:hAnsi="Times New Roman"/>
          <w:sz w:val="18"/>
          <w:szCs w:val="18"/>
          <w:b w:val="1"/>
          <w:bCs w:val="1"/>
          <w:color w:val="auto"/>
        </w:rPr>
        <w:t>Note 1— Nature of Business Activities and Significant Accounting Policies Nature of operations</w:t>
      </w:r>
    </w:p>
    <w:p>
      <w:pPr>
        <w:spacing w:after="0" w:line="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Burke &amp; Herbert Financial Services Corp. (“Burke &amp; Herbert”) was organized as a Virginia corporation on September 14, 2022, to serve as the holding company for Burke &amp; Herbert Bank &amp; Trust Company (“the Bank” and, together with Burke &amp; Herbert, the “Company”). Burke &amp; Herbert commenced operations as a bank holding company on October 1, 2022, following a reorganization transaction in which it became the Bank’s holding company. This transaction was treated as an internal reorganization as all shareholders of the Bank became shareholders of Burke &amp; Herbert. In September 2023, Burke &amp; Herbert elected to be a financial holding company. As a financial holding company, Burke &amp; Herbert is subject to regulation and supervision by the Federal Reserve. Burke &amp; Herbert has no material operations and owns 100% of the Bank. The Bank is a Virginia chartered commercial bank that commenced operations in 1852. The Bank is supervised and regulated by the Federal Deposit Insurance Corporation (the “FDIC”) and the Bureau of Financial Institutions of the Virginia State Corporation Commission (the “Virginia BFI”).</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Merger with Summit Financial Group, Inc.</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Effective on May 3, 2024 (the “Closing Date”), Burke &amp; Herbert completed its previously announced merger with Summit Financial Group, Inc., a West Virginia corporation (“Summit”), pursuant to the Agreement and Plan of Reorganization and accompanying Plan of Merger dated August 24, 2023, between Burke &amp; Herbert and Summit (the “Merger Agreement”). Below is a description of the nature of the event as of the merger Closing Date.</w:t>
      </w: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Pursuant to the Merger Agreement, on the Closing Date, (i) Summit merged with and into Burke &amp; Herbert, with Burke &amp; Herbert continuing as the surviving corporation (the “Merger”), and (ii) immediately following the Merger, Summit Community Bank, Inc., a West Virginia chartered bank and a wholly-owned subsidiary of Summit (“SCB”), merged with and into the Bank, with the Bank as the surviving bank.</w:t>
      </w:r>
    </w:p>
    <w:p>
      <w:pPr>
        <w:spacing w:after="0" w:line="20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the Merger, holders of Summit common stock outstanding at the effective time of the Merger received 0.5043 shares of Burke &amp; Herbert common stock for each share of Summit common stock they owned, subject to the payment of cash in lieu of fractional shares. The total aggregate consideration payable in the Merger was approximately 7,405,772 shares of Burke &amp; Herbert Common Stock. Additionally, each share of Summit’s 6.0% Fixed Rate Non-Cumulative Perpetual Preferred Stock, Series 2021 (the “Summit Series 2021 Preferred Stock”) issued and outstanding was converted into the right to receive a share of a newly created series of preferred stock, the Burke &amp; Herbert Series 2021 Preferred Stock (the “Burke &amp; Herbert Series 2021 Preferred Stock”). Summit’s results of operations are included from the Closing Date.</w:t>
      </w:r>
    </w:p>
    <w:p>
      <w:pPr>
        <w:spacing w:after="0" w:line="21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Bank’s primary market area includes northern Virginia and West Virginia, and it has over 75 branches and other commercial loan offices across Delaware, Kentucky, Maryland, Virginia, and West Virginia. The Company’s branch locations accept business and consumer deposits from a diverse customer base. The Company’s deposit products include checking, savings, and term certificate accounts. The Company’s loan portfolio includes commercial and consumer loans, a substantial portion of which are secured by real estate.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of Presentation</w:t>
      </w:r>
    </w:p>
    <w:p>
      <w:pPr>
        <w:spacing w:after="0" w:line="17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accompanying consolidated financial statements include Burke &amp; Herbert Financial Services Corp. and its wholly owned subsidiary Burke &amp; Herbert Bank &amp; Trust Company and have been prepared in accordance with generally accepted accounting principles in the United States of America (“GAAP”) for interim financial reporting and with applicable quarterly reporting regulations of the U.S. Securities and Exchange Commission (“SEC”). The accounting and reporting policies of the Company conform to GAAP and reflect practices of the banking industry. They do not include all of the information and notes required by GAAP for complete financial statements. As such, these unaudited financial statements should be read in conjunction with the consolidated financial statements and notes thereto as of and for the year ending December 31, 2023, included in the Company’s Annual Report on Form 10-K filed with the SEC on March 22, 2024 and as amended on April 12, 2024.</w:t>
      </w:r>
    </w:p>
    <w:p>
      <w:pPr>
        <w:spacing w:after="0" w:line="13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consolidated financial statements include the accounts of the Company and the Bank (as its wholly-owned subsidiary). All significant intercompany accounts and transactions between the Company and the Bank have been eliminated. In preparing financial statements in conformity with GAAP, management is required to make estimates and assumptions that</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Nature of Business Activities and Significant Accounting Policies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affect the reported amounts of assets and liabilities as of the date of the balance sheet and reported amounts of revenues and expenses during the reporting period. Actual results could differ from those estimates.</w:t>
      </w:r>
    </w:p>
    <w:p>
      <w:pPr>
        <w:spacing w:after="0" w:line="10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the opinion of management, all adjustments, consisting only of normal recurring adjustments, which are necessary for a fair presentation of the results of operations in these financial statements, have been made. The results of operations for the three and six months ended June 30, 2024, are not necessarily indicative of the results to be expected for any other interim period or for the full year. All December 31, 2023 amounts and disclosures included in this quarterly report were derived from the Company’s audited consolidated financial statements. Certain items in the prior period have been reclassified to conform to the current presentation. These reclassifications had no effect on prior year net income or on shareholders’ equity.</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Purchased Credit Deteriorated (PCD) Loans</w:t>
      </w:r>
    </w:p>
    <w:p>
      <w:pPr>
        <w:spacing w:after="0" w:line="17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has purchased loans, some of which have experienced more than insignificant credit deterioration since origination. PCD loans are loans on nonaccrual status, are greater than 60 days past due at any time since loan origination or have a risk rating of special mention, substandard, doubtful, or loss. PCD loans are recorded at the amount paid. An allowance for credit losses is determined using the same methodology as other loans held for investment. The initial allowance for credit losses determined on a collective basis is allocated to individual loans. The sum of the loan’s purchase price and allowance for credit losses becomes its initial amortized cost basis. The difference between the initial amortized cost basis and the par value of the loan is a noncredit discount or premium, which is amortized into interest income over the life of the loan. Subsequent changes to the allowance for credit losses are recorded through credit loss expense.</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Goodwill and Other Intangible Assets</w:t>
      </w:r>
    </w:p>
    <w:p>
      <w:pPr>
        <w:spacing w:after="0" w:line="17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Goodwill arises from business combinations and is determined as the excess of the fair value of the consideration transferred, plus the fair value of any noncontrolling interests in the acquiree, over the fair value of the net assets acquired and liabilities assumed as of the acquisition date. Goodwill and intangible assets acquired in a business combination and determined to have an indefinite useful life are not amortized, but tested for impairment at least annually or more frequently if events and circumstances exist that indicate that an impairment test should be performed. The Company has selected September 30 as the date to perform the annual impairment test. Intangible assets with finite useful lives are amortized over their estimated useful lives to their estimated residual values. Amortized intangibles must be reviewed for impairment whenever events or changes in circumstances indicate that the carrying amount of the long-lived asset (group) might not be recoverable. An impairment loss related to intangible assets with finite useful lives is recognized if the carrying amount of the intangible asset is not recoverable and its carrying amount exceeds its fair value. After the impairment loss is recognized, the adjusted carrying amount of the intangible asset shall be its new accounting basis. Goodwill is the only intangible asset with an indefinite life on our balance sheet.</w:t>
      </w:r>
    </w:p>
    <w:p>
      <w:pPr>
        <w:spacing w:after="0" w:line="14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Other intangible assets consists of core deposit intangible assets arising from whole bank and branch acquisitions and is amortized using an accelerated method over their estimated useful lives of seven years.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adopted accounting standards</w:t>
      </w:r>
    </w:p>
    <w:p>
      <w:pPr>
        <w:spacing w:after="0" w:line="17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In March 2023, the Financial Accounting Standards Board (“FASB”) issued Accounting Standards Updated (“ASU”) 2023-02, </w:t>
      </w:r>
      <w:r>
        <w:rPr>
          <w:rFonts w:ascii="Times New Roman" w:cs="Times New Roman" w:eastAsia="Times New Roman" w:hAnsi="Times New Roman"/>
          <w:sz w:val="18"/>
          <w:szCs w:val="18"/>
          <w:i w:val="1"/>
          <w:iCs w:val="1"/>
          <w:color w:val="auto"/>
        </w:rPr>
        <w:t>Investments—Equity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Method and Joint Ventures (Topic 323): Accounting for Investments in Tax Credit Structures Using the Proportional Amortization Method</w:t>
      </w:r>
      <w:r>
        <w:rPr>
          <w:rFonts w:ascii="Times New Roman" w:cs="Times New Roman" w:eastAsia="Times New Roman" w:hAnsi="Times New Roman"/>
          <w:sz w:val="18"/>
          <w:szCs w:val="18"/>
          <w:color w:val="auto"/>
        </w:rPr>
        <w:t>. These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amendments allow reporting entities to elect to account for qualifying tax equity investments using the proportional amortization method, regardless of the program giving rise to the related income tax credits. The ASU was effective for us January 1, 2024, and did not have a material impact on our consolidated financial statements.</w:t>
      </w:r>
    </w:p>
    <w:p>
      <w:pPr>
        <w:spacing w:after="0" w:line="1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In June 2022, the FASB issued ASU 2022-03, </w:t>
      </w:r>
      <w:r>
        <w:rPr>
          <w:rFonts w:ascii="Times New Roman" w:cs="Times New Roman" w:eastAsia="Times New Roman" w:hAnsi="Times New Roman"/>
          <w:sz w:val="18"/>
          <w:szCs w:val="18"/>
          <w:i w:val="1"/>
          <w:iCs w:val="1"/>
          <w:color w:val="auto"/>
        </w:rPr>
        <w:t>Fair Value Measurement (Topic 820): Fair Value Measurement of Equity Securities Subject to Contractual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Sale Restrictions</w:t>
      </w:r>
      <w:r>
        <w:rPr>
          <w:rFonts w:ascii="Times New Roman" w:cs="Times New Roman" w:eastAsia="Times New Roman" w:hAnsi="Times New Roman"/>
          <w:sz w:val="18"/>
          <w:szCs w:val="18"/>
          <w:color w:val="auto"/>
        </w:rPr>
        <w:t>. ASU 2022-03 clarifies that a contractual restriction on the sale of an equity security is not considered part of the unit of account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equity security and, therefore, is not considered in measuring fair value. The ASU was effective for us January 1, 2024, and did not have a material impact on our consolidated financial statements.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Pending adoption of new accounting standards</w:t>
      </w:r>
    </w:p>
    <w:p>
      <w:pPr>
        <w:spacing w:after="0" w:line="173"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color w:val="auto"/>
        </w:rPr>
        <w:t xml:space="preserve">In December 2023, the FASB issued ASU 2023-09, </w:t>
      </w:r>
      <w:r>
        <w:rPr>
          <w:rFonts w:ascii="Times New Roman" w:cs="Times New Roman" w:eastAsia="Times New Roman" w:hAnsi="Times New Roman"/>
          <w:sz w:val="18"/>
          <w:szCs w:val="18"/>
          <w:i w:val="1"/>
          <w:iCs w:val="1"/>
          <w:color w:val="auto"/>
        </w:rPr>
        <w:t>Income Taxes (Topic 740)</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Improvements to Income Tax Disclosures</w:t>
      </w:r>
      <w:r>
        <w:rPr>
          <w:rFonts w:ascii="Times New Roman" w:cs="Times New Roman" w:eastAsia="Times New Roman" w:hAnsi="Times New Roman"/>
          <w:sz w:val="18"/>
          <w:szCs w:val="18"/>
          <w:color w:val="auto"/>
        </w:rPr>
        <w:t>. The amendments in this ASU require an entity to disclose specific categories in the rate reconciliation and provide</w:t>
      </w: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Nature of Business Activities and Significant Accounting Policies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additional information for reconciling items that meet a quantitative threshold, which is greater than five percent of the amount computed by multiplying pretax income by the entity’s applicable statutory rate, on an annual basis. Additionally, the amendments in this ASU require an entity to disclose the amount of income taxes paid (net of refunds received) disaggregated by federal, state, and foreign taxes and the amount of income taxes paid (net of refunds received) disaggregated by individual jurisdictions that are equal to or greater than five percent of total income taxes paid (net of refunds received). Lastly, the amendments in this ASU require an entity to disclose income (or loss) from continuing operations before income tax expense (or benefit) disaggregated between domestic and foreign and income tax expense (or benefit) from continuing operations disaggregated by federal, state, and foreign. This ASU is effective for annual periods beginning after December 15, 2024. Early adoption is permitted. The amendments should be applied on a prospective basis; however, retrospective application is permitted. We do not expect the adoption of ASU 2023-09 to have a material impact on our consolidated financial statements.</w:t>
      </w:r>
    </w:p>
    <w:p>
      <w:pPr>
        <w:spacing w:after="0" w:line="13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In October 2023, the FASB issued ASU 2023-06, </w:t>
      </w:r>
      <w:r>
        <w:rPr>
          <w:rFonts w:ascii="Times New Roman" w:cs="Times New Roman" w:eastAsia="Times New Roman" w:hAnsi="Times New Roman"/>
          <w:sz w:val="18"/>
          <w:szCs w:val="18"/>
          <w:i w:val="1"/>
          <w:iCs w:val="1"/>
          <w:color w:val="auto"/>
        </w:rPr>
        <w:t>Disclosure Improvements: Codification Amendments in Response to the SEC’s Disclosure Update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Simplification Initiative</w:t>
      </w:r>
      <w:r>
        <w:rPr>
          <w:rFonts w:ascii="Times New Roman" w:cs="Times New Roman" w:eastAsia="Times New Roman" w:hAnsi="Times New Roman"/>
          <w:sz w:val="18"/>
          <w:szCs w:val="18"/>
          <w:color w:val="auto"/>
        </w:rPr>
        <w:t>. This ASU incorporates certain SEC disclosure requirements into the FASB Accounting Standards Codification. The amendments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the ASU are expected to clarify or improve disclosure and presentation requirements of a variety of Codification Topics, allow users to more easily compare entities subject to the SEC’s existing disclosures with those entities that were not previously subject to the requirements, and align the requirements in the Codification with the SEC’s regulations. For entities subject to the SEC’s existing disclosure requirements and for entities required to file or furnish financial statements with or to the SEC in preparation for the sale of or for purposes of issuing securities that are not subject to contractual restrictions on transfer, the effective date for each amendment will be the date on which the SEC removes that related disclosure from its rules. For all other entities, the amendments will be effective two years later. However, if by June 30, 2027, the SEC has not removed the related disclosure from its regulations, the amendments will be removed from the Codification and not become effective for any entity. We do not expect the adoption of ASU 2023-06 to have a material impact on our consolidated financial statements.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Securities</w:t>
      </w:r>
    </w:p>
    <w:p>
      <w:pPr>
        <w:spacing w:after="0" w:line="17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carrying amount of available-for-sale (“AFS”) securities and their approximate fair values at June 30, 2024, and December 31, 2023, are summarized as follows (in thousands):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0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000" w:type="dxa"/>
            <w:vAlign w:val="bottom"/>
            <w:gridSpan w:val="5"/>
          </w:tcPr>
          <w:p>
            <w:pPr>
              <w:ind w:left="960"/>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2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0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50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8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160" w:type="dxa"/>
            <w:vAlign w:val="bottom"/>
          </w:tcPr>
          <w:p>
            <w:pPr>
              <w:spacing w:after="0"/>
              <w:rPr>
                <w:sz w:val="11"/>
                <w:szCs w:val="11"/>
                <w:color w:val="auto"/>
              </w:rPr>
            </w:pPr>
          </w:p>
        </w:tc>
        <w:tc>
          <w:tcPr>
            <w:tcW w:w="1420" w:type="dxa"/>
            <w:vAlign w:val="bottom"/>
            <w:gridSpan w:val="2"/>
          </w:tcPr>
          <w:p>
            <w:pPr>
              <w:jc w:val="center"/>
              <w:ind w:right="240"/>
              <w:spacing w:after="0" w:line="131" w:lineRule="exact"/>
              <w:rPr>
                <w:sz w:val="20"/>
                <w:szCs w:val="20"/>
                <w:color w:val="auto"/>
              </w:rPr>
            </w:pPr>
            <w:r>
              <w:rPr>
                <w:rFonts w:ascii="Times New Roman" w:cs="Times New Roman" w:eastAsia="Times New Roman" w:hAnsi="Times New Roman"/>
                <w:sz w:val="14"/>
                <w:szCs w:val="14"/>
                <w:b w:val="1"/>
                <w:bCs w:val="1"/>
                <w:color w:val="auto"/>
              </w:rPr>
              <w:t>Gross Unrealized</w:t>
            </w:r>
          </w:p>
        </w:tc>
        <w:tc>
          <w:tcPr>
            <w:tcW w:w="160" w:type="dxa"/>
            <w:vAlign w:val="bottom"/>
          </w:tcPr>
          <w:p>
            <w:pPr>
              <w:spacing w:after="0"/>
              <w:rPr>
                <w:sz w:val="11"/>
                <w:szCs w:val="11"/>
                <w:color w:val="auto"/>
              </w:rPr>
            </w:pPr>
          </w:p>
        </w:tc>
        <w:tc>
          <w:tcPr>
            <w:tcW w:w="1420" w:type="dxa"/>
            <w:vAlign w:val="bottom"/>
            <w:gridSpan w:val="2"/>
          </w:tcPr>
          <w:p>
            <w:pPr>
              <w:jc w:val="center"/>
              <w:ind w:right="280"/>
              <w:spacing w:after="0" w:line="131" w:lineRule="exact"/>
              <w:rPr>
                <w:sz w:val="20"/>
                <w:szCs w:val="20"/>
                <w:color w:val="auto"/>
              </w:rPr>
            </w:pPr>
            <w:r>
              <w:rPr>
                <w:rFonts w:ascii="Times New Roman" w:cs="Times New Roman" w:eastAsia="Times New Roman" w:hAnsi="Times New Roman"/>
                <w:sz w:val="14"/>
                <w:szCs w:val="14"/>
                <w:b w:val="1"/>
                <w:bCs w:val="1"/>
                <w:color w:val="auto"/>
              </w:rPr>
              <w:t>Gross Unrealized</w:t>
            </w:r>
          </w:p>
        </w:tc>
        <w:tc>
          <w:tcPr>
            <w:tcW w:w="260" w:type="dxa"/>
            <w:vAlign w:val="bottom"/>
          </w:tcPr>
          <w:p>
            <w:pPr>
              <w:spacing w:after="0"/>
              <w:rPr>
                <w:sz w:val="11"/>
                <w:szCs w:val="11"/>
                <w:color w:val="auto"/>
              </w:rPr>
            </w:pPr>
          </w:p>
        </w:tc>
        <w:tc>
          <w:tcPr>
            <w:tcW w:w="1220" w:type="dxa"/>
            <w:vAlign w:val="bottom"/>
            <w:vMerge w:val="restart"/>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195"/>
        </w:trPr>
        <w:tc>
          <w:tcPr>
            <w:tcW w:w="50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8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4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Gains</w:t>
            </w:r>
          </w:p>
        </w:tc>
        <w:tc>
          <w:tcPr>
            <w:tcW w:w="160" w:type="dxa"/>
            <w:vAlign w:val="bottom"/>
          </w:tcPr>
          <w:p>
            <w:pPr>
              <w:spacing w:after="0"/>
              <w:rPr>
                <w:sz w:val="16"/>
                <w:szCs w:val="16"/>
                <w:color w:val="auto"/>
              </w:rPr>
            </w:pPr>
          </w:p>
        </w:tc>
        <w:tc>
          <w:tcPr>
            <w:tcW w:w="14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260" w:type="dxa"/>
            <w:vAlign w:val="bottom"/>
          </w:tcPr>
          <w:p>
            <w:pPr>
              <w:spacing w:after="0"/>
              <w:rPr>
                <w:sz w:val="16"/>
                <w:szCs w:val="16"/>
                <w:color w:val="auto"/>
              </w:rPr>
            </w:pPr>
          </w:p>
        </w:tc>
        <w:tc>
          <w:tcPr>
            <w:tcW w:w="12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50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Securities Available-for-Sale</w:t>
            </w:r>
          </w:p>
        </w:tc>
        <w:tc>
          <w:tcPr>
            <w:tcW w:w="20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 Treasuries and government agencies</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166,380</w:t>
            </w:r>
          </w:p>
        </w:tc>
        <w:tc>
          <w:tcPr>
            <w:tcW w:w="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18,950</w:t>
            </w:r>
          </w:p>
        </w:tc>
        <w:tc>
          <w:tcPr>
            <w:tcW w:w="10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147,430</w:t>
            </w:r>
          </w:p>
        </w:tc>
        <w:tc>
          <w:tcPr>
            <w:tcW w:w="0" w:type="dxa"/>
            <w:vAlign w:val="bottom"/>
          </w:tcPr>
          <w:p>
            <w:pPr>
              <w:spacing w:after="0"/>
              <w:rPr>
                <w:sz w:val="1"/>
                <w:szCs w:val="1"/>
                <w:color w:val="auto"/>
              </w:rPr>
            </w:pPr>
          </w:p>
        </w:tc>
      </w:tr>
      <w:tr>
        <w:trPr>
          <w:trHeight w:val="230"/>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Obligations of states and municipalities</w:t>
            </w: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714,449</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77,932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637,754</w:t>
            </w:r>
          </w:p>
        </w:tc>
        <w:tc>
          <w:tcPr>
            <w:tcW w:w="0" w:type="dxa"/>
            <w:vAlign w:val="bottom"/>
          </w:tcPr>
          <w:p>
            <w:pPr>
              <w:spacing w:after="0"/>
              <w:rPr>
                <w:sz w:val="1"/>
                <w:szCs w:val="1"/>
                <w:color w:val="auto"/>
              </w:rPr>
            </w:pPr>
          </w:p>
        </w:tc>
      </w:tr>
      <w:tr>
        <w:trPr>
          <w:trHeight w:val="230"/>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Residential mortgage backed - agency</w:t>
            </w:r>
          </w:p>
        </w:tc>
        <w:tc>
          <w:tcPr>
            <w:tcW w:w="2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58,104</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4,166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54,168</w:t>
            </w:r>
          </w:p>
        </w:tc>
        <w:tc>
          <w:tcPr>
            <w:tcW w:w="0" w:type="dxa"/>
            <w:vAlign w:val="bottom"/>
          </w:tcPr>
          <w:p>
            <w:pPr>
              <w:spacing w:after="0"/>
              <w:rPr>
                <w:sz w:val="1"/>
                <w:szCs w:val="1"/>
                <w:color w:val="auto"/>
              </w:rPr>
            </w:pPr>
          </w:p>
        </w:tc>
      </w:tr>
      <w:tr>
        <w:trPr>
          <w:trHeight w:val="230"/>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Residential mortgage backed - non-agency</w:t>
            </w: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282,667</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15,373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267,313</w:t>
            </w:r>
          </w:p>
        </w:tc>
        <w:tc>
          <w:tcPr>
            <w:tcW w:w="0" w:type="dxa"/>
            <w:vAlign w:val="bottom"/>
          </w:tcPr>
          <w:p>
            <w:pPr>
              <w:spacing w:after="0"/>
              <w:rPr>
                <w:sz w:val="1"/>
                <w:szCs w:val="1"/>
                <w:color w:val="auto"/>
              </w:rPr>
            </w:pPr>
          </w:p>
        </w:tc>
      </w:tr>
      <w:tr>
        <w:trPr>
          <w:trHeight w:val="229"/>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Commercial mortgage backed - agency</w:t>
            </w:r>
          </w:p>
        </w:tc>
        <w:tc>
          <w:tcPr>
            <w:tcW w:w="2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35,968</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35,042</w:t>
            </w:r>
          </w:p>
        </w:tc>
        <w:tc>
          <w:tcPr>
            <w:tcW w:w="0" w:type="dxa"/>
            <w:vAlign w:val="bottom"/>
          </w:tcPr>
          <w:p>
            <w:pPr>
              <w:spacing w:after="0"/>
              <w:rPr>
                <w:sz w:val="1"/>
                <w:szCs w:val="1"/>
                <w:color w:val="auto"/>
              </w:rPr>
            </w:pPr>
          </w:p>
        </w:tc>
      </w:tr>
      <w:tr>
        <w:trPr>
          <w:trHeight w:val="230"/>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Commercial mortgage backed - non-agency</w:t>
            </w: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165,675</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6,312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159,363</w:t>
            </w:r>
          </w:p>
        </w:tc>
        <w:tc>
          <w:tcPr>
            <w:tcW w:w="0" w:type="dxa"/>
            <w:vAlign w:val="bottom"/>
          </w:tcPr>
          <w:p>
            <w:pPr>
              <w:spacing w:after="0"/>
              <w:rPr>
                <w:sz w:val="1"/>
                <w:szCs w:val="1"/>
                <w:color w:val="auto"/>
              </w:rPr>
            </w:pPr>
          </w:p>
        </w:tc>
      </w:tr>
      <w:tr>
        <w:trPr>
          <w:trHeight w:val="230"/>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Asset-backed</w:t>
            </w:r>
          </w:p>
        </w:tc>
        <w:tc>
          <w:tcPr>
            <w:tcW w:w="2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77,568</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76,952</w:t>
            </w:r>
          </w:p>
        </w:tc>
        <w:tc>
          <w:tcPr>
            <w:tcW w:w="0" w:type="dxa"/>
            <w:vAlign w:val="bottom"/>
          </w:tcPr>
          <w:p>
            <w:pPr>
              <w:spacing w:after="0"/>
              <w:rPr>
                <w:sz w:val="1"/>
                <w:szCs w:val="1"/>
                <w:color w:val="auto"/>
              </w:rPr>
            </w:pPr>
          </w:p>
        </w:tc>
      </w:tr>
      <w:tr>
        <w:trPr>
          <w:trHeight w:val="230"/>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0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38,300</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1,533</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36,848</w:t>
            </w:r>
          </w:p>
        </w:tc>
        <w:tc>
          <w:tcPr>
            <w:tcW w:w="0" w:type="dxa"/>
            <w:vAlign w:val="bottom"/>
          </w:tcPr>
          <w:p>
            <w:pPr>
              <w:spacing w:after="0"/>
              <w:rPr>
                <w:sz w:val="1"/>
                <w:szCs w:val="1"/>
                <w:color w:val="auto"/>
              </w:rPr>
            </w:pPr>
          </w:p>
        </w:tc>
      </w:tr>
      <w:tr>
        <w:trPr>
          <w:trHeight w:val="223"/>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1,539,111</w:t>
            </w:r>
          </w:p>
        </w:tc>
        <w:tc>
          <w:tcPr>
            <w:tcW w:w="8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1,774</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126,015</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1,414,870</w:t>
            </w:r>
          </w:p>
        </w:tc>
        <w:tc>
          <w:tcPr>
            <w:tcW w:w="0" w:type="dxa"/>
            <w:vAlign w:val="bottom"/>
          </w:tcPr>
          <w:p>
            <w:pPr>
              <w:spacing w:after="0"/>
              <w:rPr>
                <w:sz w:val="1"/>
                <w:szCs w:val="1"/>
                <w:color w:val="auto"/>
              </w:rPr>
            </w:pPr>
          </w:p>
        </w:tc>
      </w:tr>
      <w:tr>
        <w:trPr>
          <w:trHeight w:val="898"/>
        </w:trPr>
        <w:tc>
          <w:tcPr>
            <w:tcW w:w="5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Pr>
          <w:p>
            <w:pPr>
              <w:jc w:val="right"/>
              <w:ind w:right="712"/>
              <w:spacing w:after="0"/>
              <w:rPr>
                <w:sz w:val="20"/>
                <w:szCs w:val="20"/>
                <w:color w:val="auto"/>
              </w:rPr>
            </w:pPr>
            <w:r>
              <w:rPr>
                <w:rFonts w:ascii="Times New Roman" w:cs="Times New Roman" w:eastAsia="Times New Roman" w:hAnsi="Times New Roman"/>
                <w:sz w:val="18"/>
                <w:szCs w:val="18"/>
                <w:color w:val="auto"/>
              </w:rPr>
              <w:t>11</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50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3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3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3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Securities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0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000" w:type="dxa"/>
            <w:vAlign w:val="bottom"/>
            <w:gridSpan w:val="5"/>
          </w:tcPr>
          <w:p>
            <w:pPr>
              <w:ind w:left="80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2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0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50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8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160" w:type="dxa"/>
            <w:vAlign w:val="bottom"/>
          </w:tcPr>
          <w:p>
            <w:pPr>
              <w:spacing w:after="0"/>
              <w:rPr>
                <w:sz w:val="11"/>
                <w:szCs w:val="11"/>
                <w:color w:val="auto"/>
              </w:rPr>
            </w:pPr>
          </w:p>
        </w:tc>
        <w:tc>
          <w:tcPr>
            <w:tcW w:w="1420" w:type="dxa"/>
            <w:vAlign w:val="bottom"/>
            <w:gridSpan w:val="2"/>
          </w:tcPr>
          <w:p>
            <w:pPr>
              <w:ind w:left="60"/>
              <w:spacing w:after="0" w:line="131" w:lineRule="exact"/>
              <w:rPr>
                <w:sz w:val="20"/>
                <w:szCs w:val="20"/>
                <w:color w:val="auto"/>
              </w:rPr>
            </w:pPr>
            <w:r>
              <w:rPr>
                <w:rFonts w:ascii="Times New Roman" w:cs="Times New Roman" w:eastAsia="Times New Roman" w:hAnsi="Times New Roman"/>
                <w:sz w:val="14"/>
                <w:szCs w:val="14"/>
                <w:b w:val="1"/>
                <w:bCs w:val="1"/>
                <w:color w:val="auto"/>
              </w:rPr>
              <w:t>Gross Unrealized</w:t>
            </w:r>
          </w:p>
        </w:tc>
        <w:tc>
          <w:tcPr>
            <w:tcW w:w="160" w:type="dxa"/>
            <w:vAlign w:val="bottom"/>
          </w:tcPr>
          <w:p>
            <w:pPr>
              <w:spacing w:after="0"/>
              <w:rPr>
                <w:sz w:val="11"/>
                <w:szCs w:val="11"/>
                <w:color w:val="auto"/>
              </w:rPr>
            </w:pPr>
          </w:p>
        </w:tc>
        <w:tc>
          <w:tcPr>
            <w:tcW w:w="1420" w:type="dxa"/>
            <w:vAlign w:val="bottom"/>
            <w:gridSpan w:val="2"/>
          </w:tcPr>
          <w:p>
            <w:pPr>
              <w:jc w:val="center"/>
              <w:ind w:right="280"/>
              <w:spacing w:after="0" w:line="131" w:lineRule="exact"/>
              <w:rPr>
                <w:sz w:val="20"/>
                <w:szCs w:val="20"/>
                <w:color w:val="auto"/>
              </w:rPr>
            </w:pPr>
            <w:r>
              <w:rPr>
                <w:rFonts w:ascii="Times New Roman" w:cs="Times New Roman" w:eastAsia="Times New Roman" w:hAnsi="Times New Roman"/>
                <w:sz w:val="14"/>
                <w:szCs w:val="14"/>
                <w:b w:val="1"/>
                <w:bCs w:val="1"/>
                <w:color w:val="auto"/>
              </w:rPr>
              <w:t>Gross Unrealized</w:t>
            </w:r>
          </w:p>
        </w:tc>
        <w:tc>
          <w:tcPr>
            <w:tcW w:w="260" w:type="dxa"/>
            <w:vAlign w:val="bottom"/>
          </w:tcPr>
          <w:p>
            <w:pPr>
              <w:spacing w:after="0"/>
              <w:rPr>
                <w:sz w:val="11"/>
                <w:szCs w:val="11"/>
                <w:color w:val="auto"/>
              </w:rPr>
            </w:pPr>
          </w:p>
        </w:tc>
        <w:tc>
          <w:tcPr>
            <w:tcW w:w="1220" w:type="dxa"/>
            <w:vAlign w:val="bottom"/>
            <w:vMerge w:val="restart"/>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195"/>
        </w:trPr>
        <w:tc>
          <w:tcPr>
            <w:tcW w:w="50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8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420" w:type="dxa"/>
            <w:vAlign w:val="bottom"/>
            <w:gridSpan w:val="2"/>
          </w:tcPr>
          <w:p>
            <w:pPr>
              <w:ind w:left="400"/>
              <w:spacing w:after="0"/>
              <w:rPr>
                <w:sz w:val="20"/>
                <w:szCs w:val="20"/>
                <w:color w:val="auto"/>
              </w:rPr>
            </w:pPr>
            <w:r>
              <w:rPr>
                <w:rFonts w:ascii="Times New Roman" w:cs="Times New Roman" w:eastAsia="Times New Roman" w:hAnsi="Times New Roman"/>
                <w:sz w:val="14"/>
                <w:szCs w:val="14"/>
                <w:b w:val="1"/>
                <w:bCs w:val="1"/>
                <w:color w:val="auto"/>
              </w:rPr>
              <w:t>Gains</w:t>
            </w:r>
          </w:p>
        </w:tc>
        <w:tc>
          <w:tcPr>
            <w:tcW w:w="160" w:type="dxa"/>
            <w:vAlign w:val="bottom"/>
          </w:tcPr>
          <w:p>
            <w:pPr>
              <w:spacing w:after="0"/>
              <w:rPr>
                <w:sz w:val="16"/>
                <w:szCs w:val="16"/>
                <w:color w:val="auto"/>
              </w:rPr>
            </w:pPr>
          </w:p>
        </w:tc>
        <w:tc>
          <w:tcPr>
            <w:tcW w:w="14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260" w:type="dxa"/>
            <w:vAlign w:val="bottom"/>
          </w:tcPr>
          <w:p>
            <w:pPr>
              <w:spacing w:after="0"/>
              <w:rPr>
                <w:sz w:val="16"/>
                <w:szCs w:val="16"/>
                <w:color w:val="auto"/>
              </w:rPr>
            </w:pPr>
          </w:p>
        </w:tc>
        <w:tc>
          <w:tcPr>
            <w:tcW w:w="12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50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Securities Available-for-Sale</w:t>
            </w:r>
          </w:p>
        </w:tc>
        <w:tc>
          <w:tcPr>
            <w:tcW w:w="20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 Treasuries and government agencies</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197,026</w:t>
            </w:r>
          </w:p>
        </w:tc>
        <w:tc>
          <w:tcPr>
            <w:tcW w:w="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17,955</w:t>
            </w:r>
          </w:p>
        </w:tc>
        <w:tc>
          <w:tcPr>
            <w:tcW w:w="10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179,071</w:t>
            </w:r>
          </w:p>
        </w:tc>
        <w:tc>
          <w:tcPr>
            <w:tcW w:w="0" w:type="dxa"/>
            <w:vAlign w:val="bottom"/>
          </w:tcPr>
          <w:p>
            <w:pPr>
              <w:spacing w:after="0"/>
              <w:rPr>
                <w:sz w:val="1"/>
                <w:szCs w:val="1"/>
                <w:color w:val="auto"/>
              </w:rPr>
            </w:pPr>
          </w:p>
        </w:tc>
      </w:tr>
      <w:tr>
        <w:trPr>
          <w:trHeight w:val="230"/>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Obligations of states and municipalities</w:t>
            </w: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535,229</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72,047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463,203</w:t>
            </w:r>
          </w:p>
        </w:tc>
        <w:tc>
          <w:tcPr>
            <w:tcW w:w="0" w:type="dxa"/>
            <w:vAlign w:val="bottom"/>
          </w:tcPr>
          <w:p>
            <w:pPr>
              <w:spacing w:after="0"/>
              <w:rPr>
                <w:sz w:val="1"/>
                <w:szCs w:val="1"/>
                <w:color w:val="auto"/>
              </w:rPr>
            </w:pPr>
          </w:p>
        </w:tc>
      </w:tr>
      <w:tr>
        <w:trPr>
          <w:trHeight w:val="229"/>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Residential mortgage backed - agency</w:t>
            </w:r>
          </w:p>
        </w:tc>
        <w:tc>
          <w:tcPr>
            <w:tcW w:w="2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47,074</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gridSpan w:val="2"/>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4,836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42,238</w:t>
            </w:r>
          </w:p>
        </w:tc>
        <w:tc>
          <w:tcPr>
            <w:tcW w:w="0" w:type="dxa"/>
            <w:vAlign w:val="bottom"/>
          </w:tcPr>
          <w:p>
            <w:pPr>
              <w:spacing w:after="0"/>
              <w:rPr>
                <w:sz w:val="1"/>
                <w:szCs w:val="1"/>
                <w:color w:val="auto"/>
              </w:rPr>
            </w:pPr>
          </w:p>
        </w:tc>
      </w:tr>
      <w:tr>
        <w:trPr>
          <w:trHeight w:val="229"/>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Residential mortgage backed - non-agency</w:t>
            </w: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284,826</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18,812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266,031</w:t>
            </w:r>
          </w:p>
        </w:tc>
        <w:tc>
          <w:tcPr>
            <w:tcW w:w="0" w:type="dxa"/>
            <w:vAlign w:val="bottom"/>
          </w:tcPr>
          <w:p>
            <w:pPr>
              <w:spacing w:after="0"/>
              <w:rPr>
                <w:sz w:val="1"/>
                <w:szCs w:val="1"/>
                <w:color w:val="auto"/>
              </w:rPr>
            </w:pPr>
          </w:p>
        </w:tc>
      </w:tr>
      <w:tr>
        <w:trPr>
          <w:trHeight w:val="230"/>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Commercial mortgage backed - agency</w:t>
            </w:r>
          </w:p>
        </w:tc>
        <w:tc>
          <w:tcPr>
            <w:tcW w:w="2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36,151</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ind w:left="1060"/>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34,885</w:t>
            </w:r>
          </w:p>
        </w:tc>
        <w:tc>
          <w:tcPr>
            <w:tcW w:w="0" w:type="dxa"/>
            <w:vAlign w:val="bottom"/>
          </w:tcPr>
          <w:p>
            <w:pPr>
              <w:spacing w:after="0"/>
              <w:rPr>
                <w:sz w:val="1"/>
                <w:szCs w:val="1"/>
                <w:color w:val="auto"/>
              </w:rPr>
            </w:pPr>
          </w:p>
        </w:tc>
      </w:tr>
      <w:tr>
        <w:trPr>
          <w:trHeight w:val="229"/>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Commercial mortgage backed - non-agency</w:t>
            </w: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183,454</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6,393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177,061</w:t>
            </w:r>
          </w:p>
        </w:tc>
        <w:tc>
          <w:tcPr>
            <w:tcW w:w="0" w:type="dxa"/>
            <w:vAlign w:val="bottom"/>
          </w:tcPr>
          <w:p>
            <w:pPr>
              <w:spacing w:after="0"/>
              <w:rPr>
                <w:sz w:val="1"/>
                <w:szCs w:val="1"/>
                <w:color w:val="auto"/>
              </w:rPr>
            </w:pPr>
          </w:p>
        </w:tc>
      </w:tr>
      <w:tr>
        <w:trPr>
          <w:trHeight w:val="230"/>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Asset-backed</w:t>
            </w:r>
          </w:p>
        </w:tc>
        <w:tc>
          <w:tcPr>
            <w:tcW w:w="2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79,315</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ind w:left="1060"/>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77,936</w:t>
            </w:r>
          </w:p>
        </w:tc>
        <w:tc>
          <w:tcPr>
            <w:tcW w:w="0" w:type="dxa"/>
            <w:vAlign w:val="bottom"/>
          </w:tcPr>
          <w:p>
            <w:pPr>
              <w:spacing w:after="0"/>
              <w:rPr>
                <w:sz w:val="1"/>
                <w:szCs w:val="1"/>
                <w:color w:val="auto"/>
              </w:rPr>
            </w:pPr>
          </w:p>
        </w:tc>
      </w:tr>
      <w:tr>
        <w:trPr>
          <w:trHeight w:val="229"/>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9,500</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8,014</w:t>
            </w:r>
          </w:p>
        </w:tc>
        <w:tc>
          <w:tcPr>
            <w:tcW w:w="0" w:type="dxa"/>
            <w:vAlign w:val="bottom"/>
          </w:tcPr>
          <w:p>
            <w:pPr>
              <w:spacing w:after="0"/>
              <w:rPr>
                <w:sz w:val="1"/>
                <w:szCs w:val="1"/>
                <w:color w:val="auto"/>
              </w:rPr>
            </w:pPr>
          </w:p>
        </w:tc>
      </w:tr>
      <w:tr>
        <w:trPr>
          <w:trHeight w:val="223"/>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1,372,575</w:t>
            </w:r>
          </w:p>
        </w:tc>
        <w:tc>
          <w:tcPr>
            <w:tcW w:w="8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bottom w:val="single" w:sz="8" w:color="auto"/>
            </w:tcBorders>
          </w:tcPr>
          <w:p>
            <w:pPr>
              <w:ind w:left="1060"/>
              <w:spacing w:after="0"/>
              <w:rPr>
                <w:sz w:val="20"/>
                <w:szCs w:val="20"/>
                <w:color w:val="auto"/>
              </w:rPr>
            </w:pPr>
            <w:r>
              <w:rPr>
                <w:rFonts w:ascii="Times New Roman" w:cs="Times New Roman" w:eastAsia="Times New Roman" w:hAnsi="Times New Roman"/>
                <w:sz w:val="18"/>
                <w:szCs w:val="18"/>
                <w:color w:val="auto"/>
              </w:rPr>
              <w:t>89</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124,225</w:t>
            </w:r>
          </w:p>
        </w:tc>
        <w:tc>
          <w:tcPr>
            <w:tcW w:w="10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1,248,439</w:t>
            </w:r>
          </w:p>
        </w:tc>
        <w:tc>
          <w:tcPr>
            <w:tcW w:w="0" w:type="dxa"/>
            <w:vAlign w:val="bottom"/>
          </w:tcPr>
          <w:p>
            <w:pPr>
              <w:spacing w:after="0"/>
              <w:rPr>
                <w:sz w:val="1"/>
                <w:szCs w:val="1"/>
                <w:color w:val="auto"/>
              </w:rPr>
            </w:pPr>
          </w:p>
        </w:tc>
      </w:tr>
    </w:tbl>
    <w:p>
      <w:pPr>
        <w:spacing w:after="0" w:line="23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At June 30, 2024, and December 31, 2023, AFS securities with amortized costs of $1.1 billion and $826.5 million, respectively, and with estimated fair values of $953.0 million and $742.5 million, respectively, were pledged to serve as collateral for secured borrowings, derivative exposures, or to secure public deposits as required or permitted by law.</w:t>
      </w:r>
    </w:p>
    <w:p>
      <w:pPr>
        <w:spacing w:after="0" w:line="12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proceeds from sales, calls, and maturities of debt securities available-for-sale, including principal payments received, and the related gross gains and losses realized, for the six months ended June 30, 2024, and June 30, 2023, were as follows (in thousands):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9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Proceeds from</w:t>
            </w:r>
          </w:p>
        </w:tc>
        <w:tc>
          <w:tcPr>
            <w:tcW w:w="14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140" w:type="dxa"/>
            <w:vAlign w:val="bottom"/>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Gross realized</w:t>
            </w: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960" w:type="dxa"/>
            <w:vAlign w:val="bottom"/>
            <w:vMerge w:val="restart"/>
          </w:tcPr>
          <w:p>
            <w:pPr>
              <w:jc w:val="right"/>
              <w:ind w:right="1228"/>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380" w:type="dxa"/>
            <w:vAlign w:val="bottom"/>
          </w:tcPr>
          <w:p>
            <w:pPr>
              <w:spacing w:after="0"/>
              <w:rPr>
                <w:sz w:val="2"/>
                <w:szCs w:val="2"/>
                <w:color w:val="auto"/>
              </w:rPr>
            </w:pPr>
          </w:p>
        </w:tc>
        <w:tc>
          <w:tcPr>
            <w:tcW w:w="130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54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520" w:type="dxa"/>
            <w:vAlign w:val="bottom"/>
            <w:gridSpan w:val="2"/>
          </w:tcPr>
          <w:p>
            <w:pPr>
              <w:spacing w:after="0"/>
              <w:rPr>
                <w:sz w:val="2"/>
                <w:szCs w:val="2"/>
                <w:color w:val="auto"/>
              </w:rPr>
            </w:pPr>
          </w:p>
        </w:tc>
        <w:tc>
          <w:tcPr>
            <w:tcW w:w="10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960" w:type="dxa"/>
            <w:vAlign w:val="bottom"/>
            <w:vMerge w:val="continue"/>
          </w:tcPr>
          <w:p>
            <w:pPr>
              <w:spacing w:after="0"/>
              <w:rPr>
                <w:sz w:val="16"/>
                <w:szCs w:val="16"/>
                <w:color w:val="auto"/>
              </w:rPr>
            </w:pPr>
          </w:p>
        </w:tc>
        <w:tc>
          <w:tcPr>
            <w:tcW w:w="380" w:type="dxa"/>
            <w:vAlign w:val="bottom"/>
            <w:tcBorders>
              <w:top w:val="single" w:sz="8" w:color="auto"/>
            </w:tcBorders>
          </w:tcPr>
          <w:p>
            <w:pPr>
              <w:spacing w:after="0"/>
              <w:rPr>
                <w:sz w:val="16"/>
                <w:szCs w:val="16"/>
                <w:color w:val="auto"/>
              </w:rPr>
            </w:pPr>
          </w:p>
        </w:tc>
        <w:tc>
          <w:tcPr>
            <w:tcW w:w="1300" w:type="dxa"/>
            <w:vAlign w:val="bottom"/>
            <w:tcBorders>
              <w:top w:val="single" w:sz="8" w:color="auto"/>
            </w:tcBorders>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Sales</w:t>
            </w:r>
          </w:p>
        </w:tc>
        <w:tc>
          <w:tcPr>
            <w:tcW w:w="140" w:type="dxa"/>
            <w:vAlign w:val="bottom"/>
            <w:tcBorders>
              <w:top w:val="single" w:sz="8" w:color="auto"/>
            </w:tcBorders>
          </w:tcPr>
          <w:p>
            <w:pPr>
              <w:spacing w:after="0"/>
              <w:rPr>
                <w:sz w:val="16"/>
                <w:szCs w:val="16"/>
                <w:color w:val="auto"/>
              </w:rPr>
            </w:pPr>
          </w:p>
        </w:tc>
        <w:tc>
          <w:tcPr>
            <w:tcW w:w="1540" w:type="dxa"/>
            <w:vAlign w:val="bottom"/>
            <w:tcBorders>
              <w:top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Calls and maturities</w:t>
            </w:r>
          </w:p>
        </w:tc>
        <w:tc>
          <w:tcPr>
            <w:tcW w:w="140" w:type="dxa"/>
            <w:vAlign w:val="bottom"/>
            <w:tcBorders>
              <w:top w:val="single" w:sz="8" w:color="auto"/>
            </w:tcBorders>
          </w:tcPr>
          <w:p>
            <w:pPr>
              <w:spacing w:after="0"/>
              <w:rPr>
                <w:sz w:val="16"/>
                <w:szCs w:val="16"/>
                <w:color w:val="auto"/>
              </w:rPr>
            </w:pPr>
          </w:p>
        </w:tc>
        <w:tc>
          <w:tcPr>
            <w:tcW w:w="1440" w:type="dxa"/>
            <w:vAlign w:val="bottom"/>
            <w:tcBorders>
              <w:top w:val="single" w:sz="8" w:color="auto"/>
            </w:tcBorders>
          </w:tcPr>
          <w:p>
            <w:pPr>
              <w:jc w:val="right"/>
              <w:ind w:right="116"/>
              <w:spacing w:after="0"/>
              <w:rPr>
                <w:sz w:val="20"/>
                <w:szCs w:val="20"/>
                <w:color w:val="auto"/>
              </w:rPr>
            </w:pPr>
            <w:r>
              <w:rPr>
                <w:rFonts w:ascii="Times New Roman" w:cs="Times New Roman" w:eastAsia="Times New Roman" w:hAnsi="Times New Roman"/>
                <w:sz w:val="14"/>
                <w:szCs w:val="14"/>
                <w:b w:val="1"/>
                <w:bCs w:val="1"/>
                <w:color w:val="auto"/>
              </w:rPr>
              <w:t>Principal Payments</w:t>
            </w:r>
          </w:p>
        </w:tc>
        <w:tc>
          <w:tcPr>
            <w:tcW w:w="80" w:type="dxa"/>
            <w:vAlign w:val="bottom"/>
          </w:tcPr>
          <w:p>
            <w:pPr>
              <w:spacing w:after="0"/>
              <w:rPr>
                <w:sz w:val="16"/>
                <w:szCs w:val="16"/>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Gains</w:t>
            </w:r>
          </w:p>
        </w:tc>
        <w:tc>
          <w:tcPr>
            <w:tcW w:w="54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50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0" w:type="dxa"/>
            <w:vAlign w:val="bottom"/>
          </w:tcPr>
          <w:p>
            <w:pPr>
              <w:spacing w:after="0"/>
              <w:rPr>
                <w:sz w:val="1"/>
                <w:szCs w:val="1"/>
                <w:color w:val="auto"/>
              </w:rPr>
            </w:pPr>
          </w:p>
        </w:tc>
      </w:tr>
      <w:tr>
        <w:trPr>
          <w:trHeight w:val="229"/>
        </w:trPr>
        <w:tc>
          <w:tcPr>
            <w:tcW w:w="2960" w:type="dxa"/>
            <w:vAlign w:val="bottom"/>
            <w:tcBorders>
              <w:top w:val="single" w:sz="8" w:color="auto"/>
            </w:tcBorders>
            <w:shd w:val="clear" w:color="auto" w:fill="CCEEFF"/>
          </w:tcPr>
          <w:p>
            <w:pPr>
              <w:jc w:val="right"/>
              <w:ind w:right="1248"/>
              <w:spacing w:after="0"/>
              <w:rPr>
                <w:sz w:val="20"/>
                <w:szCs w:val="20"/>
                <w:color w:val="auto"/>
              </w:rPr>
            </w:pPr>
            <w:r>
              <w:rPr>
                <w:rFonts w:ascii="Times New Roman" w:cs="Times New Roman" w:eastAsia="Times New Roman" w:hAnsi="Times New Roman"/>
                <w:sz w:val="14"/>
                <w:szCs w:val="14"/>
                <w:b w:val="1"/>
                <w:bCs w:val="1"/>
                <w:color w:val="auto"/>
              </w:rPr>
              <w:t>2024</w:t>
            </w:r>
          </w:p>
        </w:tc>
        <w:tc>
          <w:tcPr>
            <w:tcW w:w="380" w:type="dxa"/>
            <w:vAlign w:val="bottom"/>
            <w:tcBorders>
              <w:top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365,990</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32,801</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95,219</w:t>
            </w:r>
          </w:p>
        </w:tc>
        <w:tc>
          <w:tcPr>
            <w:tcW w:w="80" w:type="dxa"/>
            <w:vAlign w:val="bottom"/>
            <w:tcBorders>
              <w:top w:val="single" w:sz="8" w:color="CCEEFF"/>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jc w:val="right"/>
              <w:ind w:right="839"/>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2,637</w:t>
            </w:r>
          </w:p>
        </w:tc>
        <w:tc>
          <w:tcPr>
            <w:tcW w:w="100" w:type="dxa"/>
            <w:vAlign w:val="bottom"/>
            <w:tcBorders>
              <w:top w:val="single" w:sz="8" w:color="CCEEFF"/>
            </w:tcBorders>
            <w:shd w:val="clear" w:color="auto" w:fill="CCEEFF"/>
          </w:tcPr>
          <w:p>
            <w:pPr>
              <w:spacing w:after="0"/>
              <w:rPr>
                <w:sz w:val="19"/>
                <w:szCs w:val="19"/>
                <w:color w:val="auto"/>
              </w:rPr>
            </w:pPr>
          </w:p>
        </w:tc>
        <w:tc>
          <w:tcPr>
            <w:tcW w:w="500" w:type="dxa"/>
            <w:vAlign w:val="bottom"/>
            <w:tcBorders>
              <w:top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2,024</w:t>
            </w:r>
          </w:p>
        </w:tc>
        <w:tc>
          <w:tcPr>
            <w:tcW w:w="0" w:type="dxa"/>
            <w:vAlign w:val="bottom"/>
          </w:tcPr>
          <w:p>
            <w:pPr>
              <w:spacing w:after="0"/>
              <w:rPr>
                <w:sz w:val="1"/>
                <w:szCs w:val="1"/>
                <w:color w:val="auto"/>
              </w:rPr>
            </w:pPr>
          </w:p>
        </w:tc>
      </w:tr>
      <w:tr>
        <w:trPr>
          <w:trHeight w:val="234"/>
        </w:trPr>
        <w:tc>
          <w:tcPr>
            <w:tcW w:w="2960" w:type="dxa"/>
            <w:vAlign w:val="bottom"/>
          </w:tcPr>
          <w:p>
            <w:pPr>
              <w:jc w:val="right"/>
              <w:ind w:right="1248"/>
              <w:spacing w:after="0"/>
              <w:rPr>
                <w:sz w:val="20"/>
                <w:szCs w:val="20"/>
                <w:color w:val="auto"/>
              </w:rPr>
            </w:pPr>
            <w:r>
              <w:rPr>
                <w:rFonts w:ascii="Times New Roman" w:cs="Times New Roman" w:eastAsia="Times New Roman" w:hAnsi="Times New Roman"/>
                <w:sz w:val="14"/>
                <w:szCs w:val="14"/>
                <w:b w:val="1"/>
                <w:bCs w:val="1"/>
                <w:color w:val="auto"/>
              </w:rPr>
              <w:t>2023</w:t>
            </w:r>
          </w:p>
        </w:tc>
        <w:tc>
          <w:tcPr>
            <w:tcW w:w="3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77,780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52,123</w:t>
            </w:r>
          </w:p>
        </w:tc>
        <w:tc>
          <w:tcPr>
            <w:tcW w:w="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773</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tax benefit (provision) related to these net realized gains and losses for June 30, 2024, and June 30, 2023, was ($128.7) thousand, and $23.3 thousand, respectively.</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maturities of AFS securities at June 30, 2024, were as follows (in thousands): (Expected maturities of securities not due at a single maturity date are based on average life at estimated prepayment speed. Expected maturities may differ from contractual maturities because borrowers have the right to call or prepay some obligations with or without call or prepayment penalties).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1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23"/>
        </w:trPr>
        <w:tc>
          <w:tcPr>
            <w:tcW w:w="4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190"/>
        </w:trPr>
        <w:tc>
          <w:tcPr>
            <w:tcW w:w="4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1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r>
      <w:tr>
        <w:trPr>
          <w:trHeight w:val="196"/>
        </w:trPr>
        <w:tc>
          <w:tcPr>
            <w:tcW w:w="4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jc w:val="right"/>
              <w:ind w:right="52"/>
              <w:spacing w:after="0"/>
              <w:rPr>
                <w:sz w:val="20"/>
                <w:szCs w:val="20"/>
                <w:color w:val="auto"/>
              </w:rPr>
            </w:pPr>
            <w:r>
              <w:rPr>
                <w:rFonts w:ascii="Times New Roman" w:cs="Times New Roman" w:eastAsia="Times New Roman" w:hAnsi="Times New Roman"/>
                <w:sz w:val="14"/>
                <w:szCs w:val="14"/>
                <w:b w:val="1"/>
                <w:bCs w:val="1"/>
                <w:color w:val="auto"/>
              </w:rPr>
              <w:t>One Year or Less</w:t>
            </w:r>
          </w:p>
        </w:tc>
        <w:tc>
          <w:tcPr>
            <w:tcW w:w="100" w:type="dxa"/>
            <w:vAlign w:val="bottom"/>
          </w:tcPr>
          <w:p>
            <w:pPr>
              <w:spacing w:after="0"/>
              <w:rPr>
                <w:sz w:val="17"/>
                <w:szCs w:val="17"/>
                <w:color w:val="auto"/>
              </w:rPr>
            </w:pPr>
          </w:p>
        </w:tc>
        <w:tc>
          <w:tcPr>
            <w:tcW w:w="1440" w:type="dxa"/>
            <w:vAlign w:val="bottom"/>
            <w:gridSpan w:val="3"/>
          </w:tcPr>
          <w:p>
            <w:pPr>
              <w:ind w:left="140"/>
              <w:spacing w:after="0"/>
              <w:rPr>
                <w:sz w:val="20"/>
                <w:szCs w:val="20"/>
                <w:color w:val="auto"/>
              </w:rPr>
            </w:pPr>
            <w:r>
              <w:rPr>
                <w:rFonts w:ascii="Times New Roman" w:cs="Times New Roman" w:eastAsia="Times New Roman" w:hAnsi="Times New Roman"/>
                <w:sz w:val="14"/>
                <w:szCs w:val="14"/>
                <w:b w:val="1"/>
                <w:bCs w:val="1"/>
                <w:color w:val="auto"/>
              </w:rPr>
              <w:t>One to Five Years</w:t>
            </w:r>
          </w:p>
        </w:tc>
        <w:tc>
          <w:tcPr>
            <w:tcW w:w="140" w:type="dxa"/>
            <w:vAlign w:val="bottom"/>
          </w:tcPr>
          <w:p>
            <w:pPr>
              <w:spacing w:after="0"/>
              <w:rPr>
                <w:sz w:val="17"/>
                <w:szCs w:val="17"/>
                <w:color w:val="auto"/>
              </w:rPr>
            </w:pP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9"/>
              </w:rPr>
              <w:t>Five to Ten Years</w:t>
            </w:r>
          </w:p>
        </w:tc>
        <w:tc>
          <w:tcPr>
            <w:tcW w:w="140" w:type="dxa"/>
            <w:vAlign w:val="bottom"/>
          </w:tcPr>
          <w:p>
            <w:pPr>
              <w:spacing w:after="0"/>
              <w:rPr>
                <w:sz w:val="17"/>
                <w:szCs w:val="17"/>
                <w:color w:val="auto"/>
              </w:rPr>
            </w:pPr>
          </w:p>
        </w:tc>
        <w:tc>
          <w:tcPr>
            <w:tcW w:w="13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After Ten Years</w:t>
            </w:r>
          </w:p>
        </w:tc>
        <w:tc>
          <w:tcPr>
            <w:tcW w:w="320" w:type="dxa"/>
            <w:vAlign w:val="bottom"/>
          </w:tcPr>
          <w:p>
            <w:pPr>
              <w:spacing w:after="0"/>
              <w:rPr>
                <w:sz w:val="17"/>
                <w:szCs w:val="17"/>
                <w:color w:val="auto"/>
              </w:rPr>
            </w:pPr>
          </w:p>
        </w:tc>
        <w:tc>
          <w:tcPr>
            <w:tcW w:w="1040" w:type="dxa"/>
            <w:vAlign w:val="bottom"/>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16"/>
        </w:trPr>
        <w:tc>
          <w:tcPr>
            <w:tcW w:w="41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Securities Available-for-Sale</w:t>
            </w:r>
          </w:p>
        </w:tc>
        <w:tc>
          <w:tcPr>
            <w:tcW w:w="12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r>
      <w:tr>
        <w:trPr>
          <w:trHeight w:val="230"/>
        </w:trPr>
        <w:tc>
          <w:tcPr>
            <w:tcW w:w="4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 Treasuries and government agencies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tcPr>
          <w:p>
            <w:pPr>
              <w:jc w:val="center"/>
              <w:ind w:right="119"/>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141,054</w:t>
            </w:r>
          </w:p>
        </w:tc>
        <w:tc>
          <w:tcPr>
            <w:tcW w:w="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25,326</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166,380</w:t>
            </w:r>
          </w:p>
        </w:tc>
      </w:tr>
      <w:tr>
        <w:trPr>
          <w:trHeight w:val="229"/>
        </w:trPr>
        <w:tc>
          <w:tcPr>
            <w:tcW w:w="4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Obligations of states and municipalities</w:t>
            </w: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87,560</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399,572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227,317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714,449</w:t>
            </w:r>
          </w:p>
        </w:tc>
      </w:tr>
      <w:tr>
        <w:trPr>
          <w:trHeight w:val="230"/>
        </w:trPr>
        <w:tc>
          <w:tcPr>
            <w:tcW w:w="4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Residential mortgage backed - agency</w:t>
            </w: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20,097</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28,424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9,583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58,104</w:t>
            </w:r>
          </w:p>
        </w:tc>
      </w:tr>
      <w:tr>
        <w:trPr>
          <w:trHeight w:val="230"/>
        </w:trPr>
        <w:tc>
          <w:tcPr>
            <w:tcW w:w="4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Residential mortgage backed - non-agency</w:t>
            </w: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68,491</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67,340</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141,397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5,439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282,667</w:t>
            </w:r>
          </w:p>
        </w:tc>
      </w:tr>
      <w:tr>
        <w:trPr>
          <w:trHeight w:val="230"/>
        </w:trPr>
        <w:tc>
          <w:tcPr>
            <w:tcW w:w="4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Commercial mortgage backed - agency</w:t>
            </w: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26,548</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9,375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35,968</w:t>
            </w:r>
          </w:p>
        </w:tc>
      </w:tr>
      <w:tr>
        <w:trPr>
          <w:trHeight w:val="229"/>
        </w:trPr>
        <w:tc>
          <w:tcPr>
            <w:tcW w:w="4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Commercial mortgage backed - non-agency</w:t>
            </w: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67,421</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93,124</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5,130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165,675</w:t>
            </w:r>
          </w:p>
        </w:tc>
      </w:tr>
      <w:tr>
        <w:trPr>
          <w:trHeight w:val="230"/>
        </w:trPr>
        <w:tc>
          <w:tcPr>
            <w:tcW w:w="4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Asset-backed</w:t>
            </w: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3,437</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35,543</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38,588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77,568</w:t>
            </w:r>
          </w:p>
        </w:tc>
      </w:tr>
      <w:tr>
        <w:trPr>
          <w:trHeight w:val="230"/>
        </w:trPr>
        <w:tc>
          <w:tcPr>
            <w:tcW w:w="4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2,730</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21,197</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14,373</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38,300</w:t>
            </w:r>
          </w:p>
        </w:tc>
      </w:tr>
      <w:tr>
        <w:trPr>
          <w:trHeight w:val="223"/>
        </w:trPr>
        <w:tc>
          <w:tcPr>
            <w:tcW w:w="4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139,394</w:t>
            </w:r>
          </w:p>
        </w:tc>
        <w:tc>
          <w:tcPr>
            <w:tcW w:w="100" w:type="dxa"/>
            <w:vAlign w:val="bottom"/>
          </w:tcPr>
          <w:p>
            <w:pPr>
              <w:spacing w:after="0"/>
              <w:rPr>
                <w:sz w:val="19"/>
                <w:szCs w:val="19"/>
                <w:color w:val="auto"/>
              </w:rPr>
            </w:pPr>
          </w:p>
        </w:tc>
        <w:tc>
          <w:tcPr>
            <w:tcW w:w="440" w:type="dxa"/>
            <w:vAlign w:val="bottom"/>
            <w:tcBorders>
              <w:bottom w:val="single" w:sz="8" w:color="auto"/>
            </w:tcBorders>
          </w:tcPr>
          <w:p>
            <w:pPr>
              <w:jc w:val="center"/>
              <w:ind w:right="219"/>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473,996</w:t>
            </w:r>
          </w:p>
        </w:tc>
        <w:tc>
          <w:tcPr>
            <w:tcW w:w="8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669,009</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256,712</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1,539,111</w:t>
            </w:r>
          </w:p>
        </w:tc>
      </w:tr>
      <w:tr>
        <w:trPr>
          <w:trHeight w:val="898"/>
        </w:trPr>
        <w:tc>
          <w:tcPr>
            <w:tcW w:w="4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540" w:type="dxa"/>
            <w:vAlign w:val="bottom"/>
            <w:gridSpan w:val="2"/>
          </w:tcPr>
          <w:p>
            <w:pPr>
              <w:jc w:val="center"/>
              <w:ind w:right="79"/>
              <w:spacing w:after="0"/>
              <w:rPr>
                <w:sz w:val="20"/>
                <w:szCs w:val="20"/>
                <w:color w:val="auto"/>
              </w:rPr>
            </w:pPr>
            <w:r>
              <w:rPr>
                <w:rFonts w:ascii="Times New Roman" w:cs="Times New Roman" w:eastAsia="Times New Roman" w:hAnsi="Times New Roman"/>
                <w:sz w:val="18"/>
                <w:szCs w:val="18"/>
                <w:color w:val="auto"/>
                <w:w w:val="99"/>
              </w:rPr>
              <w:t>12</w:t>
            </w: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77"/>
        </w:trPr>
        <w:tc>
          <w:tcPr>
            <w:tcW w:w="41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Securities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1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23"/>
        </w:trPr>
        <w:tc>
          <w:tcPr>
            <w:tcW w:w="4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190"/>
        </w:trPr>
        <w:tc>
          <w:tcPr>
            <w:tcW w:w="4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r>
      <w:tr>
        <w:trPr>
          <w:trHeight w:val="196"/>
        </w:trPr>
        <w:tc>
          <w:tcPr>
            <w:tcW w:w="4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One Year or Less</w:t>
            </w:r>
          </w:p>
        </w:tc>
        <w:tc>
          <w:tcPr>
            <w:tcW w:w="120" w:type="dxa"/>
            <w:vAlign w:val="bottom"/>
          </w:tcPr>
          <w:p>
            <w:pPr>
              <w:spacing w:after="0"/>
              <w:rPr>
                <w:sz w:val="17"/>
                <w:szCs w:val="17"/>
                <w:color w:val="auto"/>
              </w:rPr>
            </w:pPr>
          </w:p>
        </w:tc>
        <w:tc>
          <w:tcPr>
            <w:tcW w:w="13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One to Five Years</w:t>
            </w:r>
          </w:p>
        </w:tc>
        <w:tc>
          <w:tcPr>
            <w:tcW w:w="140" w:type="dxa"/>
            <w:vAlign w:val="bottom"/>
          </w:tcPr>
          <w:p>
            <w:pPr>
              <w:spacing w:after="0"/>
              <w:rPr>
                <w:sz w:val="17"/>
                <w:szCs w:val="17"/>
                <w:color w:val="auto"/>
              </w:rPr>
            </w:pP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9"/>
              </w:rPr>
              <w:t>Five to Ten Years</w:t>
            </w:r>
          </w:p>
        </w:tc>
        <w:tc>
          <w:tcPr>
            <w:tcW w:w="140" w:type="dxa"/>
            <w:vAlign w:val="bottom"/>
          </w:tcPr>
          <w:p>
            <w:pPr>
              <w:spacing w:after="0"/>
              <w:rPr>
                <w:sz w:val="17"/>
                <w:szCs w:val="17"/>
                <w:color w:val="auto"/>
              </w:rPr>
            </w:pPr>
          </w:p>
        </w:tc>
        <w:tc>
          <w:tcPr>
            <w:tcW w:w="13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After Ten Years</w:t>
            </w:r>
          </w:p>
        </w:tc>
        <w:tc>
          <w:tcPr>
            <w:tcW w:w="320" w:type="dxa"/>
            <w:vAlign w:val="bottom"/>
          </w:tcPr>
          <w:p>
            <w:pPr>
              <w:spacing w:after="0"/>
              <w:rPr>
                <w:sz w:val="17"/>
                <w:szCs w:val="17"/>
                <w:color w:val="auto"/>
              </w:rPr>
            </w:pPr>
          </w:p>
        </w:tc>
        <w:tc>
          <w:tcPr>
            <w:tcW w:w="1040" w:type="dxa"/>
            <w:vAlign w:val="bottom"/>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16"/>
        </w:trPr>
        <w:tc>
          <w:tcPr>
            <w:tcW w:w="41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Securities Available-for-Sale</w:t>
            </w:r>
          </w:p>
        </w:tc>
        <w:tc>
          <w:tcPr>
            <w:tcW w:w="12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r>
      <w:tr>
        <w:trPr>
          <w:trHeight w:val="229"/>
        </w:trPr>
        <w:tc>
          <w:tcPr>
            <w:tcW w:w="4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 Treasuries and government agencies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125,507</w:t>
            </w:r>
          </w:p>
        </w:tc>
        <w:tc>
          <w:tcPr>
            <w:tcW w:w="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21,923</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147,430</w:t>
            </w:r>
          </w:p>
        </w:tc>
      </w:tr>
      <w:tr>
        <w:trPr>
          <w:trHeight w:val="230"/>
        </w:trPr>
        <w:tc>
          <w:tcPr>
            <w:tcW w:w="4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Obligations of states and municipalities</w:t>
            </w:r>
          </w:p>
        </w:tc>
        <w:tc>
          <w:tcPr>
            <w:tcW w:w="12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84,498</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360,928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192,328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637,754</w:t>
            </w:r>
          </w:p>
        </w:tc>
      </w:tr>
      <w:tr>
        <w:trPr>
          <w:trHeight w:val="229"/>
        </w:trPr>
        <w:tc>
          <w:tcPr>
            <w:tcW w:w="4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Residential mortgage backed - agency</w:t>
            </w:r>
          </w:p>
        </w:tc>
        <w:tc>
          <w:tcPr>
            <w:tcW w:w="120" w:type="dxa"/>
            <w:vAlign w:val="bottom"/>
          </w:tcPr>
          <w:p>
            <w:pPr>
              <w:spacing w:after="0"/>
              <w:rPr>
                <w:sz w:val="19"/>
                <w:szCs w:val="19"/>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19,678</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24,704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9,786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54,168</w:t>
            </w:r>
          </w:p>
        </w:tc>
      </w:tr>
      <w:tr>
        <w:trPr>
          <w:trHeight w:val="230"/>
        </w:trPr>
        <w:tc>
          <w:tcPr>
            <w:tcW w:w="4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Residential mortgage backed - non-agency</w:t>
            </w: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67,727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64,248</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130,248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5,090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267,313</w:t>
            </w:r>
          </w:p>
        </w:tc>
      </w:tr>
      <w:tr>
        <w:trPr>
          <w:trHeight w:val="229"/>
        </w:trPr>
        <w:tc>
          <w:tcPr>
            <w:tcW w:w="4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Commercial mortgage backed - agency</w:t>
            </w: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25,880</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9,117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35,042</w:t>
            </w:r>
          </w:p>
        </w:tc>
      </w:tr>
      <w:tr>
        <w:trPr>
          <w:trHeight w:val="229"/>
        </w:trPr>
        <w:tc>
          <w:tcPr>
            <w:tcW w:w="4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Commercial mortgage backed - non-agency</w:t>
            </w: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66,023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89,186</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159,363</w:t>
            </w:r>
          </w:p>
        </w:tc>
      </w:tr>
      <w:tr>
        <w:trPr>
          <w:trHeight w:val="230"/>
        </w:trPr>
        <w:tc>
          <w:tcPr>
            <w:tcW w:w="4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Asset-backed</w:t>
            </w: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35,392</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38,138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76,952</w:t>
            </w:r>
          </w:p>
        </w:tc>
      </w:tr>
      <w:tr>
        <w:trPr>
          <w:trHeight w:val="229"/>
        </w:trPr>
        <w:tc>
          <w:tcPr>
            <w:tcW w:w="4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2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2,779</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19,707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14,362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36,848</w:t>
            </w:r>
          </w:p>
        </w:tc>
      </w:tr>
      <w:tr>
        <w:trPr>
          <w:trHeight w:val="223"/>
        </w:trPr>
        <w:tc>
          <w:tcPr>
            <w:tcW w:w="4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137,217</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447,168</w:t>
            </w:r>
          </w:p>
        </w:tc>
        <w:tc>
          <w:tcPr>
            <w:tcW w:w="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608,919</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221,566</w:t>
            </w:r>
          </w:p>
        </w:tc>
        <w:tc>
          <w:tcPr>
            <w:tcW w:w="10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1,414,870</w:t>
            </w:r>
          </w:p>
        </w:tc>
      </w:tr>
    </w:tbl>
    <w:p>
      <w:pPr>
        <w:spacing w:after="0" w:line="23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At June 30, 2024, and December 31, 2023, there were no holdings of securities of any one issuer, other than the U.S. Government and its agencies, in any amount greater than 10% of shareholders’ equity.</w:t>
      </w:r>
    </w:p>
    <w:p>
      <w:pPr>
        <w:spacing w:after="0" w:line="10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shows the gross unrealized losses and fair value of the Company’s securities with unrealized losses aggregated by investment category and length of time that individual securities have been in a continuous unrealized loss position at June 30, 2024, and December 31, 2023.</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AFS securities in a continuous unrealized loss position for less than twelve months and more than twelve months are as follows (in thousands):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0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1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0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gridSpan w:val="3"/>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720" w:type="dxa"/>
            <w:vAlign w:val="bottom"/>
            <w:tcBorders>
              <w:bottom w:val="single" w:sz="8" w:color="auto"/>
            </w:tcBorders>
            <w:gridSpan w:val="5"/>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0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080" w:type="dxa"/>
            <w:vAlign w:val="bottom"/>
            <w:tcBorders>
              <w:bottom w:val="single" w:sz="8" w:color="auto"/>
            </w:tcBorders>
            <w:gridSpan w:val="3"/>
          </w:tcPr>
          <w:p>
            <w:pPr>
              <w:ind w:left="360"/>
              <w:spacing w:after="0"/>
              <w:rPr>
                <w:sz w:val="20"/>
                <w:szCs w:val="20"/>
                <w:color w:val="auto"/>
              </w:rPr>
            </w:pPr>
            <w:r>
              <w:rPr>
                <w:rFonts w:ascii="Times New Roman" w:cs="Times New Roman" w:eastAsia="Times New Roman" w:hAnsi="Times New Roman"/>
                <w:sz w:val="14"/>
                <w:szCs w:val="14"/>
                <w:b w:val="1"/>
                <w:bCs w:val="1"/>
                <w:color w:val="auto"/>
              </w:rPr>
              <w:t>Less Than Twelve Months</w:t>
            </w:r>
          </w:p>
        </w:tc>
        <w:tc>
          <w:tcPr>
            <w:tcW w:w="4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720" w:type="dxa"/>
            <w:vAlign w:val="bottom"/>
            <w:tcBorders>
              <w:bottom w:val="single" w:sz="8" w:color="auto"/>
            </w:tcBorders>
            <w:gridSpan w:val="5"/>
          </w:tcPr>
          <w:p>
            <w:pPr>
              <w:ind w:left="380"/>
              <w:spacing w:after="0"/>
              <w:rPr>
                <w:sz w:val="20"/>
                <w:szCs w:val="20"/>
                <w:color w:val="auto"/>
              </w:rPr>
            </w:pPr>
            <w:r>
              <w:rPr>
                <w:rFonts w:ascii="Times New Roman" w:cs="Times New Roman" w:eastAsia="Times New Roman" w:hAnsi="Times New Roman"/>
                <w:sz w:val="14"/>
                <w:szCs w:val="14"/>
                <w:b w:val="1"/>
                <w:bCs w:val="1"/>
                <w:color w:val="auto"/>
              </w:rPr>
              <w:t>More Than Twelve Months</w:t>
            </w:r>
          </w:p>
        </w:tc>
        <w:tc>
          <w:tcPr>
            <w:tcW w:w="1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40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360" w:type="dxa"/>
            <w:vAlign w:val="bottom"/>
            <w:gridSpan w:val="2"/>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auto"/>
              </w:rPr>
              <w:t>Gross Unrealized</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8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120" w:type="dxa"/>
            <w:vAlign w:val="bottom"/>
          </w:tcPr>
          <w:p>
            <w:pPr>
              <w:spacing w:after="0"/>
              <w:rPr>
                <w:sz w:val="11"/>
                <w:szCs w:val="11"/>
                <w:color w:val="auto"/>
              </w:rPr>
            </w:pPr>
          </w:p>
        </w:tc>
        <w:tc>
          <w:tcPr>
            <w:tcW w:w="132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4"/>
                <w:szCs w:val="14"/>
                <w:b w:val="1"/>
                <w:bCs w:val="1"/>
                <w:color w:val="auto"/>
              </w:rPr>
              <w:t>Gross Unrealized</w:t>
            </w:r>
          </w:p>
        </w:tc>
        <w:tc>
          <w:tcPr>
            <w:tcW w:w="140" w:type="dxa"/>
            <w:vAlign w:val="bottom"/>
          </w:tcPr>
          <w:p>
            <w:pPr>
              <w:spacing w:after="0"/>
              <w:rPr>
                <w:sz w:val="11"/>
                <w:szCs w:val="11"/>
                <w:color w:val="auto"/>
              </w:rPr>
            </w:pPr>
          </w:p>
        </w:tc>
        <w:tc>
          <w:tcPr>
            <w:tcW w:w="1220" w:type="dxa"/>
            <w:vAlign w:val="bottom"/>
          </w:tcPr>
          <w:p>
            <w:pPr>
              <w:jc w:val="right"/>
              <w:ind w:right="93"/>
              <w:spacing w:after="0" w:line="135" w:lineRule="exact"/>
              <w:rPr>
                <w:sz w:val="20"/>
                <w:szCs w:val="20"/>
                <w:color w:val="auto"/>
              </w:rPr>
            </w:pPr>
            <w:r>
              <w:rPr>
                <w:rFonts w:ascii="Times New Roman" w:cs="Times New Roman" w:eastAsia="Times New Roman" w:hAnsi="Times New Roman"/>
                <w:sz w:val="14"/>
                <w:szCs w:val="14"/>
                <w:b w:val="1"/>
                <w:bCs w:val="1"/>
                <w:color w:val="auto"/>
              </w:rPr>
              <w:t>Total Unrealized</w:t>
            </w:r>
          </w:p>
        </w:tc>
        <w:tc>
          <w:tcPr>
            <w:tcW w:w="0" w:type="dxa"/>
            <w:vAlign w:val="bottom"/>
          </w:tcPr>
          <w:p>
            <w:pPr>
              <w:spacing w:after="0"/>
              <w:rPr>
                <w:sz w:val="1"/>
                <w:szCs w:val="1"/>
                <w:color w:val="auto"/>
              </w:rPr>
            </w:pPr>
          </w:p>
        </w:tc>
      </w:tr>
      <w:tr>
        <w:trPr>
          <w:trHeight w:val="196"/>
        </w:trPr>
        <w:tc>
          <w:tcPr>
            <w:tcW w:w="40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0" w:type="dxa"/>
            <w:vAlign w:val="bottom"/>
            <w:gridSpan w:val="2"/>
            <w:vMerge w:val="continue"/>
          </w:tcPr>
          <w:p>
            <w:pPr>
              <w:spacing w:after="0"/>
              <w:rPr>
                <w:sz w:val="17"/>
                <w:szCs w:val="17"/>
                <w:color w:val="auto"/>
              </w:rPr>
            </w:pPr>
          </w:p>
        </w:tc>
        <w:tc>
          <w:tcPr>
            <w:tcW w:w="880" w:type="dxa"/>
            <w:vAlign w:val="bottom"/>
          </w:tcPr>
          <w:p>
            <w:pPr>
              <w:jc w:val="center"/>
              <w:ind w:left="397"/>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140" w:type="dxa"/>
            <w:vAlign w:val="bottom"/>
          </w:tcPr>
          <w:p>
            <w:pPr>
              <w:spacing w:after="0"/>
              <w:rPr>
                <w:sz w:val="17"/>
                <w:szCs w:val="17"/>
                <w:color w:val="auto"/>
              </w:rPr>
            </w:pPr>
          </w:p>
        </w:tc>
        <w:tc>
          <w:tcPr>
            <w:tcW w:w="1220" w:type="dxa"/>
            <w:vAlign w:val="bottom"/>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0" w:type="dxa"/>
            <w:vAlign w:val="bottom"/>
          </w:tcPr>
          <w:p>
            <w:pPr>
              <w:spacing w:after="0"/>
              <w:rPr>
                <w:sz w:val="1"/>
                <w:szCs w:val="1"/>
                <w:color w:val="auto"/>
              </w:rPr>
            </w:pPr>
          </w:p>
        </w:tc>
      </w:tr>
      <w:tr>
        <w:trPr>
          <w:trHeight w:val="216"/>
        </w:trPr>
        <w:tc>
          <w:tcPr>
            <w:tcW w:w="40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Securities Available-for-Sale</w:t>
            </w:r>
          </w:p>
        </w:tc>
        <w:tc>
          <w:tcPr>
            <w:tcW w:w="24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 Treasuries and government agencies</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147,430</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18,950</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18,950</w:t>
            </w:r>
          </w:p>
        </w:tc>
        <w:tc>
          <w:tcPr>
            <w:tcW w:w="0" w:type="dxa"/>
            <w:vAlign w:val="bottom"/>
          </w:tcPr>
          <w:p>
            <w:pPr>
              <w:spacing w:after="0"/>
              <w:rPr>
                <w:sz w:val="1"/>
                <w:szCs w:val="1"/>
                <w:color w:val="auto"/>
              </w:rPr>
            </w:pPr>
          </w:p>
        </w:tc>
      </w:tr>
      <w:tr>
        <w:trPr>
          <w:trHeight w:val="230"/>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Obligations of states and municipalities</w:t>
            </w: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68,811</w:t>
            </w:r>
          </w:p>
        </w:tc>
        <w:tc>
          <w:tcPr>
            <w:tcW w:w="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451,029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77,045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77,932</w:t>
            </w:r>
          </w:p>
        </w:tc>
        <w:tc>
          <w:tcPr>
            <w:tcW w:w="0" w:type="dxa"/>
            <w:vAlign w:val="bottom"/>
          </w:tcPr>
          <w:p>
            <w:pPr>
              <w:spacing w:after="0"/>
              <w:rPr>
                <w:sz w:val="1"/>
                <w:szCs w:val="1"/>
                <w:color w:val="auto"/>
              </w:rPr>
            </w:pPr>
          </w:p>
        </w:tc>
      </w:tr>
      <w:tr>
        <w:trPr>
          <w:trHeight w:val="230"/>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Residential mortgage backed - agency</w:t>
            </w: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w:t>
            </w:r>
          </w:p>
        </w:tc>
        <w:tc>
          <w:tcPr>
            <w:tcW w:w="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42,669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4,166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4,166</w:t>
            </w:r>
          </w:p>
        </w:tc>
        <w:tc>
          <w:tcPr>
            <w:tcW w:w="0" w:type="dxa"/>
            <w:vAlign w:val="bottom"/>
          </w:tcPr>
          <w:p>
            <w:pPr>
              <w:spacing w:after="0"/>
              <w:rPr>
                <w:sz w:val="1"/>
                <w:szCs w:val="1"/>
                <w:color w:val="auto"/>
              </w:rPr>
            </w:pPr>
          </w:p>
        </w:tc>
      </w:tr>
      <w:tr>
        <w:trPr>
          <w:trHeight w:val="230"/>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Residential mortgage backed - non-agency</w:t>
            </w: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63,948</w:t>
            </w:r>
          </w:p>
        </w:tc>
        <w:tc>
          <w:tcPr>
            <w:tcW w:w="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1,093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200,697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14,280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15,373</w:t>
            </w:r>
          </w:p>
        </w:tc>
        <w:tc>
          <w:tcPr>
            <w:tcW w:w="0" w:type="dxa"/>
            <w:vAlign w:val="bottom"/>
          </w:tcPr>
          <w:p>
            <w:pPr>
              <w:spacing w:after="0"/>
              <w:rPr>
                <w:sz w:val="1"/>
                <w:szCs w:val="1"/>
                <w:color w:val="auto"/>
              </w:rPr>
            </w:pPr>
          </w:p>
        </w:tc>
      </w:tr>
      <w:tr>
        <w:trPr>
          <w:trHeight w:val="229"/>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Commercial mortgage backed - agency</w:t>
            </w: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1,529</w:t>
            </w:r>
          </w:p>
        </w:tc>
        <w:tc>
          <w:tcPr>
            <w:tcW w:w="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32,750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954</w:t>
            </w:r>
          </w:p>
        </w:tc>
        <w:tc>
          <w:tcPr>
            <w:tcW w:w="0" w:type="dxa"/>
            <w:vAlign w:val="bottom"/>
          </w:tcPr>
          <w:p>
            <w:pPr>
              <w:spacing w:after="0"/>
              <w:rPr>
                <w:sz w:val="1"/>
                <w:szCs w:val="1"/>
                <w:color w:val="auto"/>
              </w:rPr>
            </w:pPr>
          </w:p>
        </w:tc>
      </w:tr>
      <w:tr>
        <w:trPr>
          <w:trHeight w:val="230"/>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Commercial mortgage backed - non-agency</w:t>
            </w: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36,236</w:t>
            </w:r>
          </w:p>
        </w:tc>
        <w:tc>
          <w:tcPr>
            <w:tcW w:w="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123,128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6,312</w:t>
            </w:r>
          </w:p>
        </w:tc>
        <w:tc>
          <w:tcPr>
            <w:tcW w:w="0" w:type="dxa"/>
            <w:vAlign w:val="bottom"/>
          </w:tcPr>
          <w:p>
            <w:pPr>
              <w:spacing w:after="0"/>
              <w:rPr>
                <w:sz w:val="1"/>
                <w:szCs w:val="1"/>
                <w:color w:val="auto"/>
              </w:rPr>
            </w:pPr>
          </w:p>
        </w:tc>
      </w:tr>
      <w:tr>
        <w:trPr>
          <w:trHeight w:val="230"/>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Asset-backed</w:t>
            </w: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16,381</w:t>
            </w:r>
          </w:p>
        </w:tc>
        <w:tc>
          <w:tcPr>
            <w:tcW w:w="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36,658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795</w:t>
            </w:r>
          </w:p>
        </w:tc>
        <w:tc>
          <w:tcPr>
            <w:tcW w:w="0" w:type="dxa"/>
            <w:vAlign w:val="bottom"/>
          </w:tcPr>
          <w:p>
            <w:pPr>
              <w:spacing w:after="0"/>
              <w:rPr>
                <w:sz w:val="1"/>
                <w:szCs w:val="1"/>
                <w:color w:val="auto"/>
              </w:rPr>
            </w:pPr>
          </w:p>
        </w:tc>
      </w:tr>
      <w:tr>
        <w:trPr>
          <w:trHeight w:val="230"/>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22,474</w:t>
            </w:r>
          </w:p>
        </w:tc>
        <w:tc>
          <w:tcPr>
            <w:tcW w:w="80" w:type="dxa"/>
            <w:vAlign w:val="bottom"/>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8,070</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1,430</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1,533</w:t>
            </w:r>
          </w:p>
        </w:tc>
        <w:tc>
          <w:tcPr>
            <w:tcW w:w="0" w:type="dxa"/>
            <w:vAlign w:val="bottom"/>
          </w:tcPr>
          <w:p>
            <w:pPr>
              <w:spacing w:after="0"/>
              <w:rPr>
                <w:sz w:val="1"/>
                <w:szCs w:val="1"/>
                <w:color w:val="auto"/>
              </w:rPr>
            </w:pPr>
          </w:p>
        </w:tc>
      </w:tr>
      <w:tr>
        <w:trPr>
          <w:trHeight w:val="223"/>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209,760</w:t>
            </w:r>
          </w:p>
        </w:tc>
        <w:tc>
          <w:tcPr>
            <w:tcW w:w="80" w:type="dxa"/>
            <w:vAlign w:val="bottom"/>
          </w:tcPr>
          <w:p>
            <w:pPr>
              <w:spacing w:after="0"/>
              <w:rPr>
                <w:sz w:val="19"/>
                <w:szCs w:val="19"/>
                <w:color w:val="auto"/>
              </w:rPr>
            </w:pPr>
          </w:p>
        </w:tc>
        <w:tc>
          <w:tcPr>
            <w:tcW w:w="8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3"/>
              </w:rPr>
              <w:t>2,483</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1,042,431</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123,532</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126,015</w:t>
            </w:r>
          </w:p>
        </w:tc>
        <w:tc>
          <w:tcPr>
            <w:tcW w:w="0" w:type="dxa"/>
            <w:vAlign w:val="bottom"/>
          </w:tcPr>
          <w:p>
            <w:pPr>
              <w:spacing w:after="0"/>
              <w:rPr>
                <w:sz w:val="1"/>
                <w:szCs w:val="1"/>
                <w:color w:val="auto"/>
              </w:rPr>
            </w:pPr>
          </w:p>
        </w:tc>
      </w:tr>
      <w:tr>
        <w:trPr>
          <w:trHeight w:val="885"/>
        </w:trPr>
        <w:tc>
          <w:tcPr>
            <w:tcW w:w="40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13</w:t>
            </w: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40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Securities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0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0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660" w:type="dxa"/>
            <w:vAlign w:val="bottom"/>
            <w:tcBorders>
              <w:bottom w:val="single" w:sz="8" w:color="auto"/>
            </w:tcBorders>
            <w:gridSpan w:val="5"/>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0" w:type="dxa"/>
            <w:vAlign w:val="bottom"/>
            <w:tcBorders>
              <w:bottom w:val="single" w:sz="8" w:color="auto"/>
            </w:tcBorders>
            <w:gridSpan w:val="5"/>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0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660" w:type="dxa"/>
            <w:vAlign w:val="bottom"/>
            <w:gridSpan w:val="5"/>
          </w:tcPr>
          <w:p>
            <w:pPr>
              <w:ind w:left="360"/>
              <w:spacing w:after="0"/>
              <w:rPr>
                <w:sz w:val="20"/>
                <w:szCs w:val="20"/>
                <w:color w:val="auto"/>
              </w:rPr>
            </w:pPr>
            <w:r>
              <w:rPr>
                <w:rFonts w:ascii="Times New Roman" w:cs="Times New Roman" w:eastAsia="Times New Roman" w:hAnsi="Times New Roman"/>
                <w:sz w:val="14"/>
                <w:szCs w:val="14"/>
                <w:b w:val="1"/>
                <w:bCs w:val="1"/>
                <w:color w:val="auto"/>
              </w:rPr>
              <w:t>Less Than Twelve Months</w:t>
            </w:r>
          </w:p>
        </w:tc>
        <w:tc>
          <w:tcPr>
            <w:tcW w:w="100" w:type="dxa"/>
            <w:vAlign w:val="bottom"/>
          </w:tcPr>
          <w:p>
            <w:pPr>
              <w:spacing w:after="0"/>
              <w:rPr>
                <w:sz w:val="16"/>
                <w:szCs w:val="16"/>
                <w:color w:val="auto"/>
              </w:rPr>
            </w:pPr>
          </w:p>
        </w:tc>
        <w:tc>
          <w:tcPr>
            <w:tcW w:w="2800" w:type="dxa"/>
            <w:vAlign w:val="bottom"/>
            <w:gridSpan w:val="5"/>
          </w:tcPr>
          <w:p>
            <w:pPr>
              <w:ind w:left="460"/>
              <w:spacing w:after="0"/>
              <w:rPr>
                <w:sz w:val="20"/>
                <w:szCs w:val="20"/>
                <w:color w:val="auto"/>
              </w:rPr>
            </w:pPr>
            <w:r>
              <w:rPr>
                <w:rFonts w:ascii="Times New Roman" w:cs="Times New Roman" w:eastAsia="Times New Roman" w:hAnsi="Times New Roman"/>
                <w:sz w:val="14"/>
                <w:szCs w:val="14"/>
                <w:b w:val="1"/>
                <w:bCs w:val="1"/>
                <w:color w:val="auto"/>
              </w:rPr>
              <w:t>More Than Twelve Months</w:t>
            </w:r>
          </w:p>
        </w:tc>
        <w:tc>
          <w:tcPr>
            <w:tcW w:w="1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7"/>
        </w:trPr>
        <w:tc>
          <w:tcPr>
            <w:tcW w:w="408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200" w:type="dxa"/>
            <w:vAlign w:val="bottom"/>
            <w:tcBorders>
              <w:top w:val="single" w:sz="8" w:color="auto"/>
            </w:tcBorders>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40" w:type="dxa"/>
            <w:vAlign w:val="bottom"/>
            <w:tcBorders>
              <w:top w:val="single" w:sz="8" w:color="auto"/>
            </w:tcBorders>
          </w:tcPr>
          <w:p>
            <w:pPr>
              <w:spacing w:after="0"/>
              <w:rPr>
                <w:sz w:val="11"/>
                <w:szCs w:val="11"/>
                <w:color w:val="auto"/>
              </w:rPr>
            </w:pPr>
          </w:p>
        </w:tc>
        <w:tc>
          <w:tcPr>
            <w:tcW w:w="1220" w:type="dxa"/>
            <w:vAlign w:val="bottom"/>
            <w:tcBorders>
              <w:top w:val="single" w:sz="8" w:color="auto"/>
            </w:tcBorders>
          </w:tcPr>
          <w:p>
            <w:pPr>
              <w:jc w:val="center"/>
              <w:ind w:right="33"/>
              <w:spacing w:after="0" w:line="137" w:lineRule="exact"/>
              <w:rPr>
                <w:sz w:val="20"/>
                <w:szCs w:val="20"/>
                <w:color w:val="auto"/>
              </w:rPr>
            </w:pPr>
            <w:r>
              <w:rPr>
                <w:rFonts w:ascii="Times New Roman" w:cs="Times New Roman" w:eastAsia="Times New Roman" w:hAnsi="Times New Roman"/>
                <w:sz w:val="14"/>
                <w:szCs w:val="14"/>
                <w:b w:val="1"/>
                <w:bCs w:val="1"/>
                <w:color w:val="auto"/>
              </w:rPr>
              <w:t>Gross Unrealized</w:t>
            </w:r>
          </w:p>
        </w:tc>
        <w:tc>
          <w:tcPr>
            <w:tcW w:w="1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360" w:type="dxa"/>
            <w:vAlign w:val="bottom"/>
            <w:tcBorders>
              <w:top w:val="single" w:sz="8" w:color="auto"/>
            </w:tcBorders>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120" w:type="dxa"/>
            <w:vAlign w:val="bottom"/>
            <w:tcBorders>
              <w:top w:val="single" w:sz="8" w:color="auto"/>
            </w:tcBorders>
          </w:tcPr>
          <w:p>
            <w:pPr>
              <w:spacing w:after="0"/>
              <w:rPr>
                <w:sz w:val="11"/>
                <w:szCs w:val="11"/>
                <w:color w:val="auto"/>
              </w:rPr>
            </w:pPr>
          </w:p>
        </w:tc>
        <w:tc>
          <w:tcPr>
            <w:tcW w:w="1320" w:type="dxa"/>
            <w:vAlign w:val="bottom"/>
            <w:tcBorders>
              <w:top w:val="single" w:sz="8" w:color="auto"/>
            </w:tcBorders>
            <w:gridSpan w:val="2"/>
          </w:tcPr>
          <w:p>
            <w:pPr>
              <w:jc w:val="center"/>
              <w:ind w:right="220"/>
              <w:spacing w:after="0" w:line="137" w:lineRule="exact"/>
              <w:rPr>
                <w:sz w:val="20"/>
                <w:szCs w:val="20"/>
                <w:color w:val="auto"/>
              </w:rPr>
            </w:pPr>
            <w:r>
              <w:rPr>
                <w:rFonts w:ascii="Times New Roman" w:cs="Times New Roman" w:eastAsia="Times New Roman" w:hAnsi="Times New Roman"/>
                <w:sz w:val="14"/>
                <w:szCs w:val="14"/>
                <w:b w:val="1"/>
                <w:bCs w:val="1"/>
                <w:color w:val="auto"/>
              </w:rPr>
              <w:t>Gross Unrealized</w:t>
            </w:r>
          </w:p>
        </w:tc>
        <w:tc>
          <w:tcPr>
            <w:tcW w:w="140" w:type="dxa"/>
            <w:vAlign w:val="bottom"/>
          </w:tcPr>
          <w:p>
            <w:pPr>
              <w:spacing w:after="0"/>
              <w:rPr>
                <w:sz w:val="11"/>
                <w:szCs w:val="11"/>
                <w:color w:val="auto"/>
              </w:rPr>
            </w:pPr>
          </w:p>
        </w:tc>
        <w:tc>
          <w:tcPr>
            <w:tcW w:w="1220" w:type="dxa"/>
            <w:vAlign w:val="bottom"/>
          </w:tcPr>
          <w:p>
            <w:pPr>
              <w:jc w:val="right"/>
              <w:ind w:right="93"/>
              <w:spacing w:after="0" w:line="137" w:lineRule="exact"/>
              <w:rPr>
                <w:sz w:val="20"/>
                <w:szCs w:val="20"/>
                <w:color w:val="auto"/>
              </w:rPr>
            </w:pPr>
            <w:r>
              <w:rPr>
                <w:rFonts w:ascii="Times New Roman" w:cs="Times New Roman" w:eastAsia="Times New Roman" w:hAnsi="Times New Roman"/>
                <w:sz w:val="14"/>
                <w:szCs w:val="14"/>
                <w:b w:val="1"/>
                <w:bCs w:val="1"/>
                <w:color w:val="auto"/>
              </w:rPr>
              <w:t>Total Unrealized</w:t>
            </w:r>
          </w:p>
        </w:tc>
        <w:tc>
          <w:tcPr>
            <w:tcW w:w="0" w:type="dxa"/>
            <w:vAlign w:val="bottom"/>
          </w:tcPr>
          <w:p>
            <w:pPr>
              <w:spacing w:after="0"/>
              <w:rPr>
                <w:sz w:val="1"/>
                <w:szCs w:val="1"/>
                <w:color w:val="auto"/>
              </w:rPr>
            </w:pPr>
          </w:p>
        </w:tc>
      </w:tr>
      <w:tr>
        <w:trPr>
          <w:trHeight w:val="195"/>
        </w:trPr>
        <w:tc>
          <w:tcPr>
            <w:tcW w:w="40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3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100" w:type="dxa"/>
            <w:vAlign w:val="bottom"/>
          </w:tcPr>
          <w:p>
            <w:pPr>
              <w:spacing w:after="0"/>
              <w:rPr>
                <w:sz w:val="16"/>
                <w:szCs w:val="16"/>
                <w:color w:val="auto"/>
              </w:rPr>
            </w:pPr>
          </w:p>
        </w:tc>
        <w:tc>
          <w:tcPr>
            <w:tcW w:w="136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140" w:type="dxa"/>
            <w:vAlign w:val="bottom"/>
          </w:tcPr>
          <w:p>
            <w:pPr>
              <w:spacing w:after="0"/>
              <w:rPr>
                <w:sz w:val="16"/>
                <w:szCs w:val="16"/>
                <w:color w:val="auto"/>
              </w:rPr>
            </w:pPr>
          </w:p>
        </w:tc>
        <w:tc>
          <w:tcPr>
            <w:tcW w:w="1220" w:type="dxa"/>
            <w:vAlign w:val="bottom"/>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0" w:type="dxa"/>
            <w:vAlign w:val="bottom"/>
          </w:tcPr>
          <w:p>
            <w:pPr>
              <w:spacing w:after="0"/>
              <w:rPr>
                <w:sz w:val="1"/>
                <w:szCs w:val="1"/>
                <w:color w:val="auto"/>
              </w:rPr>
            </w:pPr>
          </w:p>
        </w:tc>
      </w:tr>
      <w:tr>
        <w:trPr>
          <w:trHeight w:val="214"/>
        </w:trPr>
        <w:tc>
          <w:tcPr>
            <w:tcW w:w="40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Securities Available-for-Sale</w:t>
            </w:r>
          </w:p>
        </w:tc>
        <w:tc>
          <w:tcPr>
            <w:tcW w:w="24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 Treasuries and government agencies</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179,071</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17,955</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17,955</w:t>
            </w:r>
          </w:p>
        </w:tc>
        <w:tc>
          <w:tcPr>
            <w:tcW w:w="0" w:type="dxa"/>
            <w:vAlign w:val="bottom"/>
          </w:tcPr>
          <w:p>
            <w:pPr>
              <w:spacing w:after="0"/>
              <w:rPr>
                <w:sz w:val="1"/>
                <w:szCs w:val="1"/>
                <w:color w:val="auto"/>
              </w:rPr>
            </w:pPr>
          </w:p>
        </w:tc>
      </w:tr>
      <w:tr>
        <w:trPr>
          <w:trHeight w:val="230"/>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Obligations of states and municipalities</w:t>
            </w: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458,113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72,033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72,047</w:t>
            </w:r>
          </w:p>
        </w:tc>
        <w:tc>
          <w:tcPr>
            <w:tcW w:w="0" w:type="dxa"/>
            <w:vAlign w:val="bottom"/>
          </w:tcPr>
          <w:p>
            <w:pPr>
              <w:spacing w:after="0"/>
              <w:rPr>
                <w:sz w:val="1"/>
                <w:szCs w:val="1"/>
                <w:color w:val="auto"/>
              </w:rPr>
            </w:pPr>
          </w:p>
        </w:tc>
      </w:tr>
      <w:tr>
        <w:trPr>
          <w:trHeight w:val="229"/>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Residential mortgage backed - agency</w:t>
            </w: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42,203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4,836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4,836</w:t>
            </w:r>
          </w:p>
        </w:tc>
        <w:tc>
          <w:tcPr>
            <w:tcW w:w="0" w:type="dxa"/>
            <w:vAlign w:val="bottom"/>
          </w:tcPr>
          <w:p>
            <w:pPr>
              <w:spacing w:after="0"/>
              <w:rPr>
                <w:sz w:val="1"/>
                <w:szCs w:val="1"/>
                <w:color w:val="auto"/>
              </w:rPr>
            </w:pPr>
          </w:p>
        </w:tc>
      </w:tr>
      <w:tr>
        <w:trPr>
          <w:trHeight w:val="230"/>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Residential mortgage backed - non-agency</w:t>
            </w: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632</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263,184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18,810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18,812</w:t>
            </w:r>
          </w:p>
        </w:tc>
        <w:tc>
          <w:tcPr>
            <w:tcW w:w="0" w:type="dxa"/>
            <w:vAlign w:val="bottom"/>
          </w:tcPr>
          <w:p>
            <w:pPr>
              <w:spacing w:after="0"/>
              <w:rPr>
                <w:sz w:val="1"/>
                <w:szCs w:val="1"/>
                <w:color w:val="auto"/>
              </w:rPr>
            </w:pPr>
          </w:p>
        </w:tc>
      </w:tr>
      <w:tr>
        <w:trPr>
          <w:trHeight w:val="229"/>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Commercial mortgage backed - agency</w:t>
            </w:r>
          </w:p>
        </w:tc>
        <w:tc>
          <w:tcPr>
            <w:tcW w:w="24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34,080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1,294</w:t>
            </w:r>
          </w:p>
        </w:tc>
        <w:tc>
          <w:tcPr>
            <w:tcW w:w="0" w:type="dxa"/>
            <w:vAlign w:val="bottom"/>
          </w:tcPr>
          <w:p>
            <w:pPr>
              <w:spacing w:after="0"/>
              <w:rPr>
                <w:sz w:val="1"/>
                <w:szCs w:val="1"/>
                <w:color w:val="auto"/>
              </w:rPr>
            </w:pPr>
          </w:p>
        </w:tc>
      </w:tr>
      <w:tr>
        <w:trPr>
          <w:trHeight w:val="229"/>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Commercial mortgage backed - non-agency</w:t>
            </w: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23,437</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153,625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6,139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6,393</w:t>
            </w:r>
          </w:p>
        </w:tc>
        <w:tc>
          <w:tcPr>
            <w:tcW w:w="0" w:type="dxa"/>
            <w:vAlign w:val="bottom"/>
          </w:tcPr>
          <w:p>
            <w:pPr>
              <w:spacing w:after="0"/>
              <w:rPr>
                <w:sz w:val="1"/>
                <w:szCs w:val="1"/>
                <w:color w:val="auto"/>
              </w:rPr>
            </w:pPr>
          </w:p>
        </w:tc>
      </w:tr>
      <w:tr>
        <w:trPr>
          <w:trHeight w:val="230"/>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Asset-backed</w:t>
            </w: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3,721</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56,106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1,402</w:t>
            </w:r>
          </w:p>
        </w:tc>
        <w:tc>
          <w:tcPr>
            <w:tcW w:w="0" w:type="dxa"/>
            <w:vAlign w:val="bottom"/>
          </w:tcPr>
          <w:p>
            <w:pPr>
              <w:spacing w:after="0"/>
              <w:rPr>
                <w:sz w:val="1"/>
                <w:szCs w:val="1"/>
                <w:color w:val="auto"/>
              </w:rPr>
            </w:pPr>
          </w:p>
        </w:tc>
      </w:tr>
      <w:tr>
        <w:trPr>
          <w:trHeight w:val="229"/>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8,014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1,486</w:t>
            </w:r>
          </w:p>
        </w:tc>
        <w:tc>
          <w:tcPr>
            <w:tcW w:w="0" w:type="dxa"/>
            <w:vAlign w:val="bottom"/>
          </w:tcPr>
          <w:p>
            <w:pPr>
              <w:spacing w:after="0"/>
              <w:rPr>
                <w:sz w:val="1"/>
                <w:szCs w:val="1"/>
                <w:color w:val="auto"/>
              </w:rPr>
            </w:pPr>
          </w:p>
        </w:tc>
      </w:tr>
      <w:tr>
        <w:trPr>
          <w:trHeight w:val="223"/>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28,327</w:t>
            </w:r>
          </w:p>
        </w:tc>
        <w:tc>
          <w:tcPr>
            <w:tcW w:w="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279</w:t>
            </w:r>
          </w:p>
        </w:tc>
        <w:tc>
          <w:tcPr>
            <w:tcW w:w="1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1,194,396</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123,946</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124,225</w:t>
            </w:r>
          </w:p>
        </w:tc>
        <w:tc>
          <w:tcPr>
            <w:tcW w:w="0" w:type="dxa"/>
            <w:vAlign w:val="bottom"/>
          </w:tcPr>
          <w:p>
            <w:pPr>
              <w:spacing w:after="0"/>
              <w:rPr>
                <w:sz w:val="1"/>
                <w:szCs w:val="1"/>
                <w:color w:val="auto"/>
              </w:rPr>
            </w:pPr>
          </w:p>
        </w:tc>
      </w:tr>
    </w:tbl>
    <w:p>
      <w:pPr>
        <w:spacing w:after="0" w:line="23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is required to conduct an impairment evaluation on AFS securities to determine whether the Company has the intent to sell the security or it is more likely than not that it will be required to sell the security before recovery. If these situations apply, the guidance requires the Company to reduce the security's amortized cost basis down to its fair value through earnings. The Company also evaluates the unrealized losses on AFS securities to determine if a security's decline in fair value below its amortized cost basis is due to credit factors. The evaluation is based upon factors such as the creditworthiness of the underlying borrowers, performance of the underlying collateral, if applicable, and the level of credit support in the security structure. Management also evaluates other factors and circumstances that may be indicative of a decline in the fair value of the security due to a credit factor.</w:t>
      </w:r>
    </w:p>
    <w:p>
      <w:pPr>
        <w:spacing w:after="0" w:line="13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This includes, but is not limited to, an evaluation of the type of security, length of time and extent to which the fair value has been less than cost, and near-term prospects of the issuer. If this assessment indicates that a credit loss exists, the present value of the expected cash flows of the security is compared to the amortized cost basis of the security. If the present value of the cash flows expected to be collected is less than the amortized cost, an allowance for credit losses (“ACL”) is recorded for the credit loss, limited by the amount that the fair value is less than the amortized cost basis under the current expected credit loss (“CECL”) standard, and declines due to non-credit factors are recorded in accumulated other comprehensive income (“AOCI”), net of taxes. If a credit loss is recognized in earnings, subsequent improvements to the expectation of collectability will be recognized through the ACL. If the fair value of the security increases above its amortized cost, the unrealized gain will be recorded in accumulated other comprehensive income, net of taxes, in the consolidated statements of financial condition. Prior to implementation of the CECL standard, unrealized losses caused by a credit event would require the direct write-down of the AFS security through the other-than-temporary impairment approach.</w:t>
      </w:r>
    </w:p>
    <w:p>
      <w:pPr>
        <w:spacing w:after="0" w:line="13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did not record an ACL on the AFS securities as of June 30, 2024 or December 31, 2023. The Company considers the unrealized losses on the AFS securities to be related to fluctuations in market conditions, primarily interest rates, and not reflective of deterioration in credit. The Company had 445 securities in an unrealized loss position as of June 30, 2024. The Company has evaluated AFS securities in an unrealized loss position for credit-related impairment at June 30, 2024, and concluded no impairment existed based on a combination of factors, which included: (1) the securities are of high credit quality, (2) unrealized losses are primarily the result of market volatility and increases in market interest rates, (3) the contractual terms of the investments do not permit the issuer(s) to settle the securities at a price less than the par value of each investment, (4) issuers continue to make timely principal and interest payments, and (5) the Company does not intend to sell any of the investments and the accounting standard of “more likely than not” has not been met for the Company to be required to sell any of the investments before recovery of its amortized cost basis. As such, there was no ACL on AFS securities at June 30, 2024.</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Securities of U.S. Treasury and Federal Agencies and Federal Agency Mortgage (Residential and Commercial) Backed Securities</w:t>
      </w:r>
    </w:p>
    <w:p>
      <w:pPr>
        <w:spacing w:after="0" w:line="175"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At June 30, 2024, the unrealized losses associated with 11 U.S. Treasuries and Government Agency securities, 16 Residential Mortgage Backed – Agency securities, and 15 Commercial Mortgage Backed – Agency securities were generally driven by changes in interest rates and not due to credit losses given the explicit or implicit guarantees provided</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Securities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right="400"/>
        <w:spacing w:after="0" w:line="438" w:lineRule="auto"/>
        <w:rPr>
          <w:sz w:val="20"/>
          <w:szCs w:val="20"/>
          <w:color w:val="auto"/>
        </w:rPr>
      </w:pPr>
      <w:r>
        <w:rPr>
          <w:rFonts w:ascii="Times New Roman" w:cs="Times New Roman" w:eastAsia="Times New Roman" w:hAnsi="Times New Roman"/>
          <w:sz w:val="18"/>
          <w:szCs w:val="18"/>
          <w:color w:val="auto"/>
        </w:rPr>
        <w:t xml:space="preserve">by the U.S. government. Therefore, the Company has concluded that the unrealized losses for these securities do not require an ACL at June 30, 2024. </w:t>
      </w:r>
      <w:r>
        <w:rPr>
          <w:rFonts w:ascii="Times New Roman" w:cs="Times New Roman" w:eastAsia="Times New Roman" w:hAnsi="Times New Roman"/>
          <w:sz w:val="18"/>
          <w:szCs w:val="18"/>
          <w:b w:val="1"/>
          <w:bCs w:val="1"/>
          <w:color w:val="auto"/>
        </w:rPr>
        <w:t>Securities of U.S. States and Municipalities</w:t>
      </w:r>
    </w:p>
    <w:p>
      <w:pPr>
        <w:spacing w:after="0" w:line="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At June 30, 2024, the unrealized losses associated with 257 State and Municipal securities were primarily caused by changes in interest rates and not the credit quality of the securities. These securities are investment grade and were generally underwritten in accordance with our own investment standards prior to the decision to purchase, without relying on a bond insurer’s guarantee in making the investment decision. These securities will continue to be monitored as part of our ongoing impairment analysis but are expected to perform, even if the rating agencies reduce the credit rating of the bond insurers. As a result, we expect to recover the entire amortized cost basis of these securities. Therefore, the Company has concluded that the unrealized losses for these securities do not require an ACL at June 30, 2024.</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Residential &amp; Commercial Mortgage Backed – Non-Agency Securities</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At June 30, 2024, the unrealized losses associated with 84 Residential Mortgage Backed – Non-Agency securities and 31 Commercial Mortgage Backed – Non-Agency securities were generally driven by changes in interest rates, credit spreads, and projected collateral losses. We assess for credit impairment by estimating the present value of expected cash flows. The key assumptions for determining expected cash flows include default rates, loss severities, and/or prepayment rates. Based on our assessment of the expected credit losses and the credit enhancement level of the securities, we expect to recover the entire amortized cost of these securities. Therefore, the Company has concluded that the unrealized losses for these securities do not require an ACL at June 30, 2024.</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Asset-Backed Securities</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At June 30, 2024, the unrealized losses associated with 19 Asset-Backed securities were generally driven by changes in interest rates, credit spreads, and projected collateral losses. We assess for credit impairment by estimating the present value of expected cash flows. The key assumptions for determining expected cash flows include default rates, loss severities, and/or prepayment rates. Based on our assessment of the expected credit losses and the credit enhancement level of the securities, we expect to recover the entire amortized cost of these securities. Therefore, the Company has concluded that the unrealized losses for these securities do not require an ACL at June 30, 2024.</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Securities</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At June 30, 2024, the unrealized losses associated with 12 securities were primarily driven by interest rates and not the credit quality of the securities. These investments were underwritten in accordance with our own investment standards prior to the decision to purchase, without relying on a bond insurer’s guarantee in making the investment decision. Based on our assessment of the expected credit losses, we expect to recover the entire amortized cost basis of the securities. Therefore, the Company has concluded that the unrealized losses for these securities do not require an ACL at June 30, 2024.</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at cost</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Company’s investment in Federal Home Loan Bank (“FHLB”) stock totaled $15.1 million and $5.9 million at June 30, 2024, and December 31, 2023, respectively. FHLB stock is generally viewed as a long-term investment and as a restricted investment security, which is carried at cost, because there is no market for the stock other than the FHLB or member institutions. Therefore, when evaluating FHLB stock for impairment, its value is based on the ultimate recoverability of the par value rather than by recognizing temporary declines in value. The Company does not consider this investment to be impaired at June 30, 2024, and no impairment has been recognized. FHLB stock is included in a separate line item Restricted stock, at cost on the Consolidated Balance Sheets and is not part of the Company’s AFS securities portfolio. The Company’s Restricted stock line item on the Consolidated Balance Sheets also includes an investment in Community Bankers’ Bank, totaling $50 thousand at both June 30, 2024, and December 31, 2023, which is carried at cost and is not impaired at June 30, 2024.</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Loans</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loan portfolio segments, as reported in the tables below, include (i) commercial real estate, (ii) owner-occupied commercial real estate, (iii) acquisition, construction &amp; development, (iv) commercial &amp; industrial, (v) single family residential (1-4 units), and (vi) consumer non-real estate and other. The risks associated with lending activities differ</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Loans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among the various loan segments and are subject to the impact of changes in interest rates, market conditions of collateral securing the loans, and general economic conditions.</w:t>
      </w:r>
    </w:p>
    <w:p>
      <w:pPr>
        <w:spacing w:after="0" w:line="108" w:lineRule="exact"/>
        <w:rPr>
          <w:sz w:val="20"/>
          <w:szCs w:val="20"/>
          <w:color w:val="auto"/>
        </w:rPr>
      </w:pPr>
    </w:p>
    <w:p>
      <w:pPr>
        <w:ind w:left="660" w:hanging="328"/>
        <w:spacing w:after="0" w:line="28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Commercial real estate loans carry risk associated with either the net operating income generated from the lease of the real estate collateral or income generated from the sale of the collateral. Other risk factors include the credit-worthiness of the sponsor and the value of the collateral.</w:t>
      </w:r>
    </w:p>
    <w:p>
      <w:pPr>
        <w:spacing w:after="0" w:line="10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Owner-occupied commercial real estate loans carry risk associated with the operations of the business that occupies the property and the value of the collateral.</w:t>
      </w:r>
    </w:p>
    <w:p>
      <w:pPr>
        <w:spacing w:after="0" w:line="10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Acquisition, construction &amp; development loans carry risk associated with the credit-worthiness of the borrower, project completion within budget, sale after completion, and the value of the collateral.</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Commercial &amp; industrial loans carry the risk associated with the operations of the business and the value of the collateral, if any.</w:t>
      </w:r>
    </w:p>
    <w:p>
      <w:pPr>
        <w:spacing w:after="0" w:line="171"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Single family residential (1-4 units) loans for consumer purposes carry risk associated with the continued credit-worthiness of the borrower and the value of the collateral. Single family residential (1-4 units) loans for investment purpose carry risk associated with the continued credit-worthiness of the borrower, the value of the collateral, and either the net operating income generated from the lease of the real estate collateral or income generated from the sale of the collateral.</w:t>
      </w:r>
    </w:p>
    <w:p>
      <w:pPr>
        <w:spacing w:after="0" w:line="125"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Consumer non-real estate and other loans, which includes overdrafts, carry risk associated with the credit-worthiness of the borrower and the value of the collateral, if any.</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Loan balances as of June 30, 2024, and December 31, 2023, by portfolio segment were as follows (in thousands):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5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2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220" w:type="dxa"/>
            <w:vAlign w:val="bottom"/>
          </w:tcPr>
          <w:p>
            <w:pPr>
              <w:spacing w:after="0"/>
              <w:rPr>
                <w:sz w:val="16"/>
                <w:szCs w:val="16"/>
                <w:color w:val="auto"/>
              </w:rPr>
            </w:pPr>
          </w:p>
        </w:tc>
        <w:tc>
          <w:tcPr>
            <w:tcW w:w="1600" w:type="dxa"/>
            <w:vAlign w:val="bottom"/>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23"/>
        </w:trPr>
        <w:tc>
          <w:tcPr>
            <w:tcW w:w="75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23"/>
        </w:trPr>
        <w:tc>
          <w:tcPr>
            <w:tcW w:w="7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Commercial real estate</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2,543,668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1,309,084</w:t>
            </w:r>
          </w:p>
        </w:tc>
      </w:tr>
      <w:tr>
        <w:trPr>
          <w:trHeight w:val="230"/>
        </w:trPr>
        <w:tc>
          <w:tcPr>
            <w:tcW w:w="7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Owner-occupied commercial real estate</w:t>
            </w:r>
          </w:p>
        </w:tc>
        <w:tc>
          <w:tcPr>
            <w:tcW w:w="3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626,375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131,381</w:t>
            </w:r>
          </w:p>
        </w:tc>
      </w:tr>
      <w:tr>
        <w:trPr>
          <w:trHeight w:val="229"/>
        </w:trPr>
        <w:tc>
          <w:tcPr>
            <w:tcW w:w="7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Acquisition, construction &amp; development</w:t>
            </w:r>
          </w:p>
        </w:tc>
        <w:tc>
          <w:tcPr>
            <w:tcW w:w="3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479,937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49,091</w:t>
            </w:r>
          </w:p>
        </w:tc>
      </w:tr>
      <w:tr>
        <w:trPr>
          <w:trHeight w:val="230"/>
        </w:trPr>
        <w:tc>
          <w:tcPr>
            <w:tcW w:w="7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Commercial &amp; industrial</w:t>
            </w:r>
          </w:p>
        </w:tc>
        <w:tc>
          <w:tcPr>
            <w:tcW w:w="3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499,892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67,847</w:t>
            </w:r>
          </w:p>
        </w:tc>
      </w:tr>
      <w:tr>
        <w:trPr>
          <w:trHeight w:val="230"/>
        </w:trPr>
        <w:tc>
          <w:tcPr>
            <w:tcW w:w="7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Single family residential (1-4 units)</w:t>
            </w:r>
          </w:p>
        </w:tc>
        <w:tc>
          <w:tcPr>
            <w:tcW w:w="3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1,219,984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527,980</w:t>
            </w:r>
          </w:p>
        </w:tc>
      </w:tr>
      <w:tr>
        <w:trPr>
          <w:trHeight w:val="230"/>
        </w:trPr>
        <w:tc>
          <w:tcPr>
            <w:tcW w:w="7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Consumer non-real estate and other</w:t>
            </w:r>
          </w:p>
        </w:tc>
        <w:tc>
          <w:tcPr>
            <w:tcW w:w="30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246,868</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2,373</w:t>
            </w:r>
          </w:p>
        </w:tc>
      </w:tr>
      <w:tr>
        <w:trPr>
          <w:trHeight w:val="223"/>
        </w:trPr>
        <w:tc>
          <w:tcPr>
            <w:tcW w:w="7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Loans, gross</w:t>
            </w:r>
          </w:p>
        </w:tc>
        <w:tc>
          <w:tcPr>
            <w:tcW w:w="3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5,616,724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2,087,756</w:t>
            </w:r>
          </w:p>
        </w:tc>
      </w:tr>
      <w:tr>
        <w:trPr>
          <w:trHeight w:val="230"/>
        </w:trPr>
        <w:tc>
          <w:tcPr>
            <w:tcW w:w="7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Allowance for credit losses</w:t>
            </w:r>
          </w:p>
        </w:tc>
        <w:tc>
          <w:tcPr>
            <w:tcW w:w="30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(68,017)</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(25,301)</w:t>
            </w:r>
          </w:p>
        </w:tc>
      </w:tr>
      <w:tr>
        <w:trPr>
          <w:trHeight w:val="223"/>
        </w:trPr>
        <w:tc>
          <w:tcPr>
            <w:tcW w:w="7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Loans, net</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5,548,707</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2,062,455</w:t>
            </w:r>
          </w:p>
        </w:tc>
      </w:tr>
    </w:tbl>
    <w:p>
      <w:pPr>
        <w:spacing w:after="0" w:line="23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Net deferred loan fees included in the above loan categories totaled $3.2 million and $3.5 million at June 30, 2024, and December 31, 2023, respectively. The Company holds $1.0 million and $3.0 million in Paycheck Protection Program loans, net of deferred fees and costs, as of June 30, 2024, and December 31, 2023, respectively.</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Allowance for Credit Losses</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January 1, 2023, the Company adopted the CECL methodology as required under Accounting Standards Codification (“ASC”) 326. The measurement of expected credit losses under the CECL methodology is applicable to financial assets measured at amortized cost, including loan receivables. All information presented as of June 30, 2024, is in accordance with ASC 326.</w:t>
      </w:r>
    </w:p>
    <w:p>
      <w:pPr>
        <w:spacing w:after="0" w:line="12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Company’s ACL is calculated quarterly, with any adjustment recorded to the provision for credit losses in the Consolidated Statement of Income. Management calculates the quantitative portion of collectively evaluated loans for all loan categories using the weighted average remaining maturity (“WARM”) method. For purposes of estimating the Company’s ACL, management generally evaluates collectively evaluated loans by federal call code in order to group loans with similar risk characteristics.</w:t>
      </w:r>
    </w:p>
    <w:p>
      <w:pPr>
        <w:spacing w:after="0" w:line="12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Loans that do not share similar risk characteristics are evaluated on an individual loan basis and are excluded from the collective evaluation for the ACL. Loans identified to be individually evaluated under CECL include loans on non-accrual</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Allowance for Credit Losses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status and may include accruing loans that do not share similar risk characteristics to other accruing loans that are collectively evaluated on a loan pool basis. A specific reserve analysis may be applied to the individually evaluated loans, which considers collateral value, an observable market price, or the present value of the expected future cash flows. A specific reserve is assigned if the measured value of the loan using one of the before mentioned methods is less than the carrying value of the loan.</w:t>
      </w:r>
    </w:p>
    <w:p>
      <w:pPr>
        <w:spacing w:after="0" w:line="12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Based on management’s analysis, adjustments may be applied for additional factors impacting the risk of loss in the loan portfolio beyond the information that is used to calculate a reasonable and supportable forecast and a reversion period forecast on collectively evaluated loans. Management may consider an additional or reduced reserve as warranted through qualitative risk factors based on the current and expected conditions as measured in supplemental information relative to the macroeconomic variable loss drivers used to calculate a reasonable and supportable forecast and a reversion period forecast. These qualitative risk factors considered by management are largely comparable to legacy factors prior to the adoption of CECL.</w:t>
      </w:r>
    </w:p>
    <w:p>
      <w:pPr>
        <w:spacing w:after="0" w:line="1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tables present the activity in the ACL for the three months and six months ended June 30, 2024, and for the three months and six months ended June 30, 2023, including the impact of the adoption of CECL for the six months ended June 30, 2023, and the impact of the allowance established for PCD loans for the three months and six months ended June 30, 2024, (in thousands).</w:t>
      </w:r>
    </w:p>
    <w:p>
      <w:pPr>
        <w:spacing w:after="0" w:line="38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100" w:type="dxa"/>
            <w:vAlign w:val="bottom"/>
          </w:tcPr>
          <w:p>
            <w:pPr>
              <w:spacing w:after="0"/>
              <w:rPr>
                <w:sz w:val="12"/>
                <w:szCs w:val="12"/>
                <w:color w:val="auto"/>
              </w:rPr>
            </w:pPr>
          </w:p>
        </w:tc>
        <w:tc>
          <w:tcPr>
            <w:tcW w:w="1140" w:type="dxa"/>
            <w:vAlign w:val="bottom"/>
            <w:gridSpan w:val="3"/>
            <w:vMerge w:val="restart"/>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6"/>
              </w:rPr>
              <w:t>Commercial real</w:t>
            </w:r>
          </w:p>
        </w:tc>
        <w:tc>
          <w:tcPr>
            <w:tcW w:w="100" w:type="dxa"/>
            <w:vAlign w:val="bottom"/>
          </w:tcPr>
          <w:p>
            <w:pPr>
              <w:spacing w:after="0"/>
              <w:rPr>
                <w:sz w:val="12"/>
                <w:szCs w:val="12"/>
                <w:color w:val="auto"/>
              </w:rPr>
            </w:pPr>
          </w:p>
        </w:tc>
        <w:tc>
          <w:tcPr>
            <w:tcW w:w="106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5"/>
              </w:rPr>
              <w:t>Owner-occupied</w:t>
            </w:r>
          </w:p>
        </w:tc>
        <w:tc>
          <w:tcPr>
            <w:tcW w:w="100" w:type="dxa"/>
            <w:vAlign w:val="bottom"/>
          </w:tcPr>
          <w:p>
            <w:pPr>
              <w:spacing w:after="0"/>
              <w:rPr>
                <w:sz w:val="12"/>
                <w:szCs w:val="12"/>
                <w:color w:val="auto"/>
              </w:rPr>
            </w:pPr>
          </w:p>
        </w:tc>
        <w:tc>
          <w:tcPr>
            <w:tcW w:w="106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8"/>
              </w:rPr>
              <w:t>Acquisition,</w:t>
            </w:r>
          </w:p>
        </w:tc>
        <w:tc>
          <w:tcPr>
            <w:tcW w:w="100" w:type="dxa"/>
            <w:vAlign w:val="bottom"/>
          </w:tcPr>
          <w:p>
            <w:pPr>
              <w:spacing w:after="0"/>
              <w:rPr>
                <w:sz w:val="12"/>
                <w:szCs w:val="12"/>
                <w:color w:val="auto"/>
              </w:rPr>
            </w:pPr>
          </w:p>
        </w:tc>
        <w:tc>
          <w:tcPr>
            <w:tcW w:w="106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4"/>
              </w:rPr>
              <w:t>Commercial &amp;</w:t>
            </w:r>
          </w:p>
        </w:tc>
        <w:tc>
          <w:tcPr>
            <w:tcW w:w="100" w:type="dxa"/>
            <w:vAlign w:val="bottom"/>
          </w:tcPr>
          <w:p>
            <w:pPr>
              <w:spacing w:after="0"/>
              <w:rPr>
                <w:sz w:val="12"/>
                <w:szCs w:val="12"/>
                <w:color w:val="auto"/>
              </w:rPr>
            </w:pPr>
          </w:p>
        </w:tc>
        <w:tc>
          <w:tcPr>
            <w:tcW w:w="104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6"/>
              </w:rPr>
              <w:t>Single family</w:t>
            </w:r>
          </w:p>
        </w:tc>
        <w:tc>
          <w:tcPr>
            <w:tcW w:w="100" w:type="dxa"/>
            <w:vAlign w:val="bottom"/>
          </w:tcPr>
          <w:p>
            <w:pPr>
              <w:spacing w:after="0"/>
              <w:rPr>
                <w:sz w:val="12"/>
                <w:szCs w:val="12"/>
                <w:color w:val="auto"/>
              </w:rPr>
            </w:pPr>
          </w:p>
        </w:tc>
        <w:tc>
          <w:tcPr>
            <w:tcW w:w="106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7"/>
              </w:rPr>
              <w:t>Consumer non-</w:t>
            </w: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2"/>
        </w:trPr>
        <w:tc>
          <w:tcPr>
            <w:tcW w:w="2100" w:type="dxa"/>
            <w:vAlign w:val="bottom"/>
          </w:tcPr>
          <w:p>
            <w:pPr>
              <w:spacing w:after="0"/>
              <w:rPr>
                <w:sz w:val="10"/>
                <w:szCs w:val="10"/>
                <w:color w:val="auto"/>
              </w:rPr>
            </w:pPr>
          </w:p>
        </w:tc>
        <w:tc>
          <w:tcPr>
            <w:tcW w:w="1140" w:type="dxa"/>
            <w:vAlign w:val="bottom"/>
            <w:gridSpan w:val="3"/>
            <w:vMerge w:val="continue"/>
          </w:tcPr>
          <w:p>
            <w:pPr>
              <w:spacing w:after="0"/>
              <w:rPr>
                <w:sz w:val="10"/>
                <w:szCs w:val="10"/>
                <w:color w:val="auto"/>
              </w:rPr>
            </w:pPr>
          </w:p>
        </w:tc>
        <w:tc>
          <w:tcPr>
            <w:tcW w:w="100" w:type="dxa"/>
            <w:vAlign w:val="bottom"/>
          </w:tcPr>
          <w:p>
            <w:pPr>
              <w:spacing w:after="0"/>
              <w:rPr>
                <w:sz w:val="10"/>
                <w:szCs w:val="10"/>
                <w:color w:val="auto"/>
              </w:rPr>
            </w:pPr>
          </w:p>
        </w:tc>
        <w:tc>
          <w:tcPr>
            <w:tcW w:w="1060" w:type="dxa"/>
            <w:vAlign w:val="bottom"/>
            <w:gridSpan w:val="2"/>
          </w:tcPr>
          <w:p>
            <w:pPr>
              <w:jc w:val="center"/>
              <w:ind w:right="200"/>
              <w:spacing w:after="0" w:line="122" w:lineRule="exact"/>
              <w:rPr>
                <w:sz w:val="20"/>
                <w:szCs w:val="20"/>
                <w:color w:val="auto"/>
              </w:rPr>
            </w:pPr>
            <w:r>
              <w:rPr>
                <w:rFonts w:ascii="Times New Roman" w:cs="Times New Roman" w:eastAsia="Times New Roman" w:hAnsi="Times New Roman"/>
                <w:sz w:val="13"/>
                <w:szCs w:val="13"/>
                <w:b w:val="1"/>
                <w:bCs w:val="1"/>
                <w:color w:val="auto"/>
                <w:w w:val="95"/>
              </w:rPr>
              <w:t>commercial real</w:t>
            </w:r>
          </w:p>
        </w:tc>
        <w:tc>
          <w:tcPr>
            <w:tcW w:w="100" w:type="dxa"/>
            <w:vAlign w:val="bottom"/>
          </w:tcPr>
          <w:p>
            <w:pPr>
              <w:spacing w:after="0"/>
              <w:rPr>
                <w:sz w:val="10"/>
                <w:szCs w:val="10"/>
                <w:color w:val="auto"/>
              </w:rPr>
            </w:pPr>
          </w:p>
        </w:tc>
        <w:tc>
          <w:tcPr>
            <w:tcW w:w="1060" w:type="dxa"/>
            <w:vAlign w:val="bottom"/>
            <w:gridSpan w:val="2"/>
          </w:tcPr>
          <w:p>
            <w:pPr>
              <w:jc w:val="center"/>
              <w:ind w:right="200"/>
              <w:spacing w:after="0" w:line="122" w:lineRule="exact"/>
              <w:rPr>
                <w:sz w:val="20"/>
                <w:szCs w:val="20"/>
                <w:color w:val="auto"/>
              </w:rPr>
            </w:pPr>
            <w:r>
              <w:rPr>
                <w:rFonts w:ascii="Times New Roman" w:cs="Times New Roman" w:eastAsia="Times New Roman" w:hAnsi="Times New Roman"/>
                <w:sz w:val="13"/>
                <w:szCs w:val="13"/>
                <w:b w:val="1"/>
                <w:bCs w:val="1"/>
                <w:color w:val="auto"/>
                <w:w w:val="98"/>
              </w:rPr>
              <w:t>construction &amp;</w:t>
            </w:r>
          </w:p>
        </w:tc>
        <w:tc>
          <w:tcPr>
            <w:tcW w:w="100" w:type="dxa"/>
            <w:vAlign w:val="bottom"/>
          </w:tcPr>
          <w:p>
            <w:pPr>
              <w:spacing w:after="0"/>
              <w:rPr>
                <w:sz w:val="10"/>
                <w:szCs w:val="10"/>
                <w:color w:val="auto"/>
              </w:rPr>
            </w:pPr>
          </w:p>
        </w:tc>
        <w:tc>
          <w:tcPr>
            <w:tcW w:w="106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1040" w:type="dxa"/>
            <w:vAlign w:val="bottom"/>
            <w:gridSpan w:val="2"/>
          </w:tcPr>
          <w:p>
            <w:pPr>
              <w:jc w:val="center"/>
              <w:ind w:right="200"/>
              <w:spacing w:after="0" w:line="122" w:lineRule="exact"/>
              <w:rPr>
                <w:sz w:val="20"/>
                <w:szCs w:val="20"/>
                <w:color w:val="auto"/>
              </w:rPr>
            </w:pPr>
            <w:r>
              <w:rPr>
                <w:rFonts w:ascii="Times New Roman" w:cs="Times New Roman" w:eastAsia="Times New Roman" w:hAnsi="Times New Roman"/>
                <w:sz w:val="13"/>
                <w:szCs w:val="13"/>
                <w:b w:val="1"/>
                <w:bCs w:val="1"/>
                <w:color w:val="auto"/>
                <w:w w:val="95"/>
              </w:rPr>
              <w:t>residential (1-4</w:t>
            </w:r>
          </w:p>
        </w:tc>
        <w:tc>
          <w:tcPr>
            <w:tcW w:w="100" w:type="dxa"/>
            <w:vAlign w:val="bottom"/>
          </w:tcPr>
          <w:p>
            <w:pPr>
              <w:spacing w:after="0"/>
              <w:rPr>
                <w:sz w:val="10"/>
                <w:szCs w:val="10"/>
                <w:color w:val="auto"/>
              </w:rPr>
            </w:pPr>
          </w:p>
        </w:tc>
        <w:tc>
          <w:tcPr>
            <w:tcW w:w="1060" w:type="dxa"/>
            <w:vAlign w:val="bottom"/>
            <w:gridSpan w:val="2"/>
          </w:tcPr>
          <w:p>
            <w:pPr>
              <w:jc w:val="center"/>
              <w:ind w:right="200"/>
              <w:spacing w:after="0" w:line="122" w:lineRule="exact"/>
              <w:rPr>
                <w:sz w:val="20"/>
                <w:szCs w:val="20"/>
                <w:color w:val="auto"/>
              </w:rPr>
            </w:pPr>
            <w:r>
              <w:rPr>
                <w:rFonts w:ascii="Times New Roman" w:cs="Times New Roman" w:eastAsia="Times New Roman" w:hAnsi="Times New Roman"/>
                <w:sz w:val="13"/>
                <w:szCs w:val="13"/>
                <w:b w:val="1"/>
                <w:bCs w:val="1"/>
                <w:color w:val="auto"/>
                <w:w w:val="96"/>
              </w:rPr>
              <w:t>real estate and</w:t>
            </w:r>
          </w:p>
        </w:tc>
        <w:tc>
          <w:tcPr>
            <w:tcW w:w="1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3"/>
        </w:trPr>
        <w:tc>
          <w:tcPr>
            <w:tcW w:w="2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gridSpan w:val="2"/>
          </w:tcPr>
          <w:p>
            <w:pPr>
              <w:jc w:val="center"/>
              <w:ind w:right="300"/>
              <w:spacing w:after="0"/>
              <w:rPr>
                <w:sz w:val="20"/>
                <w:szCs w:val="20"/>
                <w:color w:val="auto"/>
              </w:rPr>
            </w:pPr>
            <w:r>
              <w:rPr>
                <w:rFonts w:ascii="Times New Roman" w:cs="Times New Roman" w:eastAsia="Times New Roman" w:hAnsi="Times New Roman"/>
                <w:sz w:val="13"/>
                <w:szCs w:val="13"/>
                <w:b w:val="1"/>
                <w:bCs w:val="1"/>
                <w:color w:val="auto"/>
                <w:w w:val="94"/>
              </w:rPr>
              <w:t>estate</w:t>
            </w:r>
          </w:p>
        </w:tc>
        <w:tc>
          <w:tcPr>
            <w:tcW w:w="100" w:type="dxa"/>
            <w:vAlign w:val="bottom"/>
          </w:tcPr>
          <w:p>
            <w:pPr>
              <w:spacing w:after="0"/>
              <w:rPr>
                <w:sz w:val="15"/>
                <w:szCs w:val="15"/>
                <w:color w:val="auto"/>
              </w:rPr>
            </w:pPr>
          </w:p>
        </w:tc>
        <w:tc>
          <w:tcPr>
            <w:tcW w:w="106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4"/>
              </w:rPr>
              <w:t>estate</w:t>
            </w:r>
          </w:p>
        </w:tc>
        <w:tc>
          <w:tcPr>
            <w:tcW w:w="100" w:type="dxa"/>
            <w:vAlign w:val="bottom"/>
          </w:tcPr>
          <w:p>
            <w:pPr>
              <w:spacing w:after="0"/>
              <w:rPr>
                <w:sz w:val="15"/>
                <w:szCs w:val="15"/>
                <w:color w:val="auto"/>
              </w:rPr>
            </w:pPr>
          </w:p>
        </w:tc>
        <w:tc>
          <w:tcPr>
            <w:tcW w:w="106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8"/>
              </w:rPr>
              <w:t>development</w:t>
            </w:r>
          </w:p>
        </w:tc>
        <w:tc>
          <w:tcPr>
            <w:tcW w:w="100" w:type="dxa"/>
            <w:vAlign w:val="bottom"/>
          </w:tcPr>
          <w:p>
            <w:pPr>
              <w:spacing w:after="0"/>
              <w:rPr>
                <w:sz w:val="15"/>
                <w:szCs w:val="15"/>
                <w:color w:val="auto"/>
              </w:rPr>
            </w:pPr>
          </w:p>
        </w:tc>
        <w:tc>
          <w:tcPr>
            <w:tcW w:w="106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9"/>
              </w:rPr>
              <w:t>industrial</w:t>
            </w:r>
          </w:p>
        </w:tc>
        <w:tc>
          <w:tcPr>
            <w:tcW w:w="100" w:type="dxa"/>
            <w:vAlign w:val="bottom"/>
          </w:tcPr>
          <w:p>
            <w:pPr>
              <w:spacing w:after="0"/>
              <w:rPr>
                <w:sz w:val="15"/>
                <w:szCs w:val="15"/>
                <w:color w:val="auto"/>
              </w:rPr>
            </w:pPr>
          </w:p>
        </w:tc>
        <w:tc>
          <w:tcPr>
            <w:tcW w:w="104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4"/>
              </w:rPr>
              <w:t>units)</w:t>
            </w:r>
          </w:p>
        </w:tc>
        <w:tc>
          <w:tcPr>
            <w:tcW w:w="100" w:type="dxa"/>
            <w:vAlign w:val="bottom"/>
          </w:tcPr>
          <w:p>
            <w:pPr>
              <w:spacing w:after="0"/>
              <w:rPr>
                <w:sz w:val="15"/>
                <w:szCs w:val="15"/>
                <w:color w:val="auto"/>
              </w:rPr>
            </w:pPr>
          </w:p>
        </w:tc>
        <w:tc>
          <w:tcPr>
            <w:tcW w:w="106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4"/>
              </w:rPr>
              <w:t>other</w:t>
            </w:r>
          </w:p>
        </w:tc>
        <w:tc>
          <w:tcPr>
            <w:tcW w:w="160" w:type="dxa"/>
            <w:vAlign w:val="bottom"/>
          </w:tcPr>
          <w:p>
            <w:pPr>
              <w:spacing w:after="0"/>
              <w:rPr>
                <w:sz w:val="15"/>
                <w:szCs w:val="15"/>
                <w:color w:val="auto"/>
              </w:rPr>
            </w:pPr>
          </w:p>
        </w:tc>
        <w:tc>
          <w:tcPr>
            <w:tcW w:w="1000" w:type="dxa"/>
            <w:vAlign w:val="bottom"/>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rPr>
              <w:t>Unallocated</w:t>
            </w:r>
          </w:p>
        </w:tc>
        <w:tc>
          <w:tcPr>
            <w:tcW w:w="240" w:type="dxa"/>
            <w:vAlign w:val="bottom"/>
          </w:tcPr>
          <w:p>
            <w:pPr>
              <w:spacing w:after="0"/>
              <w:rPr>
                <w:sz w:val="15"/>
                <w:szCs w:val="15"/>
                <w:color w:val="auto"/>
              </w:rPr>
            </w:pPr>
          </w:p>
        </w:tc>
        <w:tc>
          <w:tcPr>
            <w:tcW w:w="820" w:type="dxa"/>
            <w:vAlign w:val="bottom"/>
          </w:tcPr>
          <w:p>
            <w:pPr>
              <w:jc w:val="right"/>
              <w:ind w:right="317"/>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62"/>
        </w:trPr>
        <w:tc>
          <w:tcPr>
            <w:tcW w:w="21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Three months ended</w:t>
            </w:r>
          </w:p>
        </w:tc>
        <w:tc>
          <w:tcPr>
            <w:tcW w:w="220" w:type="dxa"/>
            <w:vAlign w:val="bottom"/>
            <w:tcBorders>
              <w:top w:val="single" w:sz="8" w:color="auto"/>
            </w:tcBorders>
            <w:shd w:val="clear" w:color="auto" w:fill="CCEEFF"/>
          </w:tcPr>
          <w:p>
            <w:pPr>
              <w:spacing w:after="0"/>
              <w:rPr>
                <w:sz w:val="14"/>
                <w:szCs w:val="14"/>
                <w:color w:val="auto"/>
              </w:rPr>
            </w:pPr>
          </w:p>
        </w:tc>
        <w:tc>
          <w:tcPr>
            <w:tcW w:w="84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9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9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9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96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98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92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spacing w:after="0"/>
              <w:rPr>
                <w:sz w:val="14"/>
                <w:szCs w:val="14"/>
                <w:color w:val="auto"/>
              </w:rPr>
            </w:pPr>
          </w:p>
        </w:tc>
        <w:tc>
          <w:tcPr>
            <w:tcW w:w="82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10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June 30, 2024</w:t>
            </w: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2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Balance, beginning of period</w:t>
            </w:r>
          </w:p>
        </w:tc>
        <w:tc>
          <w:tcPr>
            <w:tcW w:w="22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18,977</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782</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674</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824</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3,272</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77</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24,606</w:t>
            </w:r>
          </w:p>
        </w:tc>
        <w:tc>
          <w:tcPr>
            <w:tcW w:w="0" w:type="dxa"/>
            <w:vAlign w:val="bottom"/>
          </w:tcPr>
          <w:p>
            <w:pPr>
              <w:spacing w:after="0"/>
              <w:rPr>
                <w:sz w:val="1"/>
                <w:szCs w:val="1"/>
                <w:color w:val="auto"/>
              </w:rPr>
            </w:pPr>
          </w:p>
        </w:tc>
      </w:tr>
      <w:tr>
        <w:trPr>
          <w:trHeight w:val="122"/>
        </w:trPr>
        <w:tc>
          <w:tcPr>
            <w:tcW w:w="2100" w:type="dxa"/>
            <w:vAlign w:val="bottom"/>
          </w:tcPr>
          <w:p>
            <w:pPr>
              <w:ind w:left="140"/>
              <w:spacing w:after="0" w:line="122" w:lineRule="exact"/>
              <w:rPr>
                <w:sz w:val="20"/>
                <w:szCs w:val="20"/>
                <w:color w:val="auto"/>
              </w:rPr>
            </w:pPr>
            <w:r>
              <w:rPr>
                <w:rFonts w:ascii="Times New Roman" w:cs="Times New Roman" w:eastAsia="Times New Roman" w:hAnsi="Times New Roman"/>
                <w:sz w:val="13"/>
                <w:szCs w:val="13"/>
                <w:color w:val="auto"/>
              </w:rPr>
              <w:t>Allowance established for acquired</w:t>
            </w:r>
          </w:p>
        </w:tc>
        <w:tc>
          <w:tcPr>
            <w:tcW w:w="2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1"/>
        </w:trPr>
        <w:tc>
          <w:tcPr>
            <w:tcW w:w="210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PCD loans</w:t>
            </w:r>
          </w:p>
        </w:tc>
        <w:tc>
          <w:tcPr>
            <w:tcW w:w="2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7,503</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1,931</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5,968</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5,684</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2,608</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216</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gridSpan w:val="2"/>
          </w:tcPr>
          <w:p>
            <w:pPr>
              <w:ind w:left="72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23,910</w:t>
            </w:r>
          </w:p>
        </w:tc>
        <w:tc>
          <w:tcPr>
            <w:tcW w:w="0" w:type="dxa"/>
            <w:vAlign w:val="bottom"/>
          </w:tcPr>
          <w:p>
            <w:pPr>
              <w:spacing w:after="0"/>
              <w:rPr>
                <w:sz w:val="1"/>
                <w:szCs w:val="1"/>
                <w:color w:val="auto"/>
              </w:rPr>
            </w:pPr>
          </w:p>
        </w:tc>
      </w:tr>
      <w:tr>
        <w:trPr>
          <w:trHeight w:val="130"/>
        </w:trPr>
        <w:tc>
          <w:tcPr>
            <w:tcW w:w="2100" w:type="dxa"/>
            <w:vAlign w:val="bottom"/>
            <w:shd w:val="clear" w:color="auto" w:fill="CCEEFF"/>
          </w:tcPr>
          <w:p>
            <w:pPr>
              <w:ind w:left="140"/>
              <w:spacing w:after="0" w:line="129" w:lineRule="exact"/>
              <w:rPr>
                <w:sz w:val="20"/>
                <w:szCs w:val="20"/>
                <w:color w:val="auto"/>
              </w:rPr>
            </w:pPr>
            <w:r>
              <w:rPr>
                <w:rFonts w:ascii="Times New Roman" w:cs="Times New Roman" w:eastAsia="Times New Roman" w:hAnsi="Times New Roman"/>
                <w:sz w:val="13"/>
                <w:szCs w:val="13"/>
                <w:color w:val="auto"/>
              </w:rPr>
              <w:t>Provision for (recapture of) credit</w:t>
            </w:r>
          </w:p>
        </w:tc>
        <w:tc>
          <w:tcPr>
            <w:tcW w:w="2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2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losses</w:t>
            </w:r>
          </w:p>
        </w:tc>
        <w:tc>
          <w:tcPr>
            <w:tcW w:w="22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1,030</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2,327</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11,997</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(1,594)</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5,805</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535</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20,100</w:t>
            </w:r>
          </w:p>
        </w:tc>
        <w:tc>
          <w:tcPr>
            <w:tcW w:w="0" w:type="dxa"/>
            <w:vAlign w:val="bottom"/>
          </w:tcPr>
          <w:p>
            <w:pPr>
              <w:spacing w:after="0"/>
              <w:rPr>
                <w:sz w:val="1"/>
                <w:szCs w:val="1"/>
                <w:color w:val="auto"/>
              </w:rPr>
            </w:pPr>
          </w:p>
        </w:tc>
      </w:tr>
      <w:tr>
        <w:trPr>
          <w:trHeight w:val="170"/>
        </w:trPr>
        <w:tc>
          <w:tcPr>
            <w:tcW w:w="210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Charge-offs</w:t>
            </w:r>
          </w:p>
        </w:tc>
        <w:tc>
          <w:tcPr>
            <w:tcW w:w="2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(210)</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(146)</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(218)</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gridSpan w:val="2"/>
          </w:tcPr>
          <w:p>
            <w:pPr>
              <w:ind w:left="72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(611)</w:t>
            </w:r>
          </w:p>
        </w:tc>
        <w:tc>
          <w:tcPr>
            <w:tcW w:w="0" w:type="dxa"/>
            <w:vAlign w:val="bottom"/>
          </w:tcPr>
          <w:p>
            <w:pPr>
              <w:spacing w:after="0"/>
              <w:rPr>
                <w:sz w:val="1"/>
                <w:szCs w:val="1"/>
                <w:color w:val="auto"/>
              </w:rPr>
            </w:pPr>
          </w:p>
        </w:tc>
      </w:tr>
      <w:tr>
        <w:trPr>
          <w:trHeight w:val="181"/>
        </w:trPr>
        <w:tc>
          <w:tcPr>
            <w:tcW w:w="2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Recoveries</w:t>
            </w:r>
          </w:p>
        </w:tc>
        <w:tc>
          <w:tcPr>
            <w:tcW w:w="22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w:t>
            </w:r>
          </w:p>
        </w:tc>
        <w:tc>
          <w:tcPr>
            <w:tcW w:w="0" w:type="dxa"/>
            <w:vAlign w:val="bottom"/>
          </w:tcPr>
          <w:p>
            <w:pPr>
              <w:spacing w:after="0"/>
              <w:rPr>
                <w:sz w:val="1"/>
                <w:szCs w:val="1"/>
                <w:color w:val="auto"/>
              </w:rPr>
            </w:pPr>
          </w:p>
        </w:tc>
      </w:tr>
      <w:tr>
        <w:trPr>
          <w:trHeight w:val="163"/>
        </w:trPr>
        <w:tc>
          <w:tcPr>
            <w:tcW w:w="2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Balance, end of period</w:t>
            </w:r>
          </w:p>
        </w:tc>
        <w:tc>
          <w:tcPr>
            <w:tcW w:w="220" w:type="dxa"/>
            <w:vAlign w:val="bottom"/>
            <w:tcBorders>
              <w:top w:val="single" w:sz="8" w:color="auto"/>
              <w:bottom w:val="single" w:sz="8" w:color="auto"/>
            </w:tcBorders>
          </w:tcPr>
          <w:p>
            <w:pPr>
              <w:jc w:val="right"/>
              <w:ind w:right="77"/>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27,304</w:t>
            </w:r>
          </w:p>
        </w:tc>
        <w:tc>
          <w:tcPr>
            <w:tcW w:w="80" w:type="dxa"/>
            <w:vAlign w:val="bottom"/>
            <w:tcBorders>
              <w:bottom w:val="single" w:sz="8" w:color="CCEEFF"/>
            </w:tcBorders>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5,040</w:t>
            </w:r>
          </w:p>
        </w:tc>
        <w:tc>
          <w:tcPr>
            <w:tcW w:w="100" w:type="dxa"/>
            <w:vAlign w:val="bottom"/>
            <w:tcBorders>
              <w:bottom w:val="single" w:sz="8" w:color="CCEEFF"/>
            </w:tcBorders>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18,639</w:t>
            </w:r>
          </w:p>
        </w:tc>
        <w:tc>
          <w:tcPr>
            <w:tcW w:w="100" w:type="dxa"/>
            <w:vAlign w:val="bottom"/>
            <w:tcBorders>
              <w:bottom w:val="single" w:sz="8" w:color="CCEEFF"/>
            </w:tcBorders>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4,768</w:t>
            </w:r>
          </w:p>
        </w:tc>
        <w:tc>
          <w:tcPr>
            <w:tcW w:w="100" w:type="dxa"/>
            <w:vAlign w:val="bottom"/>
            <w:tcBorders>
              <w:bottom w:val="single" w:sz="8" w:color="CCEEFF"/>
            </w:tcBorders>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11,648</w:t>
            </w:r>
          </w:p>
        </w:tc>
        <w:tc>
          <w:tcPr>
            <w:tcW w:w="80" w:type="dxa"/>
            <w:vAlign w:val="bottom"/>
            <w:tcBorders>
              <w:bottom w:val="single" w:sz="8" w:color="CCEEFF"/>
            </w:tcBorders>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618</w:t>
            </w:r>
          </w:p>
        </w:tc>
        <w:tc>
          <w:tcPr>
            <w:tcW w:w="80" w:type="dxa"/>
            <w:vAlign w:val="bottom"/>
            <w:tcBorders>
              <w:bottom w:val="single" w:sz="8" w:color="CCEEFF"/>
            </w:tcBorders>
          </w:tcPr>
          <w:p>
            <w:pPr>
              <w:spacing w:after="0"/>
              <w:rPr>
                <w:sz w:val="14"/>
                <w:szCs w:val="14"/>
                <w:color w:val="auto"/>
              </w:rPr>
            </w:pPr>
          </w:p>
        </w:tc>
        <w:tc>
          <w:tcPr>
            <w:tcW w:w="160" w:type="dxa"/>
            <w:vAlign w:val="bottom"/>
            <w:tcBorders>
              <w:top w:val="single" w:sz="8" w:color="auto"/>
              <w:bottom w:val="single" w:sz="8" w:color="auto"/>
            </w:tcBorders>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tcBorders>
              <w:top w:val="single" w:sz="8" w:color="auto"/>
              <w:bottom w:val="single" w:sz="8" w:color="auto"/>
            </w:tcBorders>
          </w:tcPr>
          <w:p>
            <w:pPr>
              <w:ind w:left="7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CCEEFF"/>
            </w:tcBorders>
          </w:tcPr>
          <w:p>
            <w:pPr>
              <w:spacing w:after="0"/>
              <w:rPr>
                <w:sz w:val="14"/>
                <w:szCs w:val="14"/>
                <w:color w:val="auto"/>
              </w:rPr>
            </w:pPr>
          </w:p>
        </w:tc>
        <w:tc>
          <w:tcPr>
            <w:tcW w:w="240" w:type="dxa"/>
            <w:vAlign w:val="bottom"/>
            <w:tcBorders>
              <w:top w:val="single" w:sz="8" w:color="auto"/>
              <w:bottom w:val="single" w:sz="8" w:color="auto"/>
            </w:tcBorders>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68,017</w:t>
            </w:r>
          </w:p>
        </w:tc>
        <w:tc>
          <w:tcPr>
            <w:tcW w:w="0" w:type="dxa"/>
            <w:vAlign w:val="bottom"/>
          </w:tcPr>
          <w:p>
            <w:pPr>
              <w:spacing w:after="0"/>
              <w:rPr>
                <w:sz w:val="1"/>
                <w:szCs w:val="1"/>
                <w:color w:val="auto"/>
              </w:rPr>
            </w:pPr>
          </w:p>
        </w:tc>
      </w:tr>
      <w:tr>
        <w:trPr>
          <w:trHeight w:val="188"/>
        </w:trPr>
        <w:tc>
          <w:tcPr>
            <w:tcW w:w="2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210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June 30, 2023</w:t>
            </w: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2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Balance, beginning of period</w:t>
            </w:r>
          </w:p>
        </w:tc>
        <w:tc>
          <w:tcPr>
            <w:tcW w:w="22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18,409</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556</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1,852</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700</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4,030</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157</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25,704</w:t>
            </w:r>
          </w:p>
        </w:tc>
        <w:tc>
          <w:tcPr>
            <w:tcW w:w="0" w:type="dxa"/>
            <w:vAlign w:val="bottom"/>
          </w:tcPr>
          <w:p>
            <w:pPr>
              <w:spacing w:after="0"/>
              <w:rPr>
                <w:sz w:val="1"/>
                <w:szCs w:val="1"/>
                <w:color w:val="auto"/>
              </w:rPr>
            </w:pPr>
          </w:p>
        </w:tc>
      </w:tr>
      <w:tr>
        <w:trPr>
          <w:trHeight w:val="122"/>
        </w:trPr>
        <w:tc>
          <w:tcPr>
            <w:tcW w:w="2100" w:type="dxa"/>
            <w:vAlign w:val="bottom"/>
          </w:tcPr>
          <w:p>
            <w:pPr>
              <w:ind w:left="140"/>
              <w:spacing w:after="0" w:line="122" w:lineRule="exact"/>
              <w:rPr>
                <w:sz w:val="20"/>
                <w:szCs w:val="20"/>
                <w:color w:val="auto"/>
              </w:rPr>
            </w:pPr>
            <w:r>
              <w:rPr>
                <w:rFonts w:ascii="Times New Roman" w:cs="Times New Roman" w:eastAsia="Times New Roman" w:hAnsi="Times New Roman"/>
                <w:sz w:val="13"/>
                <w:szCs w:val="13"/>
                <w:color w:val="auto"/>
              </w:rPr>
              <w:t>Provision for (recapture of) credit</w:t>
            </w:r>
          </w:p>
        </w:tc>
        <w:tc>
          <w:tcPr>
            <w:tcW w:w="2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1"/>
        </w:trPr>
        <w:tc>
          <w:tcPr>
            <w:tcW w:w="210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losses</w:t>
            </w:r>
          </w:p>
        </w:tc>
        <w:tc>
          <w:tcPr>
            <w:tcW w:w="2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227</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163</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(533)</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(59)</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487</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gridSpan w:val="2"/>
          </w:tcPr>
          <w:p>
            <w:pPr>
              <w:ind w:left="72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310</w:t>
            </w:r>
          </w:p>
        </w:tc>
        <w:tc>
          <w:tcPr>
            <w:tcW w:w="0" w:type="dxa"/>
            <w:vAlign w:val="bottom"/>
          </w:tcPr>
          <w:p>
            <w:pPr>
              <w:spacing w:after="0"/>
              <w:rPr>
                <w:sz w:val="1"/>
                <w:szCs w:val="1"/>
                <w:color w:val="auto"/>
              </w:rPr>
            </w:pPr>
          </w:p>
        </w:tc>
      </w:tr>
      <w:tr>
        <w:trPr>
          <w:trHeight w:val="183"/>
        </w:trPr>
        <w:tc>
          <w:tcPr>
            <w:tcW w:w="2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Charge-offs</w:t>
            </w:r>
          </w:p>
        </w:tc>
        <w:tc>
          <w:tcPr>
            <w:tcW w:w="22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(75)</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(104)</w:t>
            </w:r>
          </w:p>
        </w:tc>
        <w:tc>
          <w:tcPr>
            <w:tcW w:w="0" w:type="dxa"/>
            <w:vAlign w:val="bottom"/>
          </w:tcPr>
          <w:p>
            <w:pPr>
              <w:spacing w:after="0"/>
              <w:rPr>
                <w:sz w:val="1"/>
                <w:szCs w:val="1"/>
                <w:color w:val="auto"/>
              </w:rPr>
            </w:pPr>
          </w:p>
        </w:tc>
      </w:tr>
      <w:tr>
        <w:trPr>
          <w:trHeight w:val="170"/>
        </w:trPr>
        <w:tc>
          <w:tcPr>
            <w:tcW w:w="210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Recoveries</w:t>
            </w:r>
          </w:p>
        </w:tc>
        <w:tc>
          <w:tcPr>
            <w:tcW w:w="2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gridSpan w:val="2"/>
          </w:tcPr>
          <w:p>
            <w:pPr>
              <w:ind w:left="72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w:t>
            </w:r>
          </w:p>
        </w:tc>
        <w:tc>
          <w:tcPr>
            <w:tcW w:w="0" w:type="dxa"/>
            <w:vAlign w:val="bottom"/>
          </w:tcPr>
          <w:p>
            <w:pPr>
              <w:spacing w:after="0"/>
              <w:rPr>
                <w:sz w:val="1"/>
                <w:szCs w:val="1"/>
                <w:color w:val="auto"/>
              </w:rPr>
            </w:pPr>
          </w:p>
        </w:tc>
      </w:tr>
      <w:tr>
        <w:trPr>
          <w:trHeight w:val="169"/>
        </w:trPr>
        <w:tc>
          <w:tcPr>
            <w:tcW w:w="21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Balance, end of period</w:t>
            </w:r>
          </w:p>
        </w:tc>
        <w:tc>
          <w:tcPr>
            <w:tcW w:w="220" w:type="dxa"/>
            <w:vAlign w:val="bottom"/>
            <w:tcBorders>
              <w:top w:val="single" w:sz="8" w:color="auto"/>
              <w:bottom w:val="single" w:sz="8" w:color="auto"/>
            </w:tcBorders>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18,639</w:t>
            </w:r>
          </w:p>
        </w:tc>
        <w:tc>
          <w:tcPr>
            <w:tcW w:w="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719</w:t>
            </w:r>
          </w:p>
        </w:tc>
        <w:tc>
          <w:tcPr>
            <w:tcW w:w="1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1,319</w:t>
            </w:r>
          </w:p>
        </w:tc>
        <w:tc>
          <w:tcPr>
            <w:tcW w:w="1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612</w:t>
            </w:r>
          </w:p>
        </w:tc>
        <w:tc>
          <w:tcPr>
            <w:tcW w:w="1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4,520</w:t>
            </w:r>
          </w:p>
        </w:tc>
        <w:tc>
          <w:tcPr>
            <w:tcW w:w="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110</w:t>
            </w:r>
          </w:p>
        </w:tc>
        <w:tc>
          <w:tcPr>
            <w:tcW w:w="8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bottom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tcBorders>
              <w:top w:val="single" w:sz="8" w:color="auto"/>
              <w:bottom w:val="single" w:sz="8" w:color="auto"/>
            </w:tcBorders>
            <w:shd w:val="clear" w:color="auto" w:fill="CCEEFF"/>
          </w:tcPr>
          <w:p>
            <w:pPr>
              <w:ind w:left="7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bottom w:val="single" w:sz="8" w:color="auto"/>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25,919</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Allowance for Credit Losses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100" w:type="dxa"/>
            <w:vAlign w:val="bottom"/>
          </w:tcPr>
          <w:p>
            <w:pPr>
              <w:spacing w:after="0"/>
              <w:rPr>
                <w:sz w:val="12"/>
                <w:szCs w:val="12"/>
                <w:color w:val="auto"/>
              </w:rPr>
            </w:pPr>
          </w:p>
        </w:tc>
        <w:tc>
          <w:tcPr>
            <w:tcW w:w="1140" w:type="dxa"/>
            <w:vAlign w:val="bottom"/>
            <w:gridSpan w:val="3"/>
            <w:vMerge w:val="restart"/>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6"/>
              </w:rPr>
              <w:t>Commercial real</w:t>
            </w:r>
          </w:p>
        </w:tc>
        <w:tc>
          <w:tcPr>
            <w:tcW w:w="100" w:type="dxa"/>
            <w:vAlign w:val="bottom"/>
          </w:tcPr>
          <w:p>
            <w:pPr>
              <w:spacing w:after="0"/>
              <w:rPr>
                <w:sz w:val="12"/>
                <w:szCs w:val="12"/>
                <w:color w:val="auto"/>
              </w:rPr>
            </w:pPr>
          </w:p>
        </w:tc>
        <w:tc>
          <w:tcPr>
            <w:tcW w:w="106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5"/>
              </w:rPr>
              <w:t>Owner-occupied</w:t>
            </w:r>
          </w:p>
        </w:tc>
        <w:tc>
          <w:tcPr>
            <w:tcW w:w="100" w:type="dxa"/>
            <w:vAlign w:val="bottom"/>
          </w:tcPr>
          <w:p>
            <w:pPr>
              <w:spacing w:after="0"/>
              <w:rPr>
                <w:sz w:val="12"/>
                <w:szCs w:val="12"/>
                <w:color w:val="auto"/>
              </w:rPr>
            </w:pPr>
          </w:p>
        </w:tc>
        <w:tc>
          <w:tcPr>
            <w:tcW w:w="106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8"/>
              </w:rPr>
              <w:t>Acquisition,</w:t>
            </w:r>
          </w:p>
        </w:tc>
        <w:tc>
          <w:tcPr>
            <w:tcW w:w="100" w:type="dxa"/>
            <w:vAlign w:val="bottom"/>
          </w:tcPr>
          <w:p>
            <w:pPr>
              <w:spacing w:after="0"/>
              <w:rPr>
                <w:sz w:val="12"/>
                <w:szCs w:val="12"/>
                <w:color w:val="auto"/>
              </w:rPr>
            </w:pPr>
          </w:p>
        </w:tc>
        <w:tc>
          <w:tcPr>
            <w:tcW w:w="106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4"/>
              </w:rPr>
              <w:t>Commercial &amp;</w:t>
            </w:r>
          </w:p>
        </w:tc>
        <w:tc>
          <w:tcPr>
            <w:tcW w:w="100" w:type="dxa"/>
            <w:vAlign w:val="bottom"/>
          </w:tcPr>
          <w:p>
            <w:pPr>
              <w:spacing w:after="0"/>
              <w:rPr>
                <w:sz w:val="12"/>
                <w:szCs w:val="12"/>
                <w:color w:val="auto"/>
              </w:rPr>
            </w:pPr>
          </w:p>
        </w:tc>
        <w:tc>
          <w:tcPr>
            <w:tcW w:w="104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6"/>
              </w:rPr>
              <w:t>Single family</w:t>
            </w:r>
          </w:p>
        </w:tc>
        <w:tc>
          <w:tcPr>
            <w:tcW w:w="100" w:type="dxa"/>
            <w:vAlign w:val="bottom"/>
          </w:tcPr>
          <w:p>
            <w:pPr>
              <w:spacing w:after="0"/>
              <w:rPr>
                <w:sz w:val="12"/>
                <w:szCs w:val="12"/>
                <w:color w:val="auto"/>
              </w:rPr>
            </w:pPr>
          </w:p>
        </w:tc>
        <w:tc>
          <w:tcPr>
            <w:tcW w:w="106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7"/>
              </w:rPr>
              <w:t>Consumer non-</w:t>
            </w: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2"/>
        </w:trPr>
        <w:tc>
          <w:tcPr>
            <w:tcW w:w="2100" w:type="dxa"/>
            <w:vAlign w:val="bottom"/>
          </w:tcPr>
          <w:p>
            <w:pPr>
              <w:spacing w:after="0"/>
              <w:rPr>
                <w:sz w:val="10"/>
                <w:szCs w:val="10"/>
                <w:color w:val="auto"/>
              </w:rPr>
            </w:pPr>
          </w:p>
        </w:tc>
        <w:tc>
          <w:tcPr>
            <w:tcW w:w="1140" w:type="dxa"/>
            <w:vAlign w:val="bottom"/>
            <w:gridSpan w:val="3"/>
            <w:vMerge w:val="continue"/>
          </w:tcPr>
          <w:p>
            <w:pPr>
              <w:spacing w:after="0"/>
              <w:rPr>
                <w:sz w:val="10"/>
                <w:szCs w:val="10"/>
                <w:color w:val="auto"/>
              </w:rPr>
            </w:pPr>
          </w:p>
        </w:tc>
        <w:tc>
          <w:tcPr>
            <w:tcW w:w="100" w:type="dxa"/>
            <w:vAlign w:val="bottom"/>
          </w:tcPr>
          <w:p>
            <w:pPr>
              <w:spacing w:after="0"/>
              <w:rPr>
                <w:sz w:val="10"/>
                <w:szCs w:val="10"/>
                <w:color w:val="auto"/>
              </w:rPr>
            </w:pPr>
          </w:p>
        </w:tc>
        <w:tc>
          <w:tcPr>
            <w:tcW w:w="1060" w:type="dxa"/>
            <w:vAlign w:val="bottom"/>
            <w:gridSpan w:val="2"/>
          </w:tcPr>
          <w:p>
            <w:pPr>
              <w:jc w:val="center"/>
              <w:ind w:right="200"/>
              <w:spacing w:after="0" w:line="122" w:lineRule="exact"/>
              <w:rPr>
                <w:sz w:val="20"/>
                <w:szCs w:val="20"/>
                <w:color w:val="auto"/>
              </w:rPr>
            </w:pPr>
            <w:r>
              <w:rPr>
                <w:rFonts w:ascii="Times New Roman" w:cs="Times New Roman" w:eastAsia="Times New Roman" w:hAnsi="Times New Roman"/>
                <w:sz w:val="13"/>
                <w:szCs w:val="13"/>
                <w:b w:val="1"/>
                <w:bCs w:val="1"/>
                <w:color w:val="auto"/>
                <w:w w:val="95"/>
              </w:rPr>
              <w:t>commercial real</w:t>
            </w:r>
          </w:p>
        </w:tc>
        <w:tc>
          <w:tcPr>
            <w:tcW w:w="100" w:type="dxa"/>
            <w:vAlign w:val="bottom"/>
          </w:tcPr>
          <w:p>
            <w:pPr>
              <w:spacing w:after="0"/>
              <w:rPr>
                <w:sz w:val="10"/>
                <w:szCs w:val="10"/>
                <w:color w:val="auto"/>
              </w:rPr>
            </w:pPr>
          </w:p>
        </w:tc>
        <w:tc>
          <w:tcPr>
            <w:tcW w:w="1060" w:type="dxa"/>
            <w:vAlign w:val="bottom"/>
            <w:gridSpan w:val="2"/>
          </w:tcPr>
          <w:p>
            <w:pPr>
              <w:jc w:val="center"/>
              <w:ind w:right="200"/>
              <w:spacing w:after="0" w:line="122" w:lineRule="exact"/>
              <w:rPr>
                <w:sz w:val="20"/>
                <w:szCs w:val="20"/>
                <w:color w:val="auto"/>
              </w:rPr>
            </w:pPr>
            <w:r>
              <w:rPr>
                <w:rFonts w:ascii="Times New Roman" w:cs="Times New Roman" w:eastAsia="Times New Roman" w:hAnsi="Times New Roman"/>
                <w:sz w:val="13"/>
                <w:szCs w:val="13"/>
                <w:b w:val="1"/>
                <w:bCs w:val="1"/>
                <w:color w:val="auto"/>
                <w:w w:val="98"/>
              </w:rPr>
              <w:t>construction &amp;</w:t>
            </w:r>
          </w:p>
        </w:tc>
        <w:tc>
          <w:tcPr>
            <w:tcW w:w="100" w:type="dxa"/>
            <w:vAlign w:val="bottom"/>
          </w:tcPr>
          <w:p>
            <w:pPr>
              <w:spacing w:after="0"/>
              <w:rPr>
                <w:sz w:val="10"/>
                <w:szCs w:val="10"/>
                <w:color w:val="auto"/>
              </w:rPr>
            </w:pPr>
          </w:p>
        </w:tc>
        <w:tc>
          <w:tcPr>
            <w:tcW w:w="106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1040" w:type="dxa"/>
            <w:vAlign w:val="bottom"/>
            <w:gridSpan w:val="2"/>
          </w:tcPr>
          <w:p>
            <w:pPr>
              <w:jc w:val="center"/>
              <w:ind w:right="200"/>
              <w:spacing w:after="0" w:line="122" w:lineRule="exact"/>
              <w:rPr>
                <w:sz w:val="20"/>
                <w:szCs w:val="20"/>
                <w:color w:val="auto"/>
              </w:rPr>
            </w:pPr>
            <w:r>
              <w:rPr>
                <w:rFonts w:ascii="Times New Roman" w:cs="Times New Roman" w:eastAsia="Times New Roman" w:hAnsi="Times New Roman"/>
                <w:sz w:val="13"/>
                <w:szCs w:val="13"/>
                <w:b w:val="1"/>
                <w:bCs w:val="1"/>
                <w:color w:val="auto"/>
                <w:w w:val="95"/>
              </w:rPr>
              <w:t>residential (1-4</w:t>
            </w:r>
          </w:p>
        </w:tc>
        <w:tc>
          <w:tcPr>
            <w:tcW w:w="100" w:type="dxa"/>
            <w:vAlign w:val="bottom"/>
          </w:tcPr>
          <w:p>
            <w:pPr>
              <w:spacing w:after="0"/>
              <w:rPr>
                <w:sz w:val="10"/>
                <w:szCs w:val="10"/>
                <w:color w:val="auto"/>
              </w:rPr>
            </w:pPr>
          </w:p>
        </w:tc>
        <w:tc>
          <w:tcPr>
            <w:tcW w:w="1060" w:type="dxa"/>
            <w:vAlign w:val="bottom"/>
            <w:gridSpan w:val="2"/>
          </w:tcPr>
          <w:p>
            <w:pPr>
              <w:jc w:val="center"/>
              <w:ind w:right="200"/>
              <w:spacing w:after="0" w:line="122" w:lineRule="exact"/>
              <w:rPr>
                <w:sz w:val="20"/>
                <w:szCs w:val="20"/>
                <w:color w:val="auto"/>
              </w:rPr>
            </w:pPr>
            <w:r>
              <w:rPr>
                <w:rFonts w:ascii="Times New Roman" w:cs="Times New Roman" w:eastAsia="Times New Roman" w:hAnsi="Times New Roman"/>
                <w:sz w:val="13"/>
                <w:szCs w:val="13"/>
                <w:b w:val="1"/>
                <w:bCs w:val="1"/>
                <w:color w:val="auto"/>
                <w:w w:val="96"/>
              </w:rPr>
              <w:t>real estate and</w:t>
            </w:r>
          </w:p>
        </w:tc>
        <w:tc>
          <w:tcPr>
            <w:tcW w:w="1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3"/>
        </w:trPr>
        <w:tc>
          <w:tcPr>
            <w:tcW w:w="2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gridSpan w:val="2"/>
          </w:tcPr>
          <w:p>
            <w:pPr>
              <w:jc w:val="center"/>
              <w:ind w:right="300"/>
              <w:spacing w:after="0"/>
              <w:rPr>
                <w:sz w:val="20"/>
                <w:szCs w:val="20"/>
                <w:color w:val="auto"/>
              </w:rPr>
            </w:pPr>
            <w:r>
              <w:rPr>
                <w:rFonts w:ascii="Times New Roman" w:cs="Times New Roman" w:eastAsia="Times New Roman" w:hAnsi="Times New Roman"/>
                <w:sz w:val="13"/>
                <w:szCs w:val="13"/>
                <w:b w:val="1"/>
                <w:bCs w:val="1"/>
                <w:color w:val="auto"/>
                <w:w w:val="94"/>
              </w:rPr>
              <w:t>estate</w:t>
            </w:r>
          </w:p>
        </w:tc>
        <w:tc>
          <w:tcPr>
            <w:tcW w:w="100" w:type="dxa"/>
            <w:vAlign w:val="bottom"/>
          </w:tcPr>
          <w:p>
            <w:pPr>
              <w:spacing w:after="0"/>
              <w:rPr>
                <w:sz w:val="15"/>
                <w:szCs w:val="15"/>
                <w:color w:val="auto"/>
              </w:rPr>
            </w:pPr>
          </w:p>
        </w:tc>
        <w:tc>
          <w:tcPr>
            <w:tcW w:w="106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4"/>
              </w:rPr>
              <w:t>estate</w:t>
            </w:r>
          </w:p>
        </w:tc>
        <w:tc>
          <w:tcPr>
            <w:tcW w:w="100" w:type="dxa"/>
            <w:vAlign w:val="bottom"/>
          </w:tcPr>
          <w:p>
            <w:pPr>
              <w:spacing w:after="0"/>
              <w:rPr>
                <w:sz w:val="15"/>
                <w:szCs w:val="15"/>
                <w:color w:val="auto"/>
              </w:rPr>
            </w:pPr>
          </w:p>
        </w:tc>
        <w:tc>
          <w:tcPr>
            <w:tcW w:w="106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8"/>
              </w:rPr>
              <w:t>development</w:t>
            </w:r>
          </w:p>
        </w:tc>
        <w:tc>
          <w:tcPr>
            <w:tcW w:w="100" w:type="dxa"/>
            <w:vAlign w:val="bottom"/>
          </w:tcPr>
          <w:p>
            <w:pPr>
              <w:spacing w:after="0"/>
              <w:rPr>
                <w:sz w:val="15"/>
                <w:szCs w:val="15"/>
                <w:color w:val="auto"/>
              </w:rPr>
            </w:pPr>
          </w:p>
        </w:tc>
        <w:tc>
          <w:tcPr>
            <w:tcW w:w="106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9"/>
              </w:rPr>
              <w:t>industrial</w:t>
            </w:r>
          </w:p>
        </w:tc>
        <w:tc>
          <w:tcPr>
            <w:tcW w:w="100" w:type="dxa"/>
            <w:vAlign w:val="bottom"/>
          </w:tcPr>
          <w:p>
            <w:pPr>
              <w:spacing w:after="0"/>
              <w:rPr>
                <w:sz w:val="15"/>
                <w:szCs w:val="15"/>
                <w:color w:val="auto"/>
              </w:rPr>
            </w:pPr>
          </w:p>
        </w:tc>
        <w:tc>
          <w:tcPr>
            <w:tcW w:w="104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4"/>
              </w:rPr>
              <w:t>units)</w:t>
            </w:r>
          </w:p>
        </w:tc>
        <w:tc>
          <w:tcPr>
            <w:tcW w:w="100" w:type="dxa"/>
            <w:vAlign w:val="bottom"/>
          </w:tcPr>
          <w:p>
            <w:pPr>
              <w:spacing w:after="0"/>
              <w:rPr>
                <w:sz w:val="15"/>
                <w:szCs w:val="15"/>
                <w:color w:val="auto"/>
              </w:rPr>
            </w:pPr>
          </w:p>
        </w:tc>
        <w:tc>
          <w:tcPr>
            <w:tcW w:w="106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4"/>
              </w:rPr>
              <w:t>other</w:t>
            </w:r>
          </w:p>
        </w:tc>
        <w:tc>
          <w:tcPr>
            <w:tcW w:w="160" w:type="dxa"/>
            <w:vAlign w:val="bottom"/>
          </w:tcPr>
          <w:p>
            <w:pPr>
              <w:spacing w:after="0"/>
              <w:rPr>
                <w:sz w:val="15"/>
                <w:szCs w:val="15"/>
                <w:color w:val="auto"/>
              </w:rPr>
            </w:pPr>
          </w:p>
        </w:tc>
        <w:tc>
          <w:tcPr>
            <w:tcW w:w="1000" w:type="dxa"/>
            <w:vAlign w:val="bottom"/>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rPr>
              <w:t>Unallocated</w:t>
            </w:r>
          </w:p>
        </w:tc>
        <w:tc>
          <w:tcPr>
            <w:tcW w:w="240" w:type="dxa"/>
            <w:vAlign w:val="bottom"/>
          </w:tcPr>
          <w:p>
            <w:pPr>
              <w:spacing w:after="0"/>
              <w:rPr>
                <w:sz w:val="15"/>
                <w:szCs w:val="15"/>
                <w:color w:val="auto"/>
              </w:rPr>
            </w:pPr>
          </w:p>
        </w:tc>
        <w:tc>
          <w:tcPr>
            <w:tcW w:w="820" w:type="dxa"/>
            <w:vAlign w:val="bottom"/>
          </w:tcPr>
          <w:p>
            <w:pPr>
              <w:jc w:val="right"/>
              <w:ind w:right="317"/>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62"/>
        </w:trPr>
        <w:tc>
          <w:tcPr>
            <w:tcW w:w="21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Six months ended</w:t>
            </w:r>
          </w:p>
        </w:tc>
        <w:tc>
          <w:tcPr>
            <w:tcW w:w="220" w:type="dxa"/>
            <w:vAlign w:val="bottom"/>
            <w:tcBorders>
              <w:top w:val="single" w:sz="8" w:color="auto"/>
            </w:tcBorders>
            <w:shd w:val="clear" w:color="auto" w:fill="CCEEFF"/>
          </w:tcPr>
          <w:p>
            <w:pPr>
              <w:spacing w:after="0"/>
              <w:rPr>
                <w:sz w:val="14"/>
                <w:szCs w:val="14"/>
                <w:color w:val="auto"/>
              </w:rPr>
            </w:pPr>
          </w:p>
        </w:tc>
        <w:tc>
          <w:tcPr>
            <w:tcW w:w="84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9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9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9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96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98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92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spacing w:after="0"/>
              <w:rPr>
                <w:sz w:val="14"/>
                <w:szCs w:val="14"/>
                <w:color w:val="auto"/>
              </w:rPr>
            </w:pPr>
          </w:p>
        </w:tc>
        <w:tc>
          <w:tcPr>
            <w:tcW w:w="82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10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June 30, 2024</w:t>
            </w: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2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Balance, beginning of period</w:t>
            </w:r>
          </w:p>
        </w:tc>
        <w:tc>
          <w:tcPr>
            <w:tcW w:w="22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20,633</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783</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368</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645</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2,797</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75</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25,301</w:t>
            </w:r>
          </w:p>
        </w:tc>
        <w:tc>
          <w:tcPr>
            <w:tcW w:w="0" w:type="dxa"/>
            <w:vAlign w:val="bottom"/>
          </w:tcPr>
          <w:p>
            <w:pPr>
              <w:spacing w:after="0"/>
              <w:rPr>
                <w:sz w:val="1"/>
                <w:szCs w:val="1"/>
                <w:color w:val="auto"/>
              </w:rPr>
            </w:pPr>
          </w:p>
        </w:tc>
      </w:tr>
      <w:tr>
        <w:trPr>
          <w:trHeight w:val="121"/>
        </w:trPr>
        <w:tc>
          <w:tcPr>
            <w:tcW w:w="2100" w:type="dxa"/>
            <w:vAlign w:val="bottom"/>
          </w:tcPr>
          <w:p>
            <w:pPr>
              <w:ind w:left="140"/>
              <w:spacing w:after="0" w:line="122" w:lineRule="exact"/>
              <w:rPr>
                <w:sz w:val="20"/>
                <w:szCs w:val="20"/>
                <w:color w:val="auto"/>
              </w:rPr>
            </w:pPr>
            <w:r>
              <w:rPr>
                <w:rFonts w:ascii="Times New Roman" w:cs="Times New Roman" w:eastAsia="Times New Roman" w:hAnsi="Times New Roman"/>
                <w:sz w:val="13"/>
                <w:szCs w:val="13"/>
                <w:color w:val="auto"/>
              </w:rPr>
              <w:t>Allowance established for acquired</w:t>
            </w:r>
          </w:p>
        </w:tc>
        <w:tc>
          <w:tcPr>
            <w:tcW w:w="2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1"/>
        </w:trPr>
        <w:tc>
          <w:tcPr>
            <w:tcW w:w="210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PCD loans</w:t>
            </w:r>
          </w:p>
        </w:tc>
        <w:tc>
          <w:tcPr>
            <w:tcW w:w="2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7,503</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1,931</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5,968</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5,684</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2,608</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216</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gridSpan w:val="2"/>
          </w:tcPr>
          <w:p>
            <w:pPr>
              <w:ind w:left="72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23,910</w:t>
            </w:r>
          </w:p>
        </w:tc>
        <w:tc>
          <w:tcPr>
            <w:tcW w:w="0" w:type="dxa"/>
            <w:vAlign w:val="bottom"/>
          </w:tcPr>
          <w:p>
            <w:pPr>
              <w:spacing w:after="0"/>
              <w:rPr>
                <w:sz w:val="1"/>
                <w:szCs w:val="1"/>
                <w:color w:val="auto"/>
              </w:rPr>
            </w:pPr>
          </w:p>
        </w:tc>
      </w:tr>
      <w:tr>
        <w:trPr>
          <w:trHeight w:val="130"/>
        </w:trPr>
        <w:tc>
          <w:tcPr>
            <w:tcW w:w="2100" w:type="dxa"/>
            <w:vAlign w:val="bottom"/>
            <w:shd w:val="clear" w:color="auto" w:fill="CCEEFF"/>
          </w:tcPr>
          <w:p>
            <w:pPr>
              <w:ind w:left="140"/>
              <w:spacing w:after="0" w:line="129" w:lineRule="exact"/>
              <w:rPr>
                <w:sz w:val="20"/>
                <w:szCs w:val="20"/>
                <w:color w:val="auto"/>
              </w:rPr>
            </w:pPr>
            <w:r>
              <w:rPr>
                <w:rFonts w:ascii="Times New Roman" w:cs="Times New Roman" w:eastAsia="Times New Roman" w:hAnsi="Times New Roman"/>
                <w:sz w:val="13"/>
                <w:szCs w:val="13"/>
                <w:color w:val="auto"/>
              </w:rPr>
              <w:t>Provision for (recapture of) credit</w:t>
            </w:r>
          </w:p>
        </w:tc>
        <w:tc>
          <w:tcPr>
            <w:tcW w:w="2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2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losses</w:t>
            </w:r>
          </w:p>
        </w:tc>
        <w:tc>
          <w:tcPr>
            <w:tcW w:w="22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(629)</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2,326</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12,303</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(1,415)</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6,279</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566</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19,430</w:t>
            </w:r>
          </w:p>
        </w:tc>
        <w:tc>
          <w:tcPr>
            <w:tcW w:w="0" w:type="dxa"/>
            <w:vAlign w:val="bottom"/>
          </w:tcPr>
          <w:p>
            <w:pPr>
              <w:spacing w:after="0"/>
              <w:rPr>
                <w:sz w:val="1"/>
                <w:szCs w:val="1"/>
                <w:color w:val="auto"/>
              </w:rPr>
            </w:pPr>
          </w:p>
        </w:tc>
      </w:tr>
      <w:tr>
        <w:trPr>
          <w:trHeight w:val="170"/>
        </w:trPr>
        <w:tc>
          <w:tcPr>
            <w:tcW w:w="210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Charge-offs</w:t>
            </w:r>
          </w:p>
        </w:tc>
        <w:tc>
          <w:tcPr>
            <w:tcW w:w="2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(210)</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(146)</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(248)</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gridSpan w:val="2"/>
          </w:tcPr>
          <w:p>
            <w:pPr>
              <w:ind w:left="72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(641)</w:t>
            </w:r>
          </w:p>
        </w:tc>
        <w:tc>
          <w:tcPr>
            <w:tcW w:w="0" w:type="dxa"/>
            <w:vAlign w:val="bottom"/>
          </w:tcPr>
          <w:p>
            <w:pPr>
              <w:spacing w:after="0"/>
              <w:rPr>
                <w:sz w:val="1"/>
                <w:szCs w:val="1"/>
                <w:color w:val="auto"/>
              </w:rPr>
            </w:pPr>
          </w:p>
        </w:tc>
      </w:tr>
      <w:tr>
        <w:trPr>
          <w:trHeight w:val="181"/>
        </w:trPr>
        <w:tc>
          <w:tcPr>
            <w:tcW w:w="2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Recoveries</w:t>
            </w:r>
          </w:p>
        </w:tc>
        <w:tc>
          <w:tcPr>
            <w:tcW w:w="22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w:t>
            </w:r>
          </w:p>
        </w:tc>
        <w:tc>
          <w:tcPr>
            <w:tcW w:w="0" w:type="dxa"/>
            <w:vAlign w:val="bottom"/>
          </w:tcPr>
          <w:p>
            <w:pPr>
              <w:spacing w:after="0"/>
              <w:rPr>
                <w:sz w:val="1"/>
                <w:szCs w:val="1"/>
                <w:color w:val="auto"/>
              </w:rPr>
            </w:pPr>
          </w:p>
        </w:tc>
      </w:tr>
      <w:tr>
        <w:trPr>
          <w:trHeight w:val="163"/>
        </w:trPr>
        <w:tc>
          <w:tcPr>
            <w:tcW w:w="2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Balance, end of period</w:t>
            </w:r>
          </w:p>
        </w:tc>
        <w:tc>
          <w:tcPr>
            <w:tcW w:w="220" w:type="dxa"/>
            <w:vAlign w:val="bottom"/>
            <w:tcBorders>
              <w:top w:val="single" w:sz="8" w:color="auto"/>
              <w:bottom w:val="single" w:sz="8" w:color="auto"/>
            </w:tcBorders>
          </w:tcPr>
          <w:p>
            <w:pPr>
              <w:jc w:val="right"/>
              <w:ind w:right="77"/>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27,304</w:t>
            </w:r>
          </w:p>
        </w:tc>
        <w:tc>
          <w:tcPr>
            <w:tcW w:w="80" w:type="dxa"/>
            <w:vAlign w:val="bottom"/>
            <w:tcBorders>
              <w:bottom w:val="single" w:sz="8" w:color="CCEEFF"/>
            </w:tcBorders>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5,040</w:t>
            </w:r>
          </w:p>
        </w:tc>
        <w:tc>
          <w:tcPr>
            <w:tcW w:w="100" w:type="dxa"/>
            <w:vAlign w:val="bottom"/>
            <w:tcBorders>
              <w:bottom w:val="single" w:sz="8" w:color="CCEEFF"/>
            </w:tcBorders>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18,639</w:t>
            </w:r>
          </w:p>
        </w:tc>
        <w:tc>
          <w:tcPr>
            <w:tcW w:w="100" w:type="dxa"/>
            <w:vAlign w:val="bottom"/>
            <w:tcBorders>
              <w:bottom w:val="single" w:sz="8" w:color="CCEEFF"/>
            </w:tcBorders>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4,768</w:t>
            </w:r>
          </w:p>
        </w:tc>
        <w:tc>
          <w:tcPr>
            <w:tcW w:w="100" w:type="dxa"/>
            <w:vAlign w:val="bottom"/>
            <w:tcBorders>
              <w:bottom w:val="single" w:sz="8" w:color="CCEEFF"/>
            </w:tcBorders>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11,648</w:t>
            </w:r>
          </w:p>
        </w:tc>
        <w:tc>
          <w:tcPr>
            <w:tcW w:w="80" w:type="dxa"/>
            <w:vAlign w:val="bottom"/>
            <w:tcBorders>
              <w:bottom w:val="single" w:sz="8" w:color="CCEEFF"/>
            </w:tcBorders>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618</w:t>
            </w:r>
          </w:p>
        </w:tc>
        <w:tc>
          <w:tcPr>
            <w:tcW w:w="80" w:type="dxa"/>
            <w:vAlign w:val="bottom"/>
            <w:tcBorders>
              <w:bottom w:val="single" w:sz="8" w:color="CCEEFF"/>
            </w:tcBorders>
          </w:tcPr>
          <w:p>
            <w:pPr>
              <w:spacing w:after="0"/>
              <w:rPr>
                <w:sz w:val="14"/>
                <w:szCs w:val="14"/>
                <w:color w:val="auto"/>
              </w:rPr>
            </w:pPr>
          </w:p>
        </w:tc>
        <w:tc>
          <w:tcPr>
            <w:tcW w:w="160" w:type="dxa"/>
            <w:vAlign w:val="bottom"/>
            <w:tcBorders>
              <w:top w:val="single" w:sz="8" w:color="auto"/>
              <w:bottom w:val="single" w:sz="8" w:color="auto"/>
            </w:tcBorders>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tcBorders>
              <w:top w:val="single" w:sz="8" w:color="auto"/>
              <w:bottom w:val="single" w:sz="8" w:color="auto"/>
            </w:tcBorders>
          </w:tcPr>
          <w:p>
            <w:pPr>
              <w:ind w:left="7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CCEEFF"/>
            </w:tcBorders>
          </w:tcPr>
          <w:p>
            <w:pPr>
              <w:spacing w:after="0"/>
              <w:rPr>
                <w:sz w:val="14"/>
                <w:szCs w:val="14"/>
                <w:color w:val="auto"/>
              </w:rPr>
            </w:pPr>
          </w:p>
        </w:tc>
        <w:tc>
          <w:tcPr>
            <w:tcW w:w="240" w:type="dxa"/>
            <w:vAlign w:val="bottom"/>
            <w:tcBorders>
              <w:top w:val="single" w:sz="8" w:color="auto"/>
              <w:bottom w:val="single" w:sz="8" w:color="auto"/>
            </w:tcBorders>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68,017</w:t>
            </w:r>
          </w:p>
        </w:tc>
        <w:tc>
          <w:tcPr>
            <w:tcW w:w="0" w:type="dxa"/>
            <w:vAlign w:val="bottom"/>
          </w:tcPr>
          <w:p>
            <w:pPr>
              <w:spacing w:after="0"/>
              <w:rPr>
                <w:sz w:val="1"/>
                <w:szCs w:val="1"/>
                <w:color w:val="auto"/>
              </w:rPr>
            </w:pPr>
          </w:p>
        </w:tc>
      </w:tr>
      <w:tr>
        <w:trPr>
          <w:trHeight w:val="188"/>
        </w:trPr>
        <w:tc>
          <w:tcPr>
            <w:tcW w:w="2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210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June 30, 2023</w:t>
            </w: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2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Balance, beginning of period</w:t>
            </w:r>
          </w:p>
        </w:tc>
        <w:tc>
          <w:tcPr>
            <w:tcW w:w="22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15,477</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635</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2,082</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438</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2,379</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21,039</w:t>
            </w:r>
          </w:p>
        </w:tc>
        <w:tc>
          <w:tcPr>
            <w:tcW w:w="0" w:type="dxa"/>
            <w:vAlign w:val="bottom"/>
          </w:tcPr>
          <w:p>
            <w:pPr>
              <w:spacing w:after="0"/>
              <w:rPr>
                <w:sz w:val="1"/>
                <w:szCs w:val="1"/>
                <w:color w:val="auto"/>
              </w:rPr>
            </w:pPr>
          </w:p>
        </w:tc>
      </w:tr>
      <w:tr>
        <w:trPr>
          <w:trHeight w:val="170"/>
        </w:trPr>
        <w:tc>
          <w:tcPr>
            <w:tcW w:w="210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Impact of adoption CECL</w:t>
            </w:r>
          </w:p>
        </w:tc>
        <w:tc>
          <w:tcPr>
            <w:tcW w:w="2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2,686</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(640)</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237</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1,661</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187</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gridSpan w:val="2"/>
          </w:tcPr>
          <w:p>
            <w:pPr>
              <w:ind w:left="72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4,125</w:t>
            </w:r>
          </w:p>
        </w:tc>
        <w:tc>
          <w:tcPr>
            <w:tcW w:w="0" w:type="dxa"/>
            <w:vAlign w:val="bottom"/>
          </w:tcPr>
          <w:p>
            <w:pPr>
              <w:spacing w:after="0"/>
              <w:rPr>
                <w:sz w:val="1"/>
                <w:szCs w:val="1"/>
                <w:color w:val="auto"/>
              </w:rPr>
            </w:pPr>
          </w:p>
        </w:tc>
      </w:tr>
      <w:tr>
        <w:trPr>
          <w:trHeight w:val="127"/>
        </w:trPr>
        <w:tc>
          <w:tcPr>
            <w:tcW w:w="2100" w:type="dxa"/>
            <w:vAlign w:val="bottom"/>
            <w:shd w:val="clear" w:color="auto" w:fill="CCEEFF"/>
          </w:tcPr>
          <w:p>
            <w:pPr>
              <w:ind w:left="140"/>
              <w:spacing w:after="0" w:line="128" w:lineRule="exact"/>
              <w:rPr>
                <w:sz w:val="20"/>
                <w:szCs w:val="20"/>
                <w:color w:val="auto"/>
              </w:rPr>
            </w:pPr>
            <w:r>
              <w:rPr>
                <w:rFonts w:ascii="Times New Roman" w:cs="Times New Roman" w:eastAsia="Times New Roman" w:hAnsi="Times New Roman"/>
                <w:sz w:val="13"/>
                <w:szCs w:val="13"/>
                <w:color w:val="auto"/>
              </w:rPr>
              <w:t>Provision for (recapture of) credit</w:t>
            </w:r>
          </w:p>
        </w:tc>
        <w:tc>
          <w:tcPr>
            <w:tcW w:w="2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2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losses</w:t>
            </w:r>
          </w:p>
        </w:tc>
        <w:tc>
          <w:tcPr>
            <w:tcW w:w="22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445</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90</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(123)</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474</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833</w:t>
            </w:r>
          </w:p>
        </w:tc>
        <w:tc>
          <w:tcPr>
            <w:tcW w:w="0" w:type="dxa"/>
            <w:vAlign w:val="bottom"/>
          </w:tcPr>
          <w:p>
            <w:pPr>
              <w:spacing w:after="0"/>
              <w:rPr>
                <w:sz w:val="1"/>
                <w:szCs w:val="1"/>
                <w:color w:val="auto"/>
              </w:rPr>
            </w:pPr>
          </w:p>
        </w:tc>
      </w:tr>
      <w:tr>
        <w:trPr>
          <w:trHeight w:val="170"/>
        </w:trPr>
        <w:tc>
          <w:tcPr>
            <w:tcW w:w="210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Charge-offs</w:t>
            </w:r>
          </w:p>
        </w:tc>
        <w:tc>
          <w:tcPr>
            <w:tcW w:w="220" w:type="dxa"/>
            <w:vAlign w:val="bottom"/>
          </w:tcPr>
          <w:p>
            <w:pPr>
              <w:spacing w:after="0"/>
              <w:rPr>
                <w:sz w:val="14"/>
                <w:szCs w:val="14"/>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(92)</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gridSpan w:val="2"/>
          </w:tcPr>
          <w:p>
            <w:pPr>
              <w:ind w:left="72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(121)</w:t>
            </w:r>
          </w:p>
        </w:tc>
        <w:tc>
          <w:tcPr>
            <w:tcW w:w="0" w:type="dxa"/>
            <w:vAlign w:val="bottom"/>
          </w:tcPr>
          <w:p>
            <w:pPr>
              <w:spacing w:after="0"/>
              <w:rPr>
                <w:sz w:val="1"/>
                <w:szCs w:val="1"/>
                <w:color w:val="auto"/>
              </w:rPr>
            </w:pPr>
          </w:p>
        </w:tc>
      </w:tr>
      <w:tr>
        <w:trPr>
          <w:trHeight w:val="181"/>
        </w:trPr>
        <w:tc>
          <w:tcPr>
            <w:tcW w:w="2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Recoveries</w:t>
            </w:r>
          </w:p>
        </w:tc>
        <w:tc>
          <w:tcPr>
            <w:tcW w:w="22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43</w:t>
            </w:r>
          </w:p>
        </w:tc>
        <w:tc>
          <w:tcPr>
            <w:tcW w:w="0" w:type="dxa"/>
            <w:vAlign w:val="bottom"/>
          </w:tcPr>
          <w:p>
            <w:pPr>
              <w:spacing w:after="0"/>
              <w:rPr>
                <w:sz w:val="1"/>
                <w:szCs w:val="1"/>
                <w:color w:val="auto"/>
              </w:rPr>
            </w:pPr>
          </w:p>
        </w:tc>
      </w:tr>
      <w:tr>
        <w:trPr>
          <w:trHeight w:val="163"/>
        </w:trPr>
        <w:tc>
          <w:tcPr>
            <w:tcW w:w="21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Balance, end of period</w:t>
            </w:r>
          </w:p>
        </w:tc>
        <w:tc>
          <w:tcPr>
            <w:tcW w:w="220" w:type="dxa"/>
            <w:vAlign w:val="bottom"/>
            <w:tcBorders>
              <w:top w:val="single" w:sz="8" w:color="auto"/>
              <w:bottom w:val="single" w:sz="8" w:color="auto"/>
            </w:tcBorders>
          </w:tcPr>
          <w:p>
            <w:pPr>
              <w:jc w:val="right"/>
              <w:ind w:right="77"/>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18,639</w:t>
            </w:r>
          </w:p>
        </w:tc>
        <w:tc>
          <w:tcPr>
            <w:tcW w:w="8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719</w:t>
            </w:r>
          </w:p>
        </w:tc>
        <w:tc>
          <w:tcPr>
            <w:tcW w:w="10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1,319</w:t>
            </w:r>
          </w:p>
        </w:tc>
        <w:tc>
          <w:tcPr>
            <w:tcW w:w="10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612</w:t>
            </w:r>
          </w:p>
        </w:tc>
        <w:tc>
          <w:tcPr>
            <w:tcW w:w="10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4,520</w:t>
            </w:r>
          </w:p>
        </w:tc>
        <w:tc>
          <w:tcPr>
            <w:tcW w:w="8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110</w:t>
            </w:r>
          </w:p>
        </w:tc>
        <w:tc>
          <w:tcPr>
            <w:tcW w:w="80" w:type="dxa"/>
            <w:vAlign w:val="bottom"/>
          </w:tcPr>
          <w:p>
            <w:pPr>
              <w:spacing w:after="0"/>
              <w:rPr>
                <w:sz w:val="14"/>
                <w:szCs w:val="14"/>
                <w:color w:val="auto"/>
              </w:rPr>
            </w:pPr>
          </w:p>
        </w:tc>
        <w:tc>
          <w:tcPr>
            <w:tcW w:w="160" w:type="dxa"/>
            <w:vAlign w:val="bottom"/>
            <w:tcBorders>
              <w:top w:val="single" w:sz="8" w:color="auto"/>
              <w:bottom w:val="single" w:sz="8" w:color="auto"/>
            </w:tcBorders>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tcBorders>
              <w:top w:val="single" w:sz="8" w:color="auto"/>
              <w:bottom w:val="single" w:sz="8" w:color="auto"/>
            </w:tcBorders>
          </w:tcPr>
          <w:p>
            <w:pPr>
              <w:ind w:left="7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240" w:type="dxa"/>
            <w:vAlign w:val="bottom"/>
            <w:tcBorders>
              <w:top w:val="single" w:sz="8" w:color="auto"/>
              <w:bottom w:val="single" w:sz="8" w:color="auto"/>
            </w:tcBorders>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25,919</w:t>
            </w:r>
          </w:p>
        </w:tc>
        <w:tc>
          <w:tcPr>
            <w:tcW w:w="0" w:type="dxa"/>
            <w:vAlign w:val="bottom"/>
          </w:tcPr>
          <w:p>
            <w:pPr>
              <w:spacing w:after="0"/>
              <w:rPr>
                <w:sz w:val="1"/>
                <w:szCs w:val="1"/>
                <w:color w:val="auto"/>
              </w:rPr>
            </w:pPr>
          </w:p>
        </w:tc>
      </w:tr>
    </w:tbl>
    <w:p>
      <w:pPr>
        <w:spacing w:after="0" w:line="23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recorded investment in loans excludes accrued interest receivable and loan origination fees, net due to immateriality. The following table presents the aging of the recorded investment in past due loans as of June 30, 2024, and December 31, 2023, by portfolio segment (in thousands):</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246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180" w:type="dxa"/>
            <w:vAlign w:val="bottom"/>
            <w:tcBorders>
              <w:bottom w:val="single" w:sz="8" w:color="auto"/>
            </w:tcBorders>
            <w:gridSpan w:val="5"/>
          </w:tcPr>
          <w:p>
            <w:pPr>
              <w:ind w:left="640"/>
              <w:spacing w:after="0"/>
              <w:rPr>
                <w:sz w:val="20"/>
                <w:szCs w:val="20"/>
                <w:color w:val="auto"/>
              </w:rPr>
            </w:pPr>
            <w:r>
              <w:rPr>
                <w:rFonts w:ascii="Times New Roman" w:cs="Times New Roman" w:eastAsia="Times New Roman" w:hAnsi="Times New Roman"/>
                <w:sz w:val="13"/>
                <w:szCs w:val="13"/>
                <w:b w:val="1"/>
                <w:bCs w:val="1"/>
                <w:color w:val="auto"/>
              </w:rPr>
              <w:t>June 30, 2024</w:t>
            </w:r>
          </w:p>
        </w:tc>
        <w:tc>
          <w:tcPr>
            <w:tcW w:w="1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r>
      <w:tr>
        <w:trPr>
          <w:trHeight w:val="122"/>
        </w:trPr>
        <w:tc>
          <w:tcPr>
            <w:tcW w:w="2460" w:type="dxa"/>
            <w:vAlign w:val="bottom"/>
          </w:tcPr>
          <w:p>
            <w:pPr>
              <w:spacing w:after="0"/>
              <w:rPr>
                <w:sz w:val="10"/>
                <w:szCs w:val="10"/>
                <w:color w:val="auto"/>
              </w:rPr>
            </w:pPr>
          </w:p>
        </w:tc>
        <w:tc>
          <w:tcPr>
            <w:tcW w:w="1100" w:type="dxa"/>
            <w:vAlign w:val="bottom"/>
            <w:gridSpan w:val="3"/>
          </w:tcPr>
          <w:p>
            <w:pPr>
              <w:jc w:val="center"/>
              <w:ind w:right="100"/>
              <w:spacing w:after="0" w:line="122" w:lineRule="exact"/>
              <w:rPr>
                <w:sz w:val="20"/>
                <w:szCs w:val="20"/>
                <w:color w:val="auto"/>
              </w:rPr>
            </w:pPr>
            <w:r>
              <w:rPr>
                <w:rFonts w:ascii="Times New Roman" w:cs="Times New Roman" w:eastAsia="Times New Roman" w:hAnsi="Times New Roman"/>
                <w:sz w:val="13"/>
                <w:szCs w:val="13"/>
                <w:b w:val="1"/>
                <w:bCs w:val="1"/>
                <w:color w:val="auto"/>
                <w:w w:val="97"/>
              </w:rPr>
              <w:t>30 - 59 Days Past</w:t>
            </w:r>
          </w:p>
        </w:tc>
        <w:tc>
          <w:tcPr>
            <w:tcW w:w="1100" w:type="dxa"/>
            <w:vAlign w:val="bottom"/>
            <w:gridSpan w:val="3"/>
          </w:tcPr>
          <w:p>
            <w:pPr>
              <w:jc w:val="center"/>
              <w:ind w:right="100"/>
              <w:spacing w:after="0" w:line="122" w:lineRule="exact"/>
              <w:rPr>
                <w:sz w:val="20"/>
                <w:szCs w:val="20"/>
                <w:color w:val="auto"/>
              </w:rPr>
            </w:pPr>
            <w:r>
              <w:rPr>
                <w:rFonts w:ascii="Times New Roman" w:cs="Times New Roman" w:eastAsia="Times New Roman" w:hAnsi="Times New Roman"/>
                <w:sz w:val="13"/>
                <w:szCs w:val="13"/>
                <w:b w:val="1"/>
                <w:bCs w:val="1"/>
                <w:color w:val="auto"/>
                <w:w w:val="97"/>
              </w:rPr>
              <w:t>60 - 89 Days Past</w:t>
            </w:r>
          </w:p>
        </w:tc>
        <w:tc>
          <w:tcPr>
            <w:tcW w:w="1080" w:type="dxa"/>
            <w:vAlign w:val="bottom"/>
            <w:gridSpan w:val="3"/>
          </w:tcPr>
          <w:p>
            <w:pPr>
              <w:jc w:val="center"/>
              <w:ind w:right="100"/>
              <w:spacing w:after="0" w:line="122" w:lineRule="exact"/>
              <w:rPr>
                <w:sz w:val="20"/>
                <w:szCs w:val="20"/>
                <w:color w:val="auto"/>
              </w:rPr>
            </w:pPr>
            <w:r>
              <w:rPr>
                <w:rFonts w:ascii="Times New Roman" w:cs="Times New Roman" w:eastAsia="Times New Roman" w:hAnsi="Times New Roman"/>
                <w:sz w:val="13"/>
                <w:szCs w:val="13"/>
                <w:b w:val="1"/>
                <w:bCs w:val="1"/>
                <w:color w:val="auto"/>
                <w:w w:val="96"/>
              </w:rPr>
              <w:t>90 Days or More</w:t>
            </w:r>
          </w:p>
        </w:tc>
        <w:tc>
          <w:tcPr>
            <w:tcW w:w="1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00" w:type="dxa"/>
            <w:vAlign w:val="bottom"/>
            <w:gridSpan w:val="3"/>
          </w:tcPr>
          <w:p>
            <w:pPr>
              <w:jc w:val="center"/>
              <w:ind w:right="100"/>
              <w:spacing w:after="0" w:line="122" w:lineRule="exact"/>
              <w:rPr>
                <w:sz w:val="20"/>
                <w:szCs w:val="20"/>
                <w:color w:val="auto"/>
              </w:rPr>
            </w:pPr>
            <w:r>
              <w:rPr>
                <w:rFonts w:ascii="Times New Roman" w:cs="Times New Roman" w:eastAsia="Times New Roman" w:hAnsi="Times New Roman"/>
                <w:sz w:val="13"/>
                <w:szCs w:val="13"/>
                <w:b w:val="1"/>
                <w:bCs w:val="1"/>
                <w:color w:val="auto"/>
                <w:w w:val="95"/>
              </w:rPr>
              <w:t>90 Days Past Due</w:t>
            </w:r>
          </w:p>
        </w:tc>
        <w:tc>
          <w:tcPr>
            <w:tcW w:w="120" w:type="dxa"/>
            <w:vAlign w:val="bottom"/>
          </w:tcPr>
          <w:p>
            <w:pPr>
              <w:spacing w:after="0"/>
              <w:rPr>
                <w:sz w:val="10"/>
                <w:szCs w:val="10"/>
                <w:color w:val="auto"/>
              </w:rPr>
            </w:pPr>
          </w:p>
        </w:tc>
        <w:tc>
          <w:tcPr>
            <w:tcW w:w="880" w:type="dxa"/>
            <w:vAlign w:val="bottom"/>
          </w:tcPr>
          <w:p>
            <w:pPr>
              <w:jc w:val="right"/>
              <w:ind w:right="97"/>
              <w:spacing w:after="0" w:line="122" w:lineRule="exact"/>
              <w:rPr>
                <w:sz w:val="20"/>
                <w:szCs w:val="20"/>
                <w:color w:val="auto"/>
              </w:rPr>
            </w:pPr>
            <w:r>
              <w:rPr>
                <w:rFonts w:ascii="Times New Roman" w:cs="Times New Roman" w:eastAsia="Times New Roman" w:hAnsi="Times New Roman"/>
                <w:sz w:val="13"/>
                <w:szCs w:val="13"/>
                <w:b w:val="1"/>
                <w:bCs w:val="1"/>
                <w:color w:val="auto"/>
              </w:rPr>
              <w:t>Non-accrual</w:t>
            </w:r>
          </w:p>
        </w:tc>
      </w:tr>
      <w:tr>
        <w:trPr>
          <w:trHeight w:val="182"/>
        </w:trPr>
        <w:tc>
          <w:tcPr>
            <w:tcW w:w="24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gridSpan w:val="2"/>
          </w:tcPr>
          <w:p>
            <w:pPr>
              <w:jc w:val="center"/>
              <w:ind w:right="320"/>
              <w:spacing w:after="0"/>
              <w:rPr>
                <w:sz w:val="20"/>
                <w:szCs w:val="20"/>
                <w:color w:val="auto"/>
              </w:rPr>
            </w:pPr>
            <w:r>
              <w:rPr>
                <w:rFonts w:ascii="Times New Roman" w:cs="Times New Roman" w:eastAsia="Times New Roman" w:hAnsi="Times New Roman"/>
                <w:sz w:val="13"/>
                <w:szCs w:val="13"/>
                <w:b w:val="1"/>
                <w:bCs w:val="1"/>
                <w:color w:val="auto"/>
                <w:w w:val="98"/>
              </w:rPr>
              <w:t>Due</w:t>
            </w:r>
          </w:p>
        </w:tc>
        <w:tc>
          <w:tcPr>
            <w:tcW w:w="240" w:type="dxa"/>
            <w:vAlign w:val="bottom"/>
          </w:tcPr>
          <w:p>
            <w:pPr>
              <w:spacing w:after="0"/>
              <w:rPr>
                <w:sz w:val="15"/>
                <w:szCs w:val="15"/>
                <w:color w:val="auto"/>
              </w:rPr>
            </w:pPr>
          </w:p>
        </w:tc>
        <w:tc>
          <w:tcPr>
            <w:tcW w:w="860" w:type="dxa"/>
            <w:vAlign w:val="bottom"/>
            <w:gridSpan w:val="2"/>
          </w:tcPr>
          <w:p>
            <w:pPr>
              <w:jc w:val="center"/>
              <w:ind w:right="360"/>
              <w:spacing w:after="0"/>
              <w:rPr>
                <w:sz w:val="20"/>
                <w:szCs w:val="20"/>
                <w:color w:val="auto"/>
              </w:rPr>
            </w:pPr>
            <w:r>
              <w:rPr>
                <w:rFonts w:ascii="Times New Roman" w:cs="Times New Roman" w:eastAsia="Times New Roman" w:hAnsi="Times New Roman"/>
                <w:sz w:val="13"/>
                <w:szCs w:val="13"/>
                <w:b w:val="1"/>
                <w:bCs w:val="1"/>
                <w:color w:val="auto"/>
                <w:w w:val="98"/>
              </w:rPr>
              <w:t>Due</w:t>
            </w:r>
          </w:p>
        </w:tc>
        <w:tc>
          <w:tcPr>
            <w:tcW w:w="160" w:type="dxa"/>
            <w:vAlign w:val="bottom"/>
          </w:tcPr>
          <w:p>
            <w:pPr>
              <w:spacing w:after="0"/>
              <w:rPr>
                <w:sz w:val="15"/>
                <w:szCs w:val="15"/>
                <w:color w:val="auto"/>
              </w:rPr>
            </w:pPr>
          </w:p>
        </w:tc>
        <w:tc>
          <w:tcPr>
            <w:tcW w:w="92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6"/>
              </w:rPr>
              <w:t>Past Due</w:t>
            </w:r>
          </w:p>
        </w:tc>
        <w:tc>
          <w:tcPr>
            <w:tcW w:w="100" w:type="dxa"/>
            <w:vAlign w:val="bottom"/>
          </w:tcPr>
          <w:p>
            <w:pPr>
              <w:spacing w:after="0"/>
              <w:rPr>
                <w:sz w:val="15"/>
                <w:szCs w:val="15"/>
                <w:color w:val="auto"/>
              </w:rPr>
            </w:pPr>
          </w:p>
        </w:tc>
        <w:tc>
          <w:tcPr>
            <w:tcW w:w="100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Total Past Due</w:t>
            </w:r>
          </w:p>
        </w:tc>
        <w:tc>
          <w:tcPr>
            <w:tcW w:w="120" w:type="dxa"/>
            <w:vAlign w:val="bottom"/>
          </w:tcPr>
          <w:p>
            <w:pPr>
              <w:spacing w:after="0"/>
              <w:rPr>
                <w:sz w:val="15"/>
                <w:szCs w:val="15"/>
                <w:color w:val="auto"/>
              </w:rPr>
            </w:pPr>
          </w:p>
        </w:tc>
        <w:tc>
          <w:tcPr>
            <w:tcW w:w="106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Current Loans</w:t>
            </w:r>
          </w:p>
        </w:tc>
        <w:tc>
          <w:tcPr>
            <w:tcW w:w="140" w:type="dxa"/>
            <w:vAlign w:val="bottom"/>
          </w:tcPr>
          <w:p>
            <w:pPr>
              <w:spacing w:after="0"/>
              <w:rPr>
                <w:sz w:val="15"/>
                <w:szCs w:val="15"/>
                <w:color w:val="auto"/>
              </w:rPr>
            </w:pPr>
          </w:p>
        </w:tc>
        <w:tc>
          <w:tcPr>
            <w:tcW w:w="980" w:type="dxa"/>
            <w:vAlign w:val="bottom"/>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rPr>
              <w:t>Total Loans</w:t>
            </w:r>
          </w:p>
        </w:tc>
        <w:tc>
          <w:tcPr>
            <w:tcW w:w="1100" w:type="dxa"/>
            <w:vAlign w:val="bottom"/>
            <w:gridSpan w:val="3"/>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6"/>
              </w:rPr>
              <w:t>&amp; Still Accruing</w:t>
            </w:r>
          </w:p>
        </w:tc>
        <w:tc>
          <w:tcPr>
            <w:tcW w:w="120" w:type="dxa"/>
            <w:vAlign w:val="bottom"/>
          </w:tcPr>
          <w:p>
            <w:pPr>
              <w:spacing w:after="0"/>
              <w:rPr>
                <w:sz w:val="15"/>
                <w:szCs w:val="15"/>
                <w:color w:val="auto"/>
              </w:rPr>
            </w:pPr>
          </w:p>
        </w:tc>
        <w:tc>
          <w:tcPr>
            <w:tcW w:w="880" w:type="dxa"/>
            <w:vAlign w:val="bottom"/>
          </w:tcPr>
          <w:p>
            <w:pPr>
              <w:jc w:val="right"/>
              <w:ind w:right="297"/>
              <w:spacing w:after="0"/>
              <w:rPr>
                <w:sz w:val="20"/>
                <w:szCs w:val="20"/>
                <w:color w:val="auto"/>
              </w:rPr>
            </w:pPr>
            <w:r>
              <w:rPr>
                <w:rFonts w:ascii="Times New Roman" w:cs="Times New Roman" w:eastAsia="Times New Roman" w:hAnsi="Times New Roman"/>
                <w:sz w:val="13"/>
                <w:szCs w:val="13"/>
                <w:b w:val="1"/>
                <w:bCs w:val="1"/>
                <w:color w:val="auto"/>
              </w:rPr>
              <w:t>loans</w:t>
            </w:r>
          </w:p>
        </w:tc>
      </w:tr>
      <w:tr>
        <w:trPr>
          <w:trHeight w:val="175"/>
        </w:trPr>
        <w:tc>
          <w:tcPr>
            <w:tcW w:w="24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Commercial real estate</w:t>
            </w:r>
          </w:p>
        </w:tc>
        <w:tc>
          <w:tcPr>
            <w:tcW w:w="240" w:type="dxa"/>
            <w:vAlign w:val="bottom"/>
            <w:tcBorders>
              <w:top w:val="single" w:sz="8" w:color="auto"/>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4,771</w:t>
            </w:r>
          </w:p>
        </w:tc>
        <w:tc>
          <w:tcPr>
            <w:tcW w:w="10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4,059</w:t>
            </w: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w:t>
            </w:r>
          </w:p>
        </w:tc>
        <w:tc>
          <w:tcPr>
            <w:tcW w:w="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8,850</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2,534,818</w:t>
            </w:r>
          </w:p>
        </w:tc>
        <w:tc>
          <w:tcPr>
            <w:tcW w:w="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2,543,668</w:t>
            </w:r>
          </w:p>
        </w:tc>
        <w:tc>
          <w:tcPr>
            <w:tcW w:w="100" w:type="dxa"/>
            <w:vAlign w:val="bottom"/>
            <w:tcBorders>
              <w:top w:val="single" w:sz="8" w:color="CCEEFF"/>
            </w:tcBorders>
            <w:shd w:val="clear" w:color="auto" w:fill="CCEEFF"/>
          </w:tcPr>
          <w:p>
            <w:pPr>
              <w:spacing w:after="0"/>
              <w:rPr>
                <w:sz w:val="15"/>
                <w:szCs w:val="15"/>
                <w:color w:val="auto"/>
              </w:rPr>
            </w:pPr>
          </w:p>
        </w:tc>
        <w:tc>
          <w:tcPr>
            <w:tcW w:w="420" w:type="dxa"/>
            <w:vAlign w:val="bottom"/>
            <w:tcBorders>
              <w:top w:val="single" w:sz="8" w:color="auto"/>
            </w:tcBorders>
            <w:shd w:val="clear" w:color="auto" w:fill="CCEEFF"/>
          </w:tcPr>
          <w:p>
            <w:pPr>
              <w:jc w:val="right"/>
              <w:ind w:right="277"/>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20,573</w:t>
            </w:r>
          </w:p>
        </w:tc>
      </w:tr>
      <w:tr>
        <w:trPr>
          <w:trHeight w:val="170"/>
        </w:trPr>
        <w:tc>
          <w:tcPr>
            <w:tcW w:w="24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Owner-occupied commercial real estate</w:t>
            </w:r>
          </w:p>
        </w:tc>
        <w:tc>
          <w:tcPr>
            <w:tcW w:w="2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242</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457</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2,184</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2,883</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623,492</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626,375</w:t>
            </w: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3,035</w:t>
            </w:r>
          </w:p>
        </w:tc>
      </w:tr>
      <w:tr>
        <w:trPr>
          <w:trHeight w:val="181"/>
        </w:trPr>
        <w:tc>
          <w:tcPr>
            <w:tcW w:w="2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Acquisition, construction &amp; development</w:t>
            </w:r>
          </w:p>
        </w:tc>
        <w:tc>
          <w:tcPr>
            <w:tcW w:w="24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2,187</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225</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2,412</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477,525</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479,937</w:t>
            </w: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632</w:t>
            </w:r>
          </w:p>
        </w:tc>
      </w:tr>
      <w:tr>
        <w:trPr>
          <w:trHeight w:val="170"/>
        </w:trPr>
        <w:tc>
          <w:tcPr>
            <w:tcW w:w="24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Commercial &amp; industrial</w:t>
            </w:r>
          </w:p>
        </w:tc>
        <w:tc>
          <w:tcPr>
            <w:tcW w:w="2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351</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68</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1,273</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1,692</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498,200</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499,892</w:t>
            </w: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1,833</w:t>
            </w:r>
          </w:p>
        </w:tc>
      </w:tr>
      <w:tr>
        <w:trPr>
          <w:trHeight w:val="181"/>
        </w:trPr>
        <w:tc>
          <w:tcPr>
            <w:tcW w:w="2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Single family residential (1-4 units)</w:t>
            </w:r>
          </w:p>
        </w:tc>
        <w:tc>
          <w:tcPr>
            <w:tcW w:w="24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5,268</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2,629</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2,106</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10,003</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1,209,981</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1,219,984</w:t>
            </w: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115</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6,405</w:t>
            </w:r>
          </w:p>
        </w:tc>
      </w:tr>
      <w:tr>
        <w:trPr>
          <w:trHeight w:val="170"/>
        </w:trPr>
        <w:tc>
          <w:tcPr>
            <w:tcW w:w="24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Consumer non-real estate and other</w:t>
            </w:r>
          </w:p>
        </w:tc>
        <w:tc>
          <w:tcPr>
            <w:tcW w:w="2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864</w:t>
            </w:r>
          </w:p>
        </w:tc>
        <w:tc>
          <w:tcPr>
            <w:tcW w:w="10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297</w:t>
            </w:r>
          </w:p>
        </w:tc>
        <w:tc>
          <w:tcPr>
            <w:tcW w:w="1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115</w:t>
            </w:r>
          </w:p>
        </w:tc>
        <w:tc>
          <w:tcPr>
            <w:tcW w:w="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1,276</w:t>
            </w: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245,592</w:t>
            </w:r>
          </w:p>
        </w:tc>
        <w:tc>
          <w:tcPr>
            <w:tcW w:w="8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246,868</w:t>
            </w:r>
          </w:p>
        </w:tc>
        <w:tc>
          <w:tcPr>
            <w:tcW w:w="100" w:type="dxa"/>
            <w:vAlign w:val="bottom"/>
            <w:tcBorders>
              <w:bottom w:val="single" w:sz="8" w:color="CCEEFF"/>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248</w:t>
            </w:r>
          </w:p>
        </w:tc>
      </w:tr>
      <w:tr>
        <w:trPr>
          <w:trHeight w:val="169"/>
        </w:trPr>
        <w:tc>
          <w:tcPr>
            <w:tcW w:w="24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Total</w:t>
            </w:r>
          </w:p>
        </w:tc>
        <w:tc>
          <w:tcPr>
            <w:tcW w:w="240" w:type="dxa"/>
            <w:vAlign w:val="bottom"/>
            <w:tcBorders>
              <w:bottom w:val="single" w:sz="8" w:color="auto"/>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13,683</w:t>
            </w:r>
          </w:p>
        </w:tc>
        <w:tc>
          <w:tcPr>
            <w:tcW w:w="10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7,510</w:t>
            </w:r>
          </w:p>
        </w:tc>
        <w:tc>
          <w:tcPr>
            <w:tcW w:w="10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5,923</w:t>
            </w:r>
          </w:p>
        </w:tc>
        <w:tc>
          <w:tcPr>
            <w:tcW w:w="8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27,116</w:t>
            </w:r>
          </w:p>
        </w:tc>
        <w:tc>
          <w:tcPr>
            <w:tcW w:w="10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5,589,608</w:t>
            </w:r>
          </w:p>
        </w:tc>
        <w:tc>
          <w:tcPr>
            <w:tcW w:w="8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5,616,724</w:t>
            </w:r>
          </w:p>
        </w:tc>
        <w:tc>
          <w:tcPr>
            <w:tcW w:w="100" w:type="dxa"/>
            <w:vAlign w:val="bottom"/>
            <w:shd w:val="clear" w:color="auto" w:fill="CCEEFF"/>
          </w:tcPr>
          <w:p>
            <w:pPr>
              <w:spacing w:after="0"/>
              <w:rPr>
                <w:sz w:val="14"/>
                <w:szCs w:val="14"/>
                <w:color w:val="auto"/>
              </w:rPr>
            </w:pPr>
          </w:p>
        </w:tc>
        <w:tc>
          <w:tcPr>
            <w:tcW w:w="420" w:type="dxa"/>
            <w:vAlign w:val="bottom"/>
            <w:tcBorders>
              <w:bottom w:val="single" w:sz="8" w:color="auto"/>
            </w:tcBorders>
            <w:shd w:val="clear" w:color="auto" w:fill="CCEEFF"/>
          </w:tcPr>
          <w:p>
            <w:pPr>
              <w:jc w:val="right"/>
              <w:ind w:right="277"/>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116</w:t>
            </w:r>
          </w:p>
        </w:tc>
        <w:tc>
          <w:tcPr>
            <w:tcW w:w="10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32,726</w:t>
            </w:r>
          </w:p>
        </w:tc>
      </w:tr>
    </w:tbl>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246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180" w:type="dxa"/>
            <w:vAlign w:val="bottom"/>
            <w:tcBorders>
              <w:bottom w:val="single" w:sz="8" w:color="auto"/>
            </w:tcBorders>
            <w:gridSpan w:val="5"/>
          </w:tcPr>
          <w:p>
            <w:pPr>
              <w:ind w:left="500"/>
              <w:spacing w:after="0"/>
              <w:rPr>
                <w:sz w:val="20"/>
                <w:szCs w:val="20"/>
                <w:color w:val="auto"/>
              </w:rPr>
            </w:pPr>
            <w:r>
              <w:rPr>
                <w:rFonts w:ascii="Times New Roman" w:cs="Times New Roman" w:eastAsia="Times New Roman" w:hAnsi="Times New Roman"/>
                <w:sz w:val="13"/>
                <w:szCs w:val="13"/>
                <w:b w:val="1"/>
                <w:bCs w:val="1"/>
                <w:color w:val="auto"/>
              </w:rPr>
              <w:t>December 31, 2023</w:t>
            </w:r>
          </w:p>
        </w:tc>
        <w:tc>
          <w:tcPr>
            <w:tcW w:w="1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r>
      <w:tr>
        <w:trPr>
          <w:trHeight w:val="122"/>
        </w:trPr>
        <w:tc>
          <w:tcPr>
            <w:tcW w:w="2460" w:type="dxa"/>
            <w:vAlign w:val="bottom"/>
          </w:tcPr>
          <w:p>
            <w:pPr>
              <w:spacing w:after="0"/>
              <w:rPr>
                <w:sz w:val="10"/>
                <w:szCs w:val="10"/>
                <w:color w:val="auto"/>
              </w:rPr>
            </w:pPr>
          </w:p>
        </w:tc>
        <w:tc>
          <w:tcPr>
            <w:tcW w:w="1100" w:type="dxa"/>
            <w:vAlign w:val="bottom"/>
            <w:gridSpan w:val="3"/>
          </w:tcPr>
          <w:p>
            <w:pPr>
              <w:jc w:val="center"/>
              <w:ind w:right="100"/>
              <w:spacing w:after="0" w:line="122" w:lineRule="exact"/>
              <w:rPr>
                <w:sz w:val="20"/>
                <w:szCs w:val="20"/>
                <w:color w:val="auto"/>
              </w:rPr>
            </w:pPr>
            <w:r>
              <w:rPr>
                <w:rFonts w:ascii="Times New Roman" w:cs="Times New Roman" w:eastAsia="Times New Roman" w:hAnsi="Times New Roman"/>
                <w:sz w:val="13"/>
                <w:szCs w:val="13"/>
                <w:b w:val="1"/>
                <w:bCs w:val="1"/>
                <w:color w:val="auto"/>
                <w:w w:val="97"/>
              </w:rPr>
              <w:t>30 - 59 Days Past</w:t>
            </w:r>
          </w:p>
        </w:tc>
        <w:tc>
          <w:tcPr>
            <w:tcW w:w="1100" w:type="dxa"/>
            <w:vAlign w:val="bottom"/>
            <w:gridSpan w:val="3"/>
          </w:tcPr>
          <w:p>
            <w:pPr>
              <w:jc w:val="center"/>
              <w:ind w:right="100"/>
              <w:spacing w:after="0" w:line="122" w:lineRule="exact"/>
              <w:rPr>
                <w:sz w:val="20"/>
                <w:szCs w:val="20"/>
                <w:color w:val="auto"/>
              </w:rPr>
            </w:pPr>
            <w:r>
              <w:rPr>
                <w:rFonts w:ascii="Times New Roman" w:cs="Times New Roman" w:eastAsia="Times New Roman" w:hAnsi="Times New Roman"/>
                <w:sz w:val="13"/>
                <w:szCs w:val="13"/>
                <w:b w:val="1"/>
                <w:bCs w:val="1"/>
                <w:color w:val="auto"/>
                <w:w w:val="97"/>
              </w:rPr>
              <w:t>60 - 89 Days Past</w:t>
            </w:r>
          </w:p>
        </w:tc>
        <w:tc>
          <w:tcPr>
            <w:tcW w:w="1080" w:type="dxa"/>
            <w:vAlign w:val="bottom"/>
            <w:gridSpan w:val="3"/>
          </w:tcPr>
          <w:p>
            <w:pPr>
              <w:jc w:val="center"/>
              <w:ind w:right="100"/>
              <w:spacing w:after="0" w:line="122" w:lineRule="exact"/>
              <w:rPr>
                <w:sz w:val="20"/>
                <w:szCs w:val="20"/>
                <w:color w:val="auto"/>
              </w:rPr>
            </w:pPr>
            <w:r>
              <w:rPr>
                <w:rFonts w:ascii="Times New Roman" w:cs="Times New Roman" w:eastAsia="Times New Roman" w:hAnsi="Times New Roman"/>
                <w:sz w:val="13"/>
                <w:szCs w:val="13"/>
                <w:b w:val="1"/>
                <w:bCs w:val="1"/>
                <w:color w:val="auto"/>
                <w:w w:val="96"/>
              </w:rPr>
              <w:t>90 Days or More</w:t>
            </w:r>
          </w:p>
        </w:tc>
        <w:tc>
          <w:tcPr>
            <w:tcW w:w="1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00" w:type="dxa"/>
            <w:vAlign w:val="bottom"/>
            <w:gridSpan w:val="3"/>
          </w:tcPr>
          <w:p>
            <w:pPr>
              <w:jc w:val="center"/>
              <w:ind w:right="100"/>
              <w:spacing w:after="0" w:line="122" w:lineRule="exact"/>
              <w:rPr>
                <w:sz w:val="20"/>
                <w:szCs w:val="20"/>
                <w:color w:val="auto"/>
              </w:rPr>
            </w:pPr>
            <w:r>
              <w:rPr>
                <w:rFonts w:ascii="Times New Roman" w:cs="Times New Roman" w:eastAsia="Times New Roman" w:hAnsi="Times New Roman"/>
                <w:sz w:val="13"/>
                <w:szCs w:val="13"/>
                <w:b w:val="1"/>
                <w:bCs w:val="1"/>
                <w:color w:val="auto"/>
                <w:w w:val="95"/>
              </w:rPr>
              <w:t>90 Days Past Due</w:t>
            </w:r>
          </w:p>
        </w:tc>
        <w:tc>
          <w:tcPr>
            <w:tcW w:w="120" w:type="dxa"/>
            <w:vAlign w:val="bottom"/>
          </w:tcPr>
          <w:p>
            <w:pPr>
              <w:spacing w:after="0"/>
              <w:rPr>
                <w:sz w:val="10"/>
                <w:szCs w:val="10"/>
                <w:color w:val="auto"/>
              </w:rPr>
            </w:pPr>
          </w:p>
        </w:tc>
        <w:tc>
          <w:tcPr>
            <w:tcW w:w="880" w:type="dxa"/>
            <w:vAlign w:val="bottom"/>
          </w:tcPr>
          <w:p>
            <w:pPr>
              <w:jc w:val="right"/>
              <w:ind w:right="97"/>
              <w:spacing w:after="0" w:line="122" w:lineRule="exact"/>
              <w:rPr>
                <w:sz w:val="20"/>
                <w:szCs w:val="20"/>
                <w:color w:val="auto"/>
              </w:rPr>
            </w:pPr>
            <w:r>
              <w:rPr>
                <w:rFonts w:ascii="Times New Roman" w:cs="Times New Roman" w:eastAsia="Times New Roman" w:hAnsi="Times New Roman"/>
                <w:sz w:val="13"/>
                <w:szCs w:val="13"/>
                <w:b w:val="1"/>
                <w:bCs w:val="1"/>
                <w:color w:val="auto"/>
              </w:rPr>
              <w:t>Non-accrual</w:t>
            </w:r>
          </w:p>
        </w:tc>
      </w:tr>
      <w:tr>
        <w:trPr>
          <w:trHeight w:val="183"/>
        </w:trPr>
        <w:tc>
          <w:tcPr>
            <w:tcW w:w="24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gridSpan w:val="2"/>
          </w:tcPr>
          <w:p>
            <w:pPr>
              <w:jc w:val="center"/>
              <w:ind w:right="320"/>
              <w:spacing w:after="0"/>
              <w:rPr>
                <w:sz w:val="20"/>
                <w:szCs w:val="20"/>
                <w:color w:val="auto"/>
              </w:rPr>
            </w:pPr>
            <w:r>
              <w:rPr>
                <w:rFonts w:ascii="Times New Roman" w:cs="Times New Roman" w:eastAsia="Times New Roman" w:hAnsi="Times New Roman"/>
                <w:sz w:val="13"/>
                <w:szCs w:val="13"/>
                <w:b w:val="1"/>
                <w:bCs w:val="1"/>
                <w:color w:val="auto"/>
                <w:w w:val="98"/>
              </w:rPr>
              <w:t>Due</w:t>
            </w:r>
          </w:p>
        </w:tc>
        <w:tc>
          <w:tcPr>
            <w:tcW w:w="240" w:type="dxa"/>
            <w:vAlign w:val="bottom"/>
          </w:tcPr>
          <w:p>
            <w:pPr>
              <w:spacing w:after="0"/>
              <w:rPr>
                <w:sz w:val="15"/>
                <w:szCs w:val="15"/>
                <w:color w:val="auto"/>
              </w:rPr>
            </w:pPr>
          </w:p>
        </w:tc>
        <w:tc>
          <w:tcPr>
            <w:tcW w:w="860" w:type="dxa"/>
            <w:vAlign w:val="bottom"/>
            <w:gridSpan w:val="2"/>
          </w:tcPr>
          <w:p>
            <w:pPr>
              <w:jc w:val="center"/>
              <w:ind w:right="360"/>
              <w:spacing w:after="0"/>
              <w:rPr>
                <w:sz w:val="20"/>
                <w:szCs w:val="20"/>
                <w:color w:val="auto"/>
              </w:rPr>
            </w:pPr>
            <w:r>
              <w:rPr>
                <w:rFonts w:ascii="Times New Roman" w:cs="Times New Roman" w:eastAsia="Times New Roman" w:hAnsi="Times New Roman"/>
                <w:sz w:val="13"/>
                <w:szCs w:val="13"/>
                <w:b w:val="1"/>
                <w:bCs w:val="1"/>
                <w:color w:val="auto"/>
                <w:w w:val="98"/>
              </w:rPr>
              <w:t>Due</w:t>
            </w:r>
          </w:p>
        </w:tc>
        <w:tc>
          <w:tcPr>
            <w:tcW w:w="160" w:type="dxa"/>
            <w:vAlign w:val="bottom"/>
          </w:tcPr>
          <w:p>
            <w:pPr>
              <w:spacing w:after="0"/>
              <w:rPr>
                <w:sz w:val="15"/>
                <w:szCs w:val="15"/>
                <w:color w:val="auto"/>
              </w:rPr>
            </w:pPr>
          </w:p>
        </w:tc>
        <w:tc>
          <w:tcPr>
            <w:tcW w:w="92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6"/>
              </w:rPr>
              <w:t>Past Due</w:t>
            </w:r>
          </w:p>
        </w:tc>
        <w:tc>
          <w:tcPr>
            <w:tcW w:w="100" w:type="dxa"/>
            <w:vAlign w:val="bottom"/>
          </w:tcPr>
          <w:p>
            <w:pPr>
              <w:spacing w:after="0"/>
              <w:rPr>
                <w:sz w:val="15"/>
                <w:szCs w:val="15"/>
                <w:color w:val="auto"/>
              </w:rPr>
            </w:pPr>
          </w:p>
        </w:tc>
        <w:tc>
          <w:tcPr>
            <w:tcW w:w="100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Total Past Due</w:t>
            </w:r>
          </w:p>
        </w:tc>
        <w:tc>
          <w:tcPr>
            <w:tcW w:w="120" w:type="dxa"/>
            <w:vAlign w:val="bottom"/>
          </w:tcPr>
          <w:p>
            <w:pPr>
              <w:spacing w:after="0"/>
              <w:rPr>
                <w:sz w:val="15"/>
                <w:szCs w:val="15"/>
                <w:color w:val="auto"/>
              </w:rPr>
            </w:pPr>
          </w:p>
        </w:tc>
        <w:tc>
          <w:tcPr>
            <w:tcW w:w="106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Current Loans</w:t>
            </w:r>
          </w:p>
        </w:tc>
        <w:tc>
          <w:tcPr>
            <w:tcW w:w="140" w:type="dxa"/>
            <w:vAlign w:val="bottom"/>
          </w:tcPr>
          <w:p>
            <w:pPr>
              <w:spacing w:after="0"/>
              <w:rPr>
                <w:sz w:val="15"/>
                <w:szCs w:val="15"/>
                <w:color w:val="auto"/>
              </w:rPr>
            </w:pPr>
          </w:p>
        </w:tc>
        <w:tc>
          <w:tcPr>
            <w:tcW w:w="980" w:type="dxa"/>
            <w:vAlign w:val="bottom"/>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rPr>
              <w:t>Total Loans</w:t>
            </w:r>
          </w:p>
        </w:tc>
        <w:tc>
          <w:tcPr>
            <w:tcW w:w="1100" w:type="dxa"/>
            <w:vAlign w:val="bottom"/>
            <w:gridSpan w:val="3"/>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6"/>
              </w:rPr>
              <w:t>&amp; Still Accruing</w:t>
            </w:r>
          </w:p>
        </w:tc>
        <w:tc>
          <w:tcPr>
            <w:tcW w:w="120" w:type="dxa"/>
            <w:vAlign w:val="bottom"/>
          </w:tcPr>
          <w:p>
            <w:pPr>
              <w:spacing w:after="0"/>
              <w:rPr>
                <w:sz w:val="15"/>
                <w:szCs w:val="15"/>
                <w:color w:val="auto"/>
              </w:rPr>
            </w:pPr>
          </w:p>
        </w:tc>
        <w:tc>
          <w:tcPr>
            <w:tcW w:w="880" w:type="dxa"/>
            <w:vAlign w:val="bottom"/>
          </w:tcPr>
          <w:p>
            <w:pPr>
              <w:jc w:val="right"/>
              <w:ind w:right="297"/>
              <w:spacing w:after="0"/>
              <w:rPr>
                <w:sz w:val="20"/>
                <w:szCs w:val="20"/>
                <w:color w:val="auto"/>
              </w:rPr>
            </w:pPr>
            <w:r>
              <w:rPr>
                <w:rFonts w:ascii="Times New Roman" w:cs="Times New Roman" w:eastAsia="Times New Roman" w:hAnsi="Times New Roman"/>
                <w:sz w:val="13"/>
                <w:szCs w:val="13"/>
                <w:b w:val="1"/>
                <w:bCs w:val="1"/>
                <w:color w:val="auto"/>
              </w:rPr>
              <w:t>loans</w:t>
            </w:r>
          </w:p>
        </w:tc>
      </w:tr>
      <w:tr>
        <w:trPr>
          <w:trHeight w:val="175"/>
        </w:trPr>
        <w:tc>
          <w:tcPr>
            <w:tcW w:w="24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Commercial real estate</w:t>
            </w:r>
          </w:p>
        </w:tc>
        <w:tc>
          <w:tcPr>
            <w:tcW w:w="240" w:type="dxa"/>
            <w:vAlign w:val="bottom"/>
            <w:tcBorders>
              <w:top w:val="single" w:sz="8" w:color="auto"/>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10,496</w:t>
            </w:r>
          </w:p>
        </w:tc>
        <w:tc>
          <w:tcPr>
            <w:tcW w:w="10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10,496</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1,298,588</w:t>
            </w:r>
          </w:p>
        </w:tc>
        <w:tc>
          <w:tcPr>
            <w:tcW w:w="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1,309,084</w:t>
            </w:r>
          </w:p>
        </w:tc>
        <w:tc>
          <w:tcPr>
            <w:tcW w:w="100" w:type="dxa"/>
            <w:vAlign w:val="bottom"/>
            <w:tcBorders>
              <w:top w:val="single" w:sz="8" w:color="CCEEFF"/>
            </w:tcBorders>
            <w:shd w:val="clear" w:color="auto" w:fill="CCEEFF"/>
          </w:tcPr>
          <w:p>
            <w:pPr>
              <w:spacing w:after="0"/>
              <w:rPr>
                <w:sz w:val="15"/>
                <w:szCs w:val="15"/>
                <w:color w:val="auto"/>
              </w:rPr>
            </w:pPr>
          </w:p>
        </w:tc>
        <w:tc>
          <w:tcPr>
            <w:tcW w:w="440" w:type="dxa"/>
            <w:vAlign w:val="bottom"/>
            <w:tcBorders>
              <w:top w:val="single" w:sz="8" w:color="auto"/>
            </w:tcBorders>
            <w:shd w:val="clear" w:color="auto" w:fill="CCEEFF"/>
          </w:tcPr>
          <w:p>
            <w:pPr>
              <w:jc w:val="right"/>
              <w:ind w:right="297"/>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tcBorders>
              <w:top w:val="single" w:sz="8" w:color="auto"/>
            </w:tcBorders>
            <w:shd w:val="clear" w:color="auto" w:fill="CCEEFF"/>
          </w:tcPr>
          <w:p>
            <w:pPr>
              <w:ind w:left="3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70"/>
        </w:trPr>
        <w:tc>
          <w:tcPr>
            <w:tcW w:w="24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Owner-occupied commercial real estate</w:t>
            </w:r>
          </w:p>
        </w:tc>
        <w:tc>
          <w:tcPr>
            <w:tcW w:w="240" w:type="dxa"/>
            <w:vAlign w:val="bottom"/>
          </w:tcPr>
          <w:p>
            <w:pPr>
              <w:spacing w:after="0"/>
              <w:rPr>
                <w:sz w:val="14"/>
                <w:szCs w:val="14"/>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4"/>
                <w:szCs w:val="14"/>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790</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790</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130,591</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131,381</w:t>
            </w: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60" w:type="dxa"/>
            <w:vAlign w:val="bottom"/>
            <w:gridSpan w:val="2"/>
          </w:tcPr>
          <w:p>
            <w:pPr>
              <w:ind w:left="3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1,000</w:t>
            </w:r>
          </w:p>
        </w:tc>
      </w:tr>
      <w:tr>
        <w:trPr>
          <w:trHeight w:val="181"/>
        </w:trPr>
        <w:tc>
          <w:tcPr>
            <w:tcW w:w="2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Acquisition, construction &amp; development</w:t>
            </w:r>
          </w:p>
        </w:tc>
        <w:tc>
          <w:tcPr>
            <w:tcW w:w="24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49,091</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49,091</w:t>
            </w: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66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70"/>
        </w:trPr>
        <w:tc>
          <w:tcPr>
            <w:tcW w:w="24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Commercial &amp; industrial</w:t>
            </w:r>
          </w:p>
        </w:tc>
        <w:tc>
          <w:tcPr>
            <w:tcW w:w="2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195</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364</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559</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67,288</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67,847</w:t>
            </w: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60" w:type="dxa"/>
            <w:vAlign w:val="bottom"/>
            <w:gridSpan w:val="2"/>
          </w:tcPr>
          <w:p>
            <w:pPr>
              <w:ind w:left="3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81"/>
        </w:trPr>
        <w:tc>
          <w:tcPr>
            <w:tcW w:w="2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Single family residential (1-4 units)</w:t>
            </w:r>
          </w:p>
        </w:tc>
        <w:tc>
          <w:tcPr>
            <w:tcW w:w="24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1,657</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289</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1,532</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3,478</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524,502</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527,980</w:t>
            </w: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66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2,744</w:t>
            </w:r>
          </w:p>
        </w:tc>
      </w:tr>
      <w:tr>
        <w:trPr>
          <w:trHeight w:val="170"/>
        </w:trPr>
        <w:tc>
          <w:tcPr>
            <w:tcW w:w="24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Consumer non-real estate and other</w:t>
            </w:r>
          </w:p>
        </w:tc>
        <w:tc>
          <w:tcPr>
            <w:tcW w:w="2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2,370</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2,373</w:t>
            </w: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60" w:type="dxa"/>
            <w:vAlign w:val="bottom"/>
            <w:gridSpan w:val="2"/>
          </w:tcPr>
          <w:p>
            <w:pPr>
              <w:ind w:left="3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69"/>
        </w:trPr>
        <w:tc>
          <w:tcPr>
            <w:tcW w:w="2460" w:type="dxa"/>
            <w:vAlign w:val="bottom"/>
            <w:tcBorders>
              <w:top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Total</w:t>
            </w:r>
          </w:p>
        </w:tc>
        <w:tc>
          <w:tcPr>
            <w:tcW w:w="240" w:type="dxa"/>
            <w:vAlign w:val="bottom"/>
            <w:tcBorders>
              <w:top w:val="single" w:sz="8" w:color="auto"/>
              <w:bottom w:val="single" w:sz="8" w:color="auto"/>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12,351</w:t>
            </w:r>
          </w:p>
        </w:tc>
        <w:tc>
          <w:tcPr>
            <w:tcW w:w="10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bottom w:val="single" w:sz="8" w:color="auto"/>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653</w:t>
            </w:r>
          </w:p>
        </w:tc>
        <w:tc>
          <w:tcPr>
            <w:tcW w:w="10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bottom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2,322</w:t>
            </w:r>
          </w:p>
        </w:tc>
        <w:tc>
          <w:tcPr>
            <w:tcW w:w="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15,326</w:t>
            </w: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2,072,430</w:t>
            </w:r>
          </w:p>
        </w:tc>
        <w:tc>
          <w:tcPr>
            <w:tcW w:w="8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2,087,756</w:t>
            </w:r>
          </w:p>
        </w:tc>
        <w:tc>
          <w:tcPr>
            <w:tcW w:w="100" w:type="dxa"/>
            <w:vAlign w:val="bottom"/>
            <w:tcBorders>
              <w:top w:val="single" w:sz="8" w:color="CCEEFF"/>
            </w:tcBorders>
            <w:shd w:val="clear" w:color="auto" w:fill="CCEEFF"/>
          </w:tcPr>
          <w:p>
            <w:pPr>
              <w:spacing w:after="0"/>
              <w:rPr>
                <w:sz w:val="14"/>
                <w:szCs w:val="14"/>
                <w:color w:val="auto"/>
              </w:rPr>
            </w:pPr>
          </w:p>
        </w:tc>
        <w:tc>
          <w:tcPr>
            <w:tcW w:w="440" w:type="dxa"/>
            <w:vAlign w:val="bottom"/>
            <w:tcBorders>
              <w:top w:val="single" w:sz="8" w:color="auto"/>
              <w:bottom w:val="single" w:sz="8" w:color="auto"/>
            </w:tcBorders>
            <w:shd w:val="clear" w:color="auto" w:fill="CCEEFF"/>
          </w:tcPr>
          <w:p>
            <w:pPr>
              <w:jc w:val="right"/>
              <w:ind w:right="297"/>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tcBorders>
              <w:top w:val="single" w:sz="8" w:color="auto"/>
              <w:bottom w:val="single" w:sz="8" w:color="auto"/>
            </w:tcBorders>
            <w:shd w:val="clear" w:color="auto" w:fill="CCEEFF"/>
          </w:tcPr>
          <w:p>
            <w:pPr>
              <w:ind w:left="3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3,744</w:t>
            </w:r>
          </w:p>
        </w:tc>
      </w:tr>
    </w:tbl>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Credit Quality Indicators</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categorizes loans into risk categories based on relevant information about the ability of borrowers to service their debt such as: current financial information, historical payment experience, credit documentation, public information, current economic information, and other factors. The Company analyzes loans individually by classifying the loans by credit risk. The Company internally grades all commercial loans at the time of origination. In addition, the Company performs an annual review on the top twenty-five non-homogenous commercial loan relationships as measured by total Company exposure to each borrower. The Company uses the following definitions for credit risk classifications:</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Allowance for Credit Losses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Pass</w:t>
      </w:r>
      <w:r>
        <w:rPr>
          <w:rFonts w:ascii="Times New Roman" w:cs="Times New Roman" w:eastAsia="Times New Roman" w:hAnsi="Times New Roman"/>
          <w:sz w:val="18"/>
          <w:szCs w:val="18"/>
          <w:color w:val="auto"/>
        </w:rPr>
        <w:t>: These include satisfactory loans that have acceptable levels of risk.</w:t>
      </w:r>
    </w:p>
    <w:p>
      <w:pPr>
        <w:spacing w:after="0" w:line="17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Special Mention</w:t>
      </w:r>
      <w:r>
        <w:rPr>
          <w:rFonts w:ascii="Times New Roman" w:cs="Times New Roman" w:eastAsia="Times New Roman" w:hAnsi="Times New Roman"/>
          <w:sz w:val="18"/>
          <w:szCs w:val="18"/>
          <w:color w:val="auto"/>
        </w:rPr>
        <w:t>: Loans classified as special mention have a potential credit weakness that deserves management’s close attention. If left uncorrected,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these potential weaknesses may result in deterioration of the repayment prospects for the loan or of the institution’s credit position at some future date.</w:t>
      </w:r>
    </w:p>
    <w:p>
      <w:pPr>
        <w:spacing w:after="0" w:line="10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Substandard</w:t>
      </w:r>
      <w:r>
        <w:rPr>
          <w:rFonts w:ascii="Times New Roman" w:cs="Times New Roman" w:eastAsia="Times New Roman" w:hAnsi="Times New Roman"/>
          <w:sz w:val="18"/>
          <w:szCs w:val="18"/>
          <w:color w:val="auto"/>
        </w:rPr>
        <w:t>: Loans classified as substandard have a well-defined weakness or weaknesses that jeopardize the orderly liquidation of debt. Loans classified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 substandard are inadequately protected by sound net worth, payment capacity of the borrower, or of the collateral pledged. If weaknesses go uncorrected, there is potential for partial loss of principal and/or interest.</w:t>
      </w:r>
    </w:p>
    <w:p>
      <w:pPr>
        <w:spacing w:after="0" w:line="11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Doubtful</w:t>
      </w:r>
      <w:r>
        <w:rPr>
          <w:rFonts w:ascii="Times New Roman" w:cs="Times New Roman" w:eastAsia="Times New Roman" w:hAnsi="Times New Roman"/>
          <w:sz w:val="18"/>
          <w:szCs w:val="18"/>
          <w:color w:val="auto"/>
        </w:rPr>
        <w:t>: Loans classified as doubtful have all the weaknesses inherent in those classified as substandard, with the added characteristic that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weaknesses make collection or liquidation in full, on the basis of currently existing facts, conditions, and values, highly questionable and unlikely.</w:t>
      </w:r>
    </w:p>
    <w:p>
      <w:pPr>
        <w:spacing w:after="0" w:line="10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Loss</w:t>
      </w:r>
      <w:r>
        <w:rPr>
          <w:rFonts w:ascii="Times New Roman" w:cs="Times New Roman" w:eastAsia="Times New Roman" w:hAnsi="Times New Roman"/>
          <w:sz w:val="18"/>
          <w:szCs w:val="18"/>
          <w:color w:val="auto"/>
        </w:rPr>
        <w:t>: Loans classified as a loss are considered to be uncollectible and cannot be justified to continue as viable assets. While there may be the possibility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some recovery in the future, it is not practical or desirable to defer writing off these loans at the present time.</w:t>
      </w:r>
    </w:p>
    <w:p>
      <w:pPr>
        <w:spacing w:after="0" w:line="10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has a portfolio of smaller homogenous loans that are not individually risk rated that are included within the single family residential and consumer non-real estate and other loan classes. Generally, these loan classes are rated as “Pass” unless these loans are on non-accrual and are then classified as substandard.</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amortized cost basis of the loan portfolio, by year of origination, loan class, and credit quality, as of June 30, 2024,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2023 (in thousands):</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23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3"/>
                <w:szCs w:val="13"/>
                <w:b w:val="1"/>
                <w:bCs w:val="1"/>
                <w:color w:val="auto"/>
              </w:rPr>
              <w:t>June 30, 2024</w:t>
            </w:r>
          </w:p>
        </w:tc>
        <w:tc>
          <w:tcPr>
            <w:tcW w:w="6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r>
      <w:tr>
        <w:trPr>
          <w:trHeight w:val="166"/>
        </w:trPr>
        <w:tc>
          <w:tcPr>
            <w:tcW w:w="2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20" w:type="dxa"/>
            <w:vAlign w:val="bottom"/>
            <w:gridSpan w:val="3"/>
          </w:tcPr>
          <w:p>
            <w:pPr>
              <w:jc w:val="right"/>
              <w:spacing w:after="0"/>
              <w:rPr>
                <w:sz w:val="20"/>
                <w:szCs w:val="20"/>
                <w:color w:val="auto"/>
              </w:rPr>
            </w:pPr>
            <w:r>
              <w:rPr>
                <w:rFonts w:ascii="Times New Roman" w:cs="Times New Roman" w:eastAsia="Times New Roman" w:hAnsi="Times New Roman"/>
                <w:sz w:val="13"/>
                <w:szCs w:val="13"/>
                <w:b w:val="1"/>
                <w:bCs w:val="1"/>
                <w:color w:val="auto"/>
              </w:rPr>
              <w:t>Term Loans</w:t>
            </w: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8"/>
        </w:trPr>
        <w:tc>
          <w:tcPr>
            <w:tcW w:w="23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jc w:val="right"/>
              <w:ind w:right="317"/>
              <w:spacing w:after="0"/>
              <w:rPr>
                <w:sz w:val="20"/>
                <w:szCs w:val="20"/>
                <w:color w:val="auto"/>
              </w:rPr>
            </w:pPr>
            <w:r>
              <w:rPr>
                <w:rFonts w:ascii="Times New Roman" w:cs="Times New Roman" w:eastAsia="Times New Roman" w:hAnsi="Times New Roman"/>
                <w:sz w:val="13"/>
                <w:szCs w:val="13"/>
                <w:b w:val="1"/>
                <w:bCs w:val="1"/>
                <w:color w:val="auto"/>
              </w:rPr>
              <w:t>2024</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jc w:val="right"/>
              <w:ind w:right="317"/>
              <w:spacing w:after="0"/>
              <w:rPr>
                <w:sz w:val="20"/>
                <w:szCs w:val="20"/>
                <w:color w:val="auto"/>
              </w:rPr>
            </w:pPr>
            <w:r>
              <w:rPr>
                <w:rFonts w:ascii="Times New Roman" w:cs="Times New Roman" w:eastAsia="Times New Roman" w:hAnsi="Times New Roman"/>
                <w:sz w:val="13"/>
                <w:szCs w:val="13"/>
                <w:b w:val="1"/>
                <w:bCs w:val="1"/>
                <w:color w:val="auto"/>
              </w:rPr>
              <w:t>2023</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jc w:val="right"/>
              <w:ind w:right="317"/>
              <w:spacing w:after="0"/>
              <w:rPr>
                <w:sz w:val="20"/>
                <w:szCs w:val="20"/>
                <w:color w:val="auto"/>
              </w:rPr>
            </w:pPr>
            <w:r>
              <w:rPr>
                <w:rFonts w:ascii="Times New Roman" w:cs="Times New Roman" w:eastAsia="Times New Roman" w:hAnsi="Times New Roman"/>
                <w:sz w:val="13"/>
                <w:szCs w:val="13"/>
                <w:b w:val="1"/>
                <w:bCs w:val="1"/>
                <w:color w:val="auto"/>
              </w:rPr>
              <w:t>2022</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80" w:type="dxa"/>
            <w:vAlign w:val="bottom"/>
          </w:tcPr>
          <w:p>
            <w:pPr>
              <w:jc w:val="right"/>
              <w:ind w:right="317"/>
              <w:spacing w:after="0"/>
              <w:rPr>
                <w:sz w:val="20"/>
                <w:szCs w:val="20"/>
                <w:color w:val="auto"/>
              </w:rPr>
            </w:pPr>
            <w:r>
              <w:rPr>
                <w:rFonts w:ascii="Times New Roman" w:cs="Times New Roman" w:eastAsia="Times New Roman" w:hAnsi="Times New Roman"/>
                <w:sz w:val="13"/>
                <w:szCs w:val="13"/>
                <w:b w:val="1"/>
                <w:bCs w:val="1"/>
                <w:color w:val="auto"/>
              </w:rPr>
              <w:t>2021</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60" w:type="dxa"/>
            <w:vAlign w:val="bottom"/>
          </w:tcPr>
          <w:p>
            <w:pPr>
              <w:jc w:val="right"/>
              <w:ind w:right="317"/>
              <w:spacing w:after="0"/>
              <w:rPr>
                <w:sz w:val="20"/>
                <w:szCs w:val="20"/>
                <w:color w:val="auto"/>
              </w:rPr>
            </w:pPr>
            <w:r>
              <w:rPr>
                <w:rFonts w:ascii="Times New Roman" w:cs="Times New Roman" w:eastAsia="Times New Roman" w:hAnsi="Times New Roman"/>
                <w:sz w:val="13"/>
                <w:szCs w:val="13"/>
                <w:b w:val="1"/>
                <w:bCs w:val="1"/>
                <w:color w:val="auto"/>
                <w:w w:val="99"/>
              </w:rPr>
              <w:t>2020</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gridSpan w:val="2"/>
          </w:tcPr>
          <w:p>
            <w:pPr>
              <w:ind w:left="140"/>
              <w:spacing w:after="0"/>
              <w:rPr>
                <w:sz w:val="20"/>
                <w:szCs w:val="20"/>
                <w:color w:val="auto"/>
              </w:rPr>
            </w:pPr>
            <w:r>
              <w:rPr>
                <w:rFonts w:ascii="Times New Roman" w:cs="Times New Roman" w:eastAsia="Times New Roman" w:hAnsi="Times New Roman"/>
                <w:sz w:val="13"/>
                <w:szCs w:val="13"/>
                <w:b w:val="1"/>
                <w:bCs w:val="1"/>
                <w:color w:val="auto"/>
              </w:rPr>
              <w:t>Prior</w:t>
            </w:r>
          </w:p>
        </w:tc>
        <w:tc>
          <w:tcPr>
            <w:tcW w:w="1120" w:type="dxa"/>
            <w:vAlign w:val="bottom"/>
            <w:gridSpan w:val="3"/>
          </w:tcPr>
          <w:p>
            <w:pPr>
              <w:ind w:left="60"/>
              <w:spacing w:after="0"/>
              <w:rPr>
                <w:sz w:val="20"/>
                <w:szCs w:val="20"/>
                <w:color w:val="auto"/>
              </w:rPr>
            </w:pPr>
            <w:r>
              <w:rPr>
                <w:rFonts w:ascii="Times New Roman" w:cs="Times New Roman" w:eastAsia="Times New Roman" w:hAnsi="Times New Roman"/>
                <w:sz w:val="13"/>
                <w:szCs w:val="13"/>
                <w:b w:val="1"/>
                <w:bCs w:val="1"/>
                <w:color w:val="auto"/>
              </w:rPr>
              <w:t>Revolving Loans</w:t>
            </w:r>
          </w:p>
        </w:tc>
        <w:tc>
          <w:tcPr>
            <w:tcW w:w="220" w:type="dxa"/>
            <w:vAlign w:val="bottom"/>
          </w:tcPr>
          <w:p>
            <w:pPr>
              <w:spacing w:after="0"/>
              <w:rPr>
                <w:sz w:val="15"/>
                <w:szCs w:val="15"/>
                <w:color w:val="auto"/>
              </w:rPr>
            </w:pPr>
          </w:p>
        </w:tc>
        <w:tc>
          <w:tcPr>
            <w:tcW w:w="800" w:type="dxa"/>
            <w:vAlign w:val="bottom"/>
          </w:tcPr>
          <w:p>
            <w:pPr>
              <w:jc w:val="right"/>
              <w:ind w:right="297"/>
              <w:spacing w:after="0"/>
              <w:rPr>
                <w:sz w:val="20"/>
                <w:szCs w:val="20"/>
                <w:color w:val="auto"/>
              </w:rPr>
            </w:pPr>
            <w:r>
              <w:rPr>
                <w:rFonts w:ascii="Times New Roman" w:cs="Times New Roman" w:eastAsia="Times New Roman" w:hAnsi="Times New Roman"/>
                <w:sz w:val="13"/>
                <w:szCs w:val="13"/>
                <w:b w:val="1"/>
                <w:bCs w:val="1"/>
                <w:color w:val="auto"/>
              </w:rPr>
              <w:t>Total</w:t>
            </w:r>
          </w:p>
        </w:tc>
      </w:tr>
      <w:tr>
        <w:trPr>
          <w:trHeight w:val="162"/>
        </w:trPr>
        <w:tc>
          <w:tcPr>
            <w:tcW w:w="23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Commercial real estate</w:t>
            </w:r>
          </w:p>
        </w:tc>
        <w:tc>
          <w:tcPr>
            <w:tcW w:w="240" w:type="dxa"/>
            <w:vAlign w:val="bottom"/>
            <w:tcBorders>
              <w:top w:val="single" w:sz="8" w:color="auto"/>
            </w:tcBorders>
            <w:shd w:val="clear" w:color="auto" w:fill="CCEEFF"/>
          </w:tcPr>
          <w:p>
            <w:pPr>
              <w:spacing w:after="0"/>
              <w:rPr>
                <w:sz w:val="14"/>
                <w:szCs w:val="14"/>
                <w:color w:val="auto"/>
              </w:rPr>
            </w:pPr>
          </w:p>
        </w:tc>
        <w:tc>
          <w:tcPr>
            <w:tcW w:w="7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spacing w:after="0"/>
              <w:rPr>
                <w:sz w:val="14"/>
                <w:szCs w:val="14"/>
                <w:color w:val="auto"/>
              </w:rPr>
            </w:pPr>
          </w:p>
        </w:tc>
        <w:tc>
          <w:tcPr>
            <w:tcW w:w="7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spacing w:after="0"/>
              <w:rPr>
                <w:sz w:val="14"/>
                <w:szCs w:val="14"/>
                <w:color w:val="auto"/>
              </w:rPr>
            </w:pPr>
          </w:p>
        </w:tc>
        <w:tc>
          <w:tcPr>
            <w:tcW w:w="7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340" w:type="dxa"/>
            <w:vAlign w:val="bottom"/>
            <w:tcBorders>
              <w:top w:val="single" w:sz="8" w:color="auto"/>
            </w:tcBorders>
            <w:shd w:val="clear" w:color="auto" w:fill="CCEEFF"/>
          </w:tcPr>
          <w:p>
            <w:pPr>
              <w:spacing w:after="0"/>
              <w:rPr>
                <w:sz w:val="14"/>
                <w:szCs w:val="14"/>
                <w:color w:val="auto"/>
              </w:rPr>
            </w:pPr>
          </w:p>
        </w:tc>
        <w:tc>
          <w:tcPr>
            <w:tcW w:w="6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360" w:type="dxa"/>
            <w:vAlign w:val="bottom"/>
            <w:tcBorders>
              <w:top w:val="single" w:sz="8" w:color="auto"/>
            </w:tcBorders>
            <w:shd w:val="clear" w:color="auto" w:fill="CCEEFF"/>
          </w:tcPr>
          <w:p>
            <w:pPr>
              <w:spacing w:after="0"/>
              <w:rPr>
                <w:sz w:val="14"/>
                <w:szCs w:val="14"/>
                <w:color w:val="auto"/>
              </w:rPr>
            </w:pPr>
          </w:p>
        </w:tc>
        <w:tc>
          <w:tcPr>
            <w:tcW w:w="6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spacing w:after="0"/>
              <w:rPr>
                <w:sz w:val="14"/>
                <w:szCs w:val="14"/>
                <w:color w:val="auto"/>
              </w:rPr>
            </w:pPr>
          </w:p>
        </w:tc>
        <w:tc>
          <w:tcPr>
            <w:tcW w:w="8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360" w:type="dxa"/>
            <w:vAlign w:val="bottom"/>
            <w:tcBorders>
              <w:top w:val="single" w:sz="8" w:color="auto"/>
            </w:tcBorders>
            <w:shd w:val="clear" w:color="auto" w:fill="CCEEFF"/>
          </w:tcPr>
          <w:p>
            <w:pPr>
              <w:spacing w:after="0"/>
              <w:rPr>
                <w:sz w:val="14"/>
                <w:szCs w:val="14"/>
                <w:color w:val="auto"/>
              </w:rPr>
            </w:pPr>
          </w:p>
        </w:tc>
        <w:tc>
          <w:tcPr>
            <w:tcW w:w="6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spacing w:after="0"/>
              <w:rPr>
                <w:sz w:val="14"/>
                <w:szCs w:val="14"/>
                <w:color w:val="auto"/>
              </w:rPr>
            </w:pPr>
          </w:p>
        </w:tc>
        <w:tc>
          <w:tcPr>
            <w:tcW w:w="800" w:type="dxa"/>
            <w:vAlign w:val="bottom"/>
            <w:tcBorders>
              <w:top w:val="single" w:sz="8" w:color="auto"/>
            </w:tcBorders>
            <w:shd w:val="clear" w:color="auto" w:fill="CCEEFF"/>
          </w:tcPr>
          <w:p>
            <w:pPr>
              <w:spacing w:after="0"/>
              <w:rPr>
                <w:sz w:val="14"/>
                <w:szCs w:val="14"/>
                <w:color w:val="auto"/>
              </w:rPr>
            </w:pPr>
          </w:p>
        </w:tc>
      </w:tr>
      <w:tr>
        <w:trPr>
          <w:trHeight w:val="170"/>
        </w:trPr>
        <w:tc>
          <w:tcPr>
            <w:tcW w:w="232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Pass</w:t>
            </w:r>
          </w:p>
        </w:tc>
        <w:tc>
          <w:tcPr>
            <w:tcW w:w="24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70,985</w:t>
            </w:r>
          </w:p>
        </w:tc>
        <w:tc>
          <w:tcPr>
            <w:tcW w:w="100" w:type="dxa"/>
            <w:vAlign w:val="bottom"/>
          </w:tcPr>
          <w:p>
            <w:pPr>
              <w:spacing w:after="0"/>
              <w:rPr>
                <w:sz w:val="14"/>
                <w:szCs w:val="14"/>
                <w:color w:val="auto"/>
              </w:rPr>
            </w:pPr>
          </w:p>
        </w:tc>
        <w:tc>
          <w:tcPr>
            <w:tcW w:w="24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355,955</w:t>
            </w:r>
          </w:p>
        </w:tc>
        <w:tc>
          <w:tcPr>
            <w:tcW w:w="100" w:type="dxa"/>
            <w:vAlign w:val="bottom"/>
          </w:tcPr>
          <w:p>
            <w:pPr>
              <w:spacing w:after="0"/>
              <w:rPr>
                <w:sz w:val="14"/>
                <w:szCs w:val="14"/>
                <w:color w:val="auto"/>
              </w:rPr>
            </w:pPr>
          </w:p>
        </w:tc>
        <w:tc>
          <w:tcPr>
            <w:tcW w:w="24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507,302</w:t>
            </w:r>
          </w:p>
        </w:tc>
        <w:tc>
          <w:tcPr>
            <w:tcW w:w="100" w:type="dxa"/>
            <w:vAlign w:val="bottom"/>
          </w:tcPr>
          <w:p>
            <w:pPr>
              <w:spacing w:after="0"/>
              <w:rPr>
                <w:sz w:val="14"/>
                <w:szCs w:val="14"/>
                <w:color w:val="auto"/>
              </w:rPr>
            </w:pPr>
          </w:p>
        </w:tc>
        <w:tc>
          <w:tcPr>
            <w:tcW w:w="340" w:type="dxa"/>
            <w:vAlign w:val="bottom"/>
          </w:tcPr>
          <w:p>
            <w:pPr>
              <w:jc w:val="right"/>
              <w:ind w:right="197"/>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380,673</w:t>
            </w:r>
          </w:p>
        </w:tc>
        <w:tc>
          <w:tcPr>
            <w:tcW w:w="100" w:type="dxa"/>
            <w:vAlign w:val="bottom"/>
          </w:tcPr>
          <w:p>
            <w:pPr>
              <w:spacing w:after="0"/>
              <w:rPr>
                <w:sz w:val="14"/>
                <w:szCs w:val="14"/>
                <w:color w:val="auto"/>
              </w:rPr>
            </w:pPr>
          </w:p>
        </w:tc>
        <w:tc>
          <w:tcPr>
            <w:tcW w:w="360" w:type="dxa"/>
            <w:vAlign w:val="bottom"/>
          </w:tcPr>
          <w:p>
            <w:pPr>
              <w:jc w:val="right"/>
              <w:ind w:right="217"/>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164,754</w:t>
            </w:r>
          </w:p>
        </w:tc>
        <w:tc>
          <w:tcPr>
            <w:tcW w:w="100" w:type="dxa"/>
            <w:vAlign w:val="bottom"/>
          </w:tcPr>
          <w:p>
            <w:pPr>
              <w:spacing w:after="0"/>
              <w:rPr>
                <w:sz w:val="14"/>
                <w:szCs w:val="14"/>
                <w:color w:val="auto"/>
              </w:rPr>
            </w:pPr>
          </w:p>
        </w:tc>
        <w:tc>
          <w:tcPr>
            <w:tcW w:w="22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730,919</w:t>
            </w:r>
          </w:p>
        </w:tc>
        <w:tc>
          <w:tcPr>
            <w:tcW w:w="100" w:type="dxa"/>
            <w:vAlign w:val="bottom"/>
          </w:tcPr>
          <w:p>
            <w:pPr>
              <w:spacing w:after="0"/>
              <w:rPr>
                <w:sz w:val="14"/>
                <w:szCs w:val="14"/>
                <w:color w:val="auto"/>
              </w:rPr>
            </w:pPr>
          </w:p>
        </w:tc>
        <w:tc>
          <w:tcPr>
            <w:tcW w:w="360" w:type="dxa"/>
            <w:vAlign w:val="bottom"/>
          </w:tcPr>
          <w:p>
            <w:pPr>
              <w:jc w:val="right"/>
              <w:ind w:right="217"/>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61,043</w:t>
            </w:r>
          </w:p>
        </w:tc>
        <w:tc>
          <w:tcPr>
            <w:tcW w:w="100" w:type="dxa"/>
            <w:vAlign w:val="bottom"/>
          </w:tcPr>
          <w:p>
            <w:pPr>
              <w:spacing w:after="0"/>
              <w:rPr>
                <w:sz w:val="14"/>
                <w:szCs w:val="14"/>
                <w:color w:val="auto"/>
              </w:rPr>
            </w:pPr>
          </w:p>
        </w:tc>
        <w:tc>
          <w:tcPr>
            <w:tcW w:w="22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2,271,631</w:t>
            </w:r>
          </w:p>
        </w:tc>
      </w:tr>
      <w:tr>
        <w:trPr>
          <w:trHeight w:val="181"/>
        </w:trPr>
        <w:tc>
          <w:tcPr>
            <w:tcW w:w="2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Special Mention</w:t>
            </w:r>
          </w:p>
        </w:tc>
        <w:tc>
          <w:tcPr>
            <w:tcW w:w="24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25,607</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40,739</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27,804</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10,033</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14,293</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1,960</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120,436</w:t>
            </w:r>
          </w:p>
        </w:tc>
      </w:tr>
      <w:tr>
        <w:trPr>
          <w:trHeight w:val="170"/>
        </w:trPr>
        <w:tc>
          <w:tcPr>
            <w:tcW w:w="232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Substandard</w:t>
            </w:r>
          </w:p>
        </w:tc>
        <w:tc>
          <w:tcPr>
            <w:tcW w:w="240" w:type="dxa"/>
            <w:vAlign w:val="bottom"/>
          </w:tcPr>
          <w:p>
            <w:pPr>
              <w:spacing w:after="0"/>
              <w:rPr>
                <w:sz w:val="14"/>
                <w:szCs w:val="14"/>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2,375</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30,230</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35,806</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9,871</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73,141</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178</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151,601</w:t>
            </w:r>
          </w:p>
        </w:tc>
      </w:tr>
      <w:tr>
        <w:trPr>
          <w:trHeight w:val="181"/>
        </w:trPr>
        <w:tc>
          <w:tcPr>
            <w:tcW w:w="2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Doubtful</w:t>
            </w:r>
          </w:p>
        </w:tc>
        <w:tc>
          <w:tcPr>
            <w:tcW w:w="24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70"/>
        </w:trPr>
        <w:tc>
          <w:tcPr>
            <w:tcW w:w="232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Loss</w:t>
            </w:r>
          </w:p>
        </w:tc>
        <w:tc>
          <w:tcPr>
            <w:tcW w:w="240" w:type="dxa"/>
            <w:vAlign w:val="bottom"/>
          </w:tcPr>
          <w:p>
            <w:pPr>
              <w:spacing w:after="0"/>
              <w:rPr>
                <w:sz w:val="14"/>
                <w:szCs w:val="14"/>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4"/>
                <w:szCs w:val="14"/>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4"/>
                <w:szCs w:val="14"/>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tcPr>
          <w:p>
            <w:pPr>
              <w:spacing w:after="0"/>
              <w:rPr>
                <w:sz w:val="14"/>
                <w:szCs w:val="14"/>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tcPr>
          <w:p>
            <w:pPr>
              <w:spacing w:after="0"/>
              <w:rPr>
                <w:sz w:val="14"/>
                <w:szCs w:val="14"/>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tcPr>
          <w:p>
            <w:pPr>
              <w:spacing w:after="0"/>
              <w:rPr>
                <w:sz w:val="14"/>
                <w:szCs w:val="14"/>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69"/>
        </w:trPr>
        <w:tc>
          <w:tcPr>
            <w:tcW w:w="23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Total</w:t>
            </w:r>
          </w:p>
        </w:tc>
        <w:tc>
          <w:tcPr>
            <w:tcW w:w="240" w:type="dxa"/>
            <w:vAlign w:val="bottom"/>
            <w:tcBorders>
              <w:top w:val="single" w:sz="8" w:color="auto"/>
              <w:bottom w:val="single" w:sz="8" w:color="auto"/>
            </w:tcBorders>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70,985</w:t>
            </w:r>
          </w:p>
        </w:tc>
        <w:tc>
          <w:tcPr>
            <w:tcW w:w="10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bottom w:val="single" w:sz="8" w:color="auto"/>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383,937</w:t>
            </w:r>
          </w:p>
        </w:tc>
        <w:tc>
          <w:tcPr>
            <w:tcW w:w="10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bottom w:val="single" w:sz="8" w:color="auto"/>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578,271</w:t>
            </w:r>
          </w:p>
        </w:tc>
        <w:tc>
          <w:tcPr>
            <w:tcW w:w="100" w:type="dxa"/>
            <w:vAlign w:val="bottom"/>
            <w:tcBorders>
              <w:top w:val="single" w:sz="8" w:color="CCEEFF"/>
            </w:tcBorders>
            <w:shd w:val="clear" w:color="auto" w:fill="CCEEFF"/>
          </w:tcPr>
          <w:p>
            <w:pPr>
              <w:spacing w:after="0"/>
              <w:rPr>
                <w:sz w:val="14"/>
                <w:szCs w:val="14"/>
                <w:color w:val="auto"/>
              </w:rPr>
            </w:pPr>
          </w:p>
        </w:tc>
        <w:tc>
          <w:tcPr>
            <w:tcW w:w="340" w:type="dxa"/>
            <w:vAlign w:val="bottom"/>
            <w:tcBorders>
              <w:top w:val="single" w:sz="8" w:color="auto"/>
              <w:bottom w:val="single" w:sz="8" w:color="auto"/>
            </w:tcBorders>
            <w:shd w:val="clear" w:color="auto" w:fill="CCEEFF"/>
          </w:tcPr>
          <w:p>
            <w:pPr>
              <w:jc w:val="right"/>
              <w:ind w:right="197"/>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444,283</w:t>
            </w:r>
          </w:p>
        </w:tc>
        <w:tc>
          <w:tcPr>
            <w:tcW w:w="100" w:type="dxa"/>
            <w:vAlign w:val="bottom"/>
            <w:tcBorders>
              <w:top w:val="single" w:sz="8" w:color="CCEEFF"/>
            </w:tcBorders>
            <w:shd w:val="clear" w:color="auto" w:fill="CCEEFF"/>
          </w:tcPr>
          <w:p>
            <w:pPr>
              <w:spacing w:after="0"/>
              <w:rPr>
                <w:sz w:val="14"/>
                <w:szCs w:val="14"/>
                <w:color w:val="auto"/>
              </w:rPr>
            </w:pPr>
          </w:p>
        </w:tc>
        <w:tc>
          <w:tcPr>
            <w:tcW w:w="360" w:type="dxa"/>
            <w:vAlign w:val="bottom"/>
            <w:tcBorders>
              <w:top w:val="single" w:sz="8" w:color="auto"/>
              <w:bottom w:val="single" w:sz="8" w:color="auto"/>
            </w:tcBorders>
            <w:shd w:val="clear" w:color="auto" w:fill="CCEEFF"/>
          </w:tcPr>
          <w:p>
            <w:pPr>
              <w:jc w:val="right"/>
              <w:ind w:right="217"/>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184,658</w:t>
            </w:r>
          </w:p>
        </w:tc>
        <w:tc>
          <w:tcPr>
            <w:tcW w:w="10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bottom w:val="single" w:sz="8" w:color="auto"/>
            </w:tcBorders>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818,353</w:t>
            </w:r>
          </w:p>
        </w:tc>
        <w:tc>
          <w:tcPr>
            <w:tcW w:w="100" w:type="dxa"/>
            <w:vAlign w:val="bottom"/>
            <w:tcBorders>
              <w:top w:val="single" w:sz="8" w:color="CCEEFF"/>
            </w:tcBorders>
            <w:shd w:val="clear" w:color="auto" w:fill="CCEEFF"/>
          </w:tcPr>
          <w:p>
            <w:pPr>
              <w:spacing w:after="0"/>
              <w:rPr>
                <w:sz w:val="14"/>
                <w:szCs w:val="14"/>
                <w:color w:val="auto"/>
              </w:rPr>
            </w:pPr>
          </w:p>
        </w:tc>
        <w:tc>
          <w:tcPr>
            <w:tcW w:w="360" w:type="dxa"/>
            <w:vAlign w:val="bottom"/>
            <w:tcBorders>
              <w:top w:val="single" w:sz="8" w:color="auto"/>
              <w:bottom w:val="single" w:sz="8" w:color="auto"/>
            </w:tcBorders>
            <w:shd w:val="clear" w:color="auto" w:fill="CCEEFF"/>
          </w:tcPr>
          <w:p>
            <w:pPr>
              <w:jc w:val="right"/>
              <w:ind w:right="217"/>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63,181</w:t>
            </w:r>
          </w:p>
        </w:tc>
        <w:tc>
          <w:tcPr>
            <w:tcW w:w="10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bottom w:val="single" w:sz="8" w:color="auto"/>
            </w:tcBorders>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2,543,668</w:t>
            </w:r>
          </w:p>
        </w:tc>
      </w:tr>
      <w:tr>
        <w:trPr>
          <w:trHeight w:val="148"/>
        </w:trPr>
        <w:tc>
          <w:tcPr>
            <w:tcW w:w="2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r>
      <w:tr>
        <w:trPr>
          <w:trHeight w:val="170"/>
        </w:trPr>
        <w:tc>
          <w:tcPr>
            <w:tcW w:w="2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Year to date gross charge-offs</w:t>
            </w:r>
          </w:p>
        </w:tc>
        <w:tc>
          <w:tcPr>
            <w:tcW w:w="24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shd w:val="clear" w:color="auto" w:fill="CCEEFF"/>
          </w:tcPr>
          <w:p>
            <w:pPr>
              <w:jc w:val="right"/>
              <w:ind w:right="197"/>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shd w:val="clear" w:color="auto" w:fill="CCEEFF"/>
          </w:tcPr>
          <w:p>
            <w:pPr>
              <w:jc w:val="right"/>
              <w:ind w:right="217"/>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210</w:t>
            </w: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jc w:val="right"/>
              <w:ind w:right="217"/>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210</w:t>
            </w:r>
          </w:p>
        </w:tc>
      </w:tr>
      <w:tr>
        <w:trPr>
          <w:trHeight w:val="148"/>
        </w:trPr>
        <w:tc>
          <w:tcPr>
            <w:tcW w:w="232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r>
      <w:tr>
        <w:trPr>
          <w:trHeight w:val="175"/>
        </w:trPr>
        <w:tc>
          <w:tcPr>
            <w:tcW w:w="2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Owner-occupied commercial real estate</w:t>
            </w:r>
          </w:p>
        </w:tc>
        <w:tc>
          <w:tcPr>
            <w:tcW w:w="2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r>
      <w:tr>
        <w:trPr>
          <w:trHeight w:val="170"/>
        </w:trPr>
        <w:tc>
          <w:tcPr>
            <w:tcW w:w="232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Pass</w:t>
            </w:r>
          </w:p>
        </w:tc>
        <w:tc>
          <w:tcPr>
            <w:tcW w:w="24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33,439</w:t>
            </w:r>
          </w:p>
        </w:tc>
        <w:tc>
          <w:tcPr>
            <w:tcW w:w="100" w:type="dxa"/>
            <w:vAlign w:val="bottom"/>
          </w:tcPr>
          <w:p>
            <w:pPr>
              <w:spacing w:after="0"/>
              <w:rPr>
                <w:sz w:val="14"/>
                <w:szCs w:val="14"/>
                <w:color w:val="auto"/>
              </w:rPr>
            </w:pPr>
          </w:p>
        </w:tc>
        <w:tc>
          <w:tcPr>
            <w:tcW w:w="24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61,048</w:t>
            </w:r>
          </w:p>
        </w:tc>
        <w:tc>
          <w:tcPr>
            <w:tcW w:w="100" w:type="dxa"/>
            <w:vAlign w:val="bottom"/>
          </w:tcPr>
          <w:p>
            <w:pPr>
              <w:spacing w:after="0"/>
              <w:rPr>
                <w:sz w:val="14"/>
                <w:szCs w:val="14"/>
                <w:color w:val="auto"/>
              </w:rPr>
            </w:pPr>
          </w:p>
        </w:tc>
        <w:tc>
          <w:tcPr>
            <w:tcW w:w="24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95,694</w:t>
            </w:r>
          </w:p>
        </w:tc>
        <w:tc>
          <w:tcPr>
            <w:tcW w:w="100" w:type="dxa"/>
            <w:vAlign w:val="bottom"/>
          </w:tcPr>
          <w:p>
            <w:pPr>
              <w:spacing w:after="0"/>
              <w:rPr>
                <w:sz w:val="14"/>
                <w:szCs w:val="14"/>
                <w:color w:val="auto"/>
              </w:rPr>
            </w:pPr>
          </w:p>
        </w:tc>
        <w:tc>
          <w:tcPr>
            <w:tcW w:w="340" w:type="dxa"/>
            <w:vAlign w:val="bottom"/>
          </w:tcPr>
          <w:p>
            <w:pPr>
              <w:jc w:val="right"/>
              <w:ind w:right="197"/>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149,655</w:t>
            </w:r>
          </w:p>
        </w:tc>
        <w:tc>
          <w:tcPr>
            <w:tcW w:w="100" w:type="dxa"/>
            <w:vAlign w:val="bottom"/>
          </w:tcPr>
          <w:p>
            <w:pPr>
              <w:spacing w:after="0"/>
              <w:rPr>
                <w:sz w:val="14"/>
                <w:szCs w:val="14"/>
                <w:color w:val="auto"/>
              </w:rPr>
            </w:pPr>
          </w:p>
        </w:tc>
        <w:tc>
          <w:tcPr>
            <w:tcW w:w="360" w:type="dxa"/>
            <w:vAlign w:val="bottom"/>
          </w:tcPr>
          <w:p>
            <w:pPr>
              <w:jc w:val="right"/>
              <w:ind w:right="217"/>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39,494</w:t>
            </w:r>
          </w:p>
        </w:tc>
        <w:tc>
          <w:tcPr>
            <w:tcW w:w="100" w:type="dxa"/>
            <w:vAlign w:val="bottom"/>
          </w:tcPr>
          <w:p>
            <w:pPr>
              <w:spacing w:after="0"/>
              <w:rPr>
                <w:sz w:val="14"/>
                <w:szCs w:val="14"/>
                <w:color w:val="auto"/>
              </w:rPr>
            </w:pPr>
          </w:p>
        </w:tc>
        <w:tc>
          <w:tcPr>
            <w:tcW w:w="22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196,507</w:t>
            </w:r>
          </w:p>
        </w:tc>
        <w:tc>
          <w:tcPr>
            <w:tcW w:w="100" w:type="dxa"/>
            <w:vAlign w:val="bottom"/>
          </w:tcPr>
          <w:p>
            <w:pPr>
              <w:spacing w:after="0"/>
              <w:rPr>
                <w:sz w:val="14"/>
                <w:szCs w:val="14"/>
                <w:color w:val="auto"/>
              </w:rPr>
            </w:pPr>
          </w:p>
        </w:tc>
        <w:tc>
          <w:tcPr>
            <w:tcW w:w="360" w:type="dxa"/>
            <w:vAlign w:val="bottom"/>
          </w:tcPr>
          <w:p>
            <w:pPr>
              <w:jc w:val="right"/>
              <w:ind w:right="217"/>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16,667</w:t>
            </w:r>
          </w:p>
        </w:tc>
        <w:tc>
          <w:tcPr>
            <w:tcW w:w="100" w:type="dxa"/>
            <w:vAlign w:val="bottom"/>
          </w:tcPr>
          <w:p>
            <w:pPr>
              <w:spacing w:after="0"/>
              <w:rPr>
                <w:sz w:val="14"/>
                <w:szCs w:val="14"/>
                <w:color w:val="auto"/>
              </w:rPr>
            </w:pPr>
          </w:p>
        </w:tc>
        <w:tc>
          <w:tcPr>
            <w:tcW w:w="22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592,504</w:t>
            </w:r>
          </w:p>
        </w:tc>
      </w:tr>
      <w:tr>
        <w:trPr>
          <w:trHeight w:val="181"/>
        </w:trPr>
        <w:tc>
          <w:tcPr>
            <w:tcW w:w="2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Special Mention</w:t>
            </w:r>
          </w:p>
        </w:tc>
        <w:tc>
          <w:tcPr>
            <w:tcW w:w="24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11,000</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2,780</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13,780</w:t>
            </w:r>
          </w:p>
        </w:tc>
      </w:tr>
      <w:tr>
        <w:trPr>
          <w:trHeight w:val="170"/>
        </w:trPr>
        <w:tc>
          <w:tcPr>
            <w:tcW w:w="232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Substandard</w:t>
            </w:r>
          </w:p>
        </w:tc>
        <w:tc>
          <w:tcPr>
            <w:tcW w:w="240" w:type="dxa"/>
            <w:vAlign w:val="bottom"/>
          </w:tcPr>
          <w:p>
            <w:pPr>
              <w:spacing w:after="0"/>
              <w:rPr>
                <w:sz w:val="14"/>
                <w:szCs w:val="14"/>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4"/>
                <w:szCs w:val="14"/>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5,482</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1,498</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6,095</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6,525</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170</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19,770</w:t>
            </w:r>
          </w:p>
        </w:tc>
      </w:tr>
      <w:tr>
        <w:trPr>
          <w:trHeight w:val="181"/>
        </w:trPr>
        <w:tc>
          <w:tcPr>
            <w:tcW w:w="2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Doubtful</w:t>
            </w:r>
          </w:p>
        </w:tc>
        <w:tc>
          <w:tcPr>
            <w:tcW w:w="24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321</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321</w:t>
            </w:r>
          </w:p>
        </w:tc>
      </w:tr>
      <w:tr>
        <w:trPr>
          <w:trHeight w:val="170"/>
        </w:trPr>
        <w:tc>
          <w:tcPr>
            <w:tcW w:w="232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Loss</w:t>
            </w:r>
          </w:p>
        </w:tc>
        <w:tc>
          <w:tcPr>
            <w:tcW w:w="240" w:type="dxa"/>
            <w:vAlign w:val="bottom"/>
          </w:tcPr>
          <w:p>
            <w:pPr>
              <w:spacing w:after="0"/>
              <w:rPr>
                <w:sz w:val="14"/>
                <w:szCs w:val="14"/>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4"/>
                <w:szCs w:val="14"/>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4"/>
                <w:szCs w:val="14"/>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tcPr>
          <w:p>
            <w:pPr>
              <w:spacing w:after="0"/>
              <w:rPr>
                <w:sz w:val="14"/>
                <w:szCs w:val="14"/>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tcPr>
          <w:p>
            <w:pPr>
              <w:spacing w:after="0"/>
              <w:rPr>
                <w:sz w:val="14"/>
                <w:szCs w:val="14"/>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tcPr>
          <w:p>
            <w:pPr>
              <w:spacing w:after="0"/>
              <w:rPr>
                <w:sz w:val="14"/>
                <w:szCs w:val="14"/>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69"/>
        </w:trPr>
        <w:tc>
          <w:tcPr>
            <w:tcW w:w="23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Total</w:t>
            </w:r>
          </w:p>
        </w:tc>
        <w:tc>
          <w:tcPr>
            <w:tcW w:w="240" w:type="dxa"/>
            <w:vAlign w:val="bottom"/>
            <w:tcBorders>
              <w:top w:val="single" w:sz="8" w:color="auto"/>
              <w:bottom w:val="single" w:sz="8" w:color="auto"/>
            </w:tcBorders>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33,439</w:t>
            </w:r>
          </w:p>
        </w:tc>
        <w:tc>
          <w:tcPr>
            <w:tcW w:w="10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bottom w:val="single" w:sz="8" w:color="auto"/>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61,048</w:t>
            </w:r>
          </w:p>
        </w:tc>
        <w:tc>
          <w:tcPr>
            <w:tcW w:w="10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bottom w:val="single" w:sz="8" w:color="auto"/>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101,176</w:t>
            </w:r>
          </w:p>
        </w:tc>
        <w:tc>
          <w:tcPr>
            <w:tcW w:w="100" w:type="dxa"/>
            <w:vAlign w:val="bottom"/>
            <w:tcBorders>
              <w:top w:val="single" w:sz="8" w:color="CCEEFF"/>
            </w:tcBorders>
            <w:shd w:val="clear" w:color="auto" w:fill="CCEEFF"/>
          </w:tcPr>
          <w:p>
            <w:pPr>
              <w:spacing w:after="0"/>
              <w:rPr>
                <w:sz w:val="14"/>
                <w:szCs w:val="14"/>
                <w:color w:val="auto"/>
              </w:rPr>
            </w:pPr>
          </w:p>
        </w:tc>
        <w:tc>
          <w:tcPr>
            <w:tcW w:w="340" w:type="dxa"/>
            <w:vAlign w:val="bottom"/>
            <w:tcBorders>
              <w:top w:val="single" w:sz="8" w:color="auto"/>
              <w:bottom w:val="single" w:sz="8" w:color="auto"/>
            </w:tcBorders>
            <w:shd w:val="clear" w:color="auto" w:fill="CCEEFF"/>
          </w:tcPr>
          <w:p>
            <w:pPr>
              <w:jc w:val="right"/>
              <w:ind w:right="197"/>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162,153</w:t>
            </w:r>
          </w:p>
        </w:tc>
        <w:tc>
          <w:tcPr>
            <w:tcW w:w="100" w:type="dxa"/>
            <w:vAlign w:val="bottom"/>
            <w:tcBorders>
              <w:top w:val="single" w:sz="8" w:color="CCEEFF"/>
            </w:tcBorders>
            <w:shd w:val="clear" w:color="auto" w:fill="CCEEFF"/>
          </w:tcPr>
          <w:p>
            <w:pPr>
              <w:spacing w:after="0"/>
              <w:rPr>
                <w:sz w:val="14"/>
                <w:szCs w:val="14"/>
                <w:color w:val="auto"/>
              </w:rPr>
            </w:pPr>
          </w:p>
        </w:tc>
        <w:tc>
          <w:tcPr>
            <w:tcW w:w="360" w:type="dxa"/>
            <w:vAlign w:val="bottom"/>
            <w:tcBorders>
              <w:top w:val="single" w:sz="8" w:color="auto"/>
              <w:bottom w:val="single" w:sz="8" w:color="auto"/>
            </w:tcBorders>
            <w:shd w:val="clear" w:color="auto" w:fill="CCEEFF"/>
          </w:tcPr>
          <w:p>
            <w:pPr>
              <w:jc w:val="right"/>
              <w:ind w:right="217"/>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48,369</w:t>
            </w:r>
          </w:p>
        </w:tc>
        <w:tc>
          <w:tcPr>
            <w:tcW w:w="10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bottom w:val="single" w:sz="8" w:color="auto"/>
            </w:tcBorders>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203,353</w:t>
            </w:r>
          </w:p>
        </w:tc>
        <w:tc>
          <w:tcPr>
            <w:tcW w:w="100" w:type="dxa"/>
            <w:vAlign w:val="bottom"/>
            <w:tcBorders>
              <w:top w:val="single" w:sz="8" w:color="CCEEFF"/>
            </w:tcBorders>
            <w:shd w:val="clear" w:color="auto" w:fill="CCEEFF"/>
          </w:tcPr>
          <w:p>
            <w:pPr>
              <w:spacing w:after="0"/>
              <w:rPr>
                <w:sz w:val="14"/>
                <w:szCs w:val="14"/>
                <w:color w:val="auto"/>
              </w:rPr>
            </w:pPr>
          </w:p>
        </w:tc>
        <w:tc>
          <w:tcPr>
            <w:tcW w:w="360" w:type="dxa"/>
            <w:vAlign w:val="bottom"/>
            <w:tcBorders>
              <w:top w:val="single" w:sz="8" w:color="auto"/>
              <w:bottom w:val="single" w:sz="8" w:color="auto"/>
            </w:tcBorders>
            <w:shd w:val="clear" w:color="auto" w:fill="CCEEFF"/>
          </w:tcPr>
          <w:p>
            <w:pPr>
              <w:jc w:val="right"/>
              <w:ind w:right="217"/>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16,837</w:t>
            </w:r>
          </w:p>
        </w:tc>
        <w:tc>
          <w:tcPr>
            <w:tcW w:w="10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bottom w:val="single" w:sz="8" w:color="auto"/>
            </w:tcBorders>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626,375</w:t>
            </w:r>
          </w:p>
        </w:tc>
      </w:tr>
      <w:tr>
        <w:trPr>
          <w:trHeight w:val="148"/>
        </w:trPr>
        <w:tc>
          <w:tcPr>
            <w:tcW w:w="2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r>
      <w:tr>
        <w:trPr>
          <w:trHeight w:val="170"/>
        </w:trPr>
        <w:tc>
          <w:tcPr>
            <w:tcW w:w="2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Year to date gross charge-offs</w:t>
            </w:r>
          </w:p>
        </w:tc>
        <w:tc>
          <w:tcPr>
            <w:tcW w:w="24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shd w:val="clear" w:color="auto" w:fill="CCEEFF"/>
          </w:tcPr>
          <w:p>
            <w:pPr>
              <w:jc w:val="right"/>
              <w:ind w:right="197"/>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shd w:val="clear" w:color="auto" w:fill="CCEEFF"/>
          </w:tcPr>
          <w:p>
            <w:pPr>
              <w:jc w:val="right"/>
              <w:ind w:right="217"/>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shd w:val="clear" w:color="auto" w:fill="CCEEFF"/>
          </w:tcPr>
          <w:p>
            <w:pPr>
              <w:jc w:val="right"/>
              <w:ind w:right="217"/>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48"/>
        </w:trPr>
        <w:tc>
          <w:tcPr>
            <w:tcW w:w="232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r>
      <w:tr>
        <w:trPr>
          <w:trHeight w:val="122"/>
        </w:trPr>
        <w:tc>
          <w:tcPr>
            <w:tcW w:w="2320" w:type="dxa"/>
            <w:vAlign w:val="bottom"/>
            <w:shd w:val="clear" w:color="auto" w:fill="CCEEFF"/>
          </w:tcPr>
          <w:p>
            <w:pPr>
              <w:ind w:left="20"/>
              <w:spacing w:after="0" w:line="122" w:lineRule="exact"/>
              <w:rPr>
                <w:sz w:val="20"/>
                <w:szCs w:val="20"/>
                <w:color w:val="auto"/>
              </w:rPr>
            </w:pPr>
            <w:r>
              <w:rPr>
                <w:rFonts w:ascii="Times New Roman" w:cs="Times New Roman" w:eastAsia="Times New Roman" w:hAnsi="Times New Roman"/>
                <w:sz w:val="13"/>
                <w:szCs w:val="13"/>
                <w:b w:val="1"/>
                <w:bCs w:val="1"/>
                <w:color w:val="auto"/>
              </w:rPr>
              <w:t>Acquisition, construction &amp;</w:t>
            </w:r>
          </w:p>
        </w:tc>
        <w:tc>
          <w:tcPr>
            <w:tcW w:w="24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r>
      <w:tr>
        <w:trPr>
          <w:trHeight w:val="169"/>
        </w:trPr>
        <w:tc>
          <w:tcPr>
            <w:tcW w:w="2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development</w:t>
            </w:r>
          </w:p>
        </w:tc>
        <w:tc>
          <w:tcPr>
            <w:tcW w:w="240" w:type="dxa"/>
            <w:vAlign w:val="bottom"/>
            <w:tcBorders>
              <w:bottom w:val="single" w:sz="8" w:color="CCEEFF"/>
            </w:tcBorders>
            <w:shd w:val="clear" w:color="auto" w:fill="CCEEFF"/>
          </w:tcPr>
          <w:p>
            <w:pPr>
              <w:spacing w:after="0"/>
              <w:rPr>
                <w:sz w:val="14"/>
                <w:szCs w:val="14"/>
                <w:color w:val="auto"/>
              </w:rPr>
            </w:pPr>
          </w:p>
        </w:tc>
        <w:tc>
          <w:tcPr>
            <w:tcW w:w="7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bottom w:val="single" w:sz="8" w:color="CCEEFF"/>
            </w:tcBorders>
            <w:shd w:val="clear" w:color="auto" w:fill="CCEEFF"/>
          </w:tcPr>
          <w:p>
            <w:pPr>
              <w:spacing w:after="0"/>
              <w:rPr>
                <w:sz w:val="14"/>
                <w:szCs w:val="14"/>
                <w:color w:val="auto"/>
              </w:rPr>
            </w:pPr>
          </w:p>
        </w:tc>
        <w:tc>
          <w:tcPr>
            <w:tcW w:w="7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bottom w:val="single" w:sz="8" w:color="CCEEFF"/>
            </w:tcBorders>
            <w:shd w:val="clear" w:color="auto" w:fill="CCEEFF"/>
          </w:tcPr>
          <w:p>
            <w:pPr>
              <w:spacing w:after="0"/>
              <w:rPr>
                <w:sz w:val="14"/>
                <w:szCs w:val="14"/>
                <w:color w:val="auto"/>
              </w:rPr>
            </w:pPr>
          </w:p>
        </w:tc>
        <w:tc>
          <w:tcPr>
            <w:tcW w:w="7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340" w:type="dxa"/>
            <w:vAlign w:val="bottom"/>
            <w:tcBorders>
              <w:bottom w:val="single" w:sz="8" w:color="CCEEFF"/>
            </w:tcBorders>
            <w:shd w:val="clear" w:color="auto" w:fill="CCEEFF"/>
          </w:tcPr>
          <w:p>
            <w:pPr>
              <w:spacing w:after="0"/>
              <w:rPr>
                <w:sz w:val="14"/>
                <w:szCs w:val="14"/>
                <w:color w:val="auto"/>
              </w:rPr>
            </w:pPr>
          </w:p>
        </w:tc>
        <w:tc>
          <w:tcPr>
            <w:tcW w:w="6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36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CCEEFF"/>
            </w:tcBorders>
            <w:shd w:val="clear" w:color="auto" w:fill="CCEEFF"/>
          </w:tcPr>
          <w:p>
            <w:pPr>
              <w:spacing w:after="0"/>
              <w:rPr>
                <w:sz w:val="14"/>
                <w:szCs w:val="14"/>
                <w:color w:val="auto"/>
              </w:rPr>
            </w:pPr>
          </w:p>
        </w:tc>
        <w:tc>
          <w:tcPr>
            <w:tcW w:w="8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36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CCEEFF"/>
            </w:tcBorders>
            <w:shd w:val="clear" w:color="auto" w:fill="CCEEFF"/>
          </w:tcPr>
          <w:p>
            <w:pPr>
              <w:spacing w:after="0"/>
              <w:rPr>
                <w:sz w:val="14"/>
                <w:szCs w:val="14"/>
                <w:color w:val="auto"/>
              </w:rPr>
            </w:pPr>
          </w:p>
        </w:tc>
        <w:tc>
          <w:tcPr>
            <w:tcW w:w="800" w:type="dxa"/>
            <w:vAlign w:val="bottom"/>
            <w:tcBorders>
              <w:bottom w:val="single" w:sz="8" w:color="CCEEFF"/>
            </w:tcBorders>
            <w:shd w:val="clear" w:color="auto" w:fill="CCEEFF"/>
          </w:tcPr>
          <w:p>
            <w:pPr>
              <w:spacing w:after="0"/>
              <w:rPr>
                <w:sz w:val="14"/>
                <w:szCs w:val="14"/>
                <w:color w:val="auto"/>
              </w:rPr>
            </w:pPr>
          </w:p>
        </w:tc>
      </w:tr>
      <w:tr>
        <w:trPr>
          <w:trHeight w:val="170"/>
        </w:trPr>
        <w:tc>
          <w:tcPr>
            <w:tcW w:w="232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Pass</w:t>
            </w:r>
          </w:p>
        </w:tc>
        <w:tc>
          <w:tcPr>
            <w:tcW w:w="24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10,910</w:t>
            </w:r>
          </w:p>
        </w:tc>
        <w:tc>
          <w:tcPr>
            <w:tcW w:w="100" w:type="dxa"/>
            <w:vAlign w:val="bottom"/>
          </w:tcPr>
          <w:p>
            <w:pPr>
              <w:spacing w:after="0"/>
              <w:rPr>
                <w:sz w:val="14"/>
                <w:szCs w:val="14"/>
                <w:color w:val="auto"/>
              </w:rPr>
            </w:pPr>
          </w:p>
        </w:tc>
        <w:tc>
          <w:tcPr>
            <w:tcW w:w="24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110,658</w:t>
            </w:r>
          </w:p>
        </w:tc>
        <w:tc>
          <w:tcPr>
            <w:tcW w:w="100" w:type="dxa"/>
            <w:vAlign w:val="bottom"/>
          </w:tcPr>
          <w:p>
            <w:pPr>
              <w:spacing w:after="0"/>
              <w:rPr>
                <w:sz w:val="14"/>
                <w:szCs w:val="14"/>
                <w:color w:val="auto"/>
              </w:rPr>
            </w:pPr>
          </w:p>
        </w:tc>
        <w:tc>
          <w:tcPr>
            <w:tcW w:w="24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118,310</w:t>
            </w:r>
          </w:p>
        </w:tc>
        <w:tc>
          <w:tcPr>
            <w:tcW w:w="100" w:type="dxa"/>
            <w:vAlign w:val="bottom"/>
          </w:tcPr>
          <w:p>
            <w:pPr>
              <w:spacing w:after="0"/>
              <w:rPr>
                <w:sz w:val="14"/>
                <w:szCs w:val="14"/>
                <w:color w:val="auto"/>
              </w:rPr>
            </w:pPr>
          </w:p>
        </w:tc>
        <w:tc>
          <w:tcPr>
            <w:tcW w:w="340" w:type="dxa"/>
            <w:vAlign w:val="bottom"/>
          </w:tcPr>
          <w:p>
            <w:pPr>
              <w:jc w:val="right"/>
              <w:ind w:right="197"/>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148,727</w:t>
            </w:r>
          </w:p>
        </w:tc>
        <w:tc>
          <w:tcPr>
            <w:tcW w:w="100" w:type="dxa"/>
            <w:vAlign w:val="bottom"/>
          </w:tcPr>
          <w:p>
            <w:pPr>
              <w:spacing w:after="0"/>
              <w:rPr>
                <w:sz w:val="14"/>
                <w:szCs w:val="14"/>
                <w:color w:val="auto"/>
              </w:rPr>
            </w:pPr>
          </w:p>
        </w:tc>
        <w:tc>
          <w:tcPr>
            <w:tcW w:w="360" w:type="dxa"/>
            <w:vAlign w:val="bottom"/>
          </w:tcPr>
          <w:p>
            <w:pPr>
              <w:jc w:val="right"/>
              <w:ind w:right="217"/>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14,221</w:t>
            </w:r>
          </w:p>
        </w:tc>
        <w:tc>
          <w:tcPr>
            <w:tcW w:w="100" w:type="dxa"/>
            <w:vAlign w:val="bottom"/>
          </w:tcPr>
          <w:p>
            <w:pPr>
              <w:spacing w:after="0"/>
              <w:rPr>
                <w:sz w:val="14"/>
                <w:szCs w:val="14"/>
                <w:color w:val="auto"/>
              </w:rPr>
            </w:pPr>
          </w:p>
        </w:tc>
        <w:tc>
          <w:tcPr>
            <w:tcW w:w="22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18,600</w:t>
            </w:r>
          </w:p>
        </w:tc>
        <w:tc>
          <w:tcPr>
            <w:tcW w:w="100" w:type="dxa"/>
            <w:vAlign w:val="bottom"/>
          </w:tcPr>
          <w:p>
            <w:pPr>
              <w:spacing w:after="0"/>
              <w:rPr>
                <w:sz w:val="14"/>
                <w:szCs w:val="14"/>
                <w:color w:val="auto"/>
              </w:rPr>
            </w:pPr>
          </w:p>
        </w:tc>
        <w:tc>
          <w:tcPr>
            <w:tcW w:w="360" w:type="dxa"/>
            <w:vAlign w:val="bottom"/>
          </w:tcPr>
          <w:p>
            <w:pPr>
              <w:jc w:val="right"/>
              <w:ind w:right="217"/>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14,794</w:t>
            </w:r>
          </w:p>
        </w:tc>
        <w:tc>
          <w:tcPr>
            <w:tcW w:w="100" w:type="dxa"/>
            <w:vAlign w:val="bottom"/>
          </w:tcPr>
          <w:p>
            <w:pPr>
              <w:spacing w:after="0"/>
              <w:rPr>
                <w:sz w:val="14"/>
                <w:szCs w:val="14"/>
                <w:color w:val="auto"/>
              </w:rPr>
            </w:pPr>
          </w:p>
        </w:tc>
        <w:tc>
          <w:tcPr>
            <w:tcW w:w="22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436,220</w:t>
            </w:r>
          </w:p>
        </w:tc>
      </w:tr>
      <w:tr>
        <w:trPr>
          <w:trHeight w:val="181"/>
        </w:trPr>
        <w:tc>
          <w:tcPr>
            <w:tcW w:w="2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Special Mention</w:t>
            </w:r>
          </w:p>
        </w:tc>
        <w:tc>
          <w:tcPr>
            <w:tcW w:w="24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11,071</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16,331</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27,402</w:t>
            </w:r>
          </w:p>
        </w:tc>
      </w:tr>
      <w:tr>
        <w:trPr>
          <w:trHeight w:val="170"/>
        </w:trPr>
        <w:tc>
          <w:tcPr>
            <w:tcW w:w="232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Substandard</w:t>
            </w:r>
          </w:p>
        </w:tc>
        <w:tc>
          <w:tcPr>
            <w:tcW w:w="240" w:type="dxa"/>
            <w:vAlign w:val="bottom"/>
          </w:tcPr>
          <w:p>
            <w:pPr>
              <w:spacing w:after="0"/>
              <w:rPr>
                <w:sz w:val="14"/>
                <w:szCs w:val="14"/>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768</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6,065</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2,984</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3,769</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2,322</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15,908</w:t>
            </w:r>
          </w:p>
        </w:tc>
      </w:tr>
      <w:tr>
        <w:trPr>
          <w:trHeight w:val="181"/>
        </w:trPr>
        <w:tc>
          <w:tcPr>
            <w:tcW w:w="2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Doubtful</w:t>
            </w:r>
          </w:p>
        </w:tc>
        <w:tc>
          <w:tcPr>
            <w:tcW w:w="24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407</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407</w:t>
            </w:r>
          </w:p>
        </w:tc>
      </w:tr>
      <w:tr>
        <w:trPr>
          <w:trHeight w:val="170"/>
        </w:trPr>
        <w:tc>
          <w:tcPr>
            <w:tcW w:w="232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Loss</w:t>
            </w:r>
          </w:p>
        </w:tc>
        <w:tc>
          <w:tcPr>
            <w:tcW w:w="240" w:type="dxa"/>
            <w:vAlign w:val="bottom"/>
          </w:tcPr>
          <w:p>
            <w:pPr>
              <w:spacing w:after="0"/>
              <w:rPr>
                <w:sz w:val="14"/>
                <w:szCs w:val="14"/>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4"/>
                <w:szCs w:val="14"/>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4"/>
                <w:szCs w:val="14"/>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tcPr>
          <w:p>
            <w:pPr>
              <w:spacing w:after="0"/>
              <w:rPr>
                <w:sz w:val="14"/>
                <w:szCs w:val="14"/>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tcPr>
          <w:p>
            <w:pPr>
              <w:spacing w:after="0"/>
              <w:rPr>
                <w:sz w:val="14"/>
                <w:szCs w:val="14"/>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tcPr>
          <w:p>
            <w:pPr>
              <w:spacing w:after="0"/>
              <w:rPr>
                <w:sz w:val="14"/>
                <w:szCs w:val="14"/>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69"/>
        </w:trPr>
        <w:tc>
          <w:tcPr>
            <w:tcW w:w="23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Total</w:t>
            </w:r>
          </w:p>
        </w:tc>
        <w:tc>
          <w:tcPr>
            <w:tcW w:w="240" w:type="dxa"/>
            <w:vAlign w:val="bottom"/>
            <w:tcBorders>
              <w:top w:val="single" w:sz="8" w:color="auto"/>
              <w:bottom w:val="single" w:sz="8" w:color="auto"/>
            </w:tcBorders>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10,910</w:t>
            </w:r>
          </w:p>
        </w:tc>
        <w:tc>
          <w:tcPr>
            <w:tcW w:w="10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bottom w:val="single" w:sz="8" w:color="auto"/>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111,426</w:t>
            </w:r>
          </w:p>
        </w:tc>
        <w:tc>
          <w:tcPr>
            <w:tcW w:w="10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bottom w:val="single" w:sz="8" w:color="auto"/>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124,375</w:t>
            </w:r>
          </w:p>
        </w:tc>
        <w:tc>
          <w:tcPr>
            <w:tcW w:w="100" w:type="dxa"/>
            <w:vAlign w:val="bottom"/>
            <w:tcBorders>
              <w:top w:val="single" w:sz="8" w:color="CCEEFF"/>
            </w:tcBorders>
            <w:shd w:val="clear" w:color="auto" w:fill="CCEEFF"/>
          </w:tcPr>
          <w:p>
            <w:pPr>
              <w:spacing w:after="0"/>
              <w:rPr>
                <w:sz w:val="14"/>
                <w:szCs w:val="14"/>
                <w:color w:val="auto"/>
              </w:rPr>
            </w:pPr>
          </w:p>
        </w:tc>
        <w:tc>
          <w:tcPr>
            <w:tcW w:w="340" w:type="dxa"/>
            <w:vAlign w:val="bottom"/>
            <w:tcBorders>
              <w:top w:val="single" w:sz="8" w:color="auto"/>
              <w:bottom w:val="single" w:sz="8" w:color="auto"/>
            </w:tcBorders>
            <w:shd w:val="clear" w:color="auto" w:fill="CCEEFF"/>
          </w:tcPr>
          <w:p>
            <w:pPr>
              <w:jc w:val="right"/>
              <w:ind w:right="197"/>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162,782</w:t>
            </w:r>
          </w:p>
        </w:tc>
        <w:tc>
          <w:tcPr>
            <w:tcW w:w="100" w:type="dxa"/>
            <w:vAlign w:val="bottom"/>
            <w:tcBorders>
              <w:top w:val="single" w:sz="8" w:color="CCEEFF"/>
            </w:tcBorders>
            <w:shd w:val="clear" w:color="auto" w:fill="CCEEFF"/>
          </w:tcPr>
          <w:p>
            <w:pPr>
              <w:spacing w:after="0"/>
              <w:rPr>
                <w:sz w:val="14"/>
                <w:szCs w:val="14"/>
                <w:color w:val="auto"/>
              </w:rPr>
            </w:pPr>
          </w:p>
        </w:tc>
        <w:tc>
          <w:tcPr>
            <w:tcW w:w="360" w:type="dxa"/>
            <w:vAlign w:val="bottom"/>
            <w:tcBorders>
              <w:top w:val="single" w:sz="8" w:color="auto"/>
              <w:bottom w:val="single" w:sz="8" w:color="auto"/>
            </w:tcBorders>
            <w:shd w:val="clear" w:color="auto" w:fill="CCEEFF"/>
          </w:tcPr>
          <w:p>
            <w:pPr>
              <w:jc w:val="right"/>
              <w:ind w:right="217"/>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34,321</w:t>
            </w:r>
          </w:p>
        </w:tc>
        <w:tc>
          <w:tcPr>
            <w:tcW w:w="10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bottom w:val="single" w:sz="8" w:color="auto"/>
            </w:tcBorders>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21,329</w:t>
            </w:r>
          </w:p>
        </w:tc>
        <w:tc>
          <w:tcPr>
            <w:tcW w:w="100" w:type="dxa"/>
            <w:vAlign w:val="bottom"/>
            <w:tcBorders>
              <w:top w:val="single" w:sz="8" w:color="CCEEFF"/>
            </w:tcBorders>
            <w:shd w:val="clear" w:color="auto" w:fill="CCEEFF"/>
          </w:tcPr>
          <w:p>
            <w:pPr>
              <w:spacing w:after="0"/>
              <w:rPr>
                <w:sz w:val="14"/>
                <w:szCs w:val="14"/>
                <w:color w:val="auto"/>
              </w:rPr>
            </w:pPr>
          </w:p>
        </w:tc>
        <w:tc>
          <w:tcPr>
            <w:tcW w:w="360" w:type="dxa"/>
            <w:vAlign w:val="bottom"/>
            <w:tcBorders>
              <w:top w:val="single" w:sz="8" w:color="auto"/>
              <w:bottom w:val="single" w:sz="8" w:color="auto"/>
            </w:tcBorders>
            <w:shd w:val="clear" w:color="auto" w:fill="CCEEFF"/>
          </w:tcPr>
          <w:p>
            <w:pPr>
              <w:jc w:val="right"/>
              <w:ind w:right="217"/>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14,794</w:t>
            </w:r>
          </w:p>
        </w:tc>
        <w:tc>
          <w:tcPr>
            <w:tcW w:w="10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bottom w:val="single" w:sz="8" w:color="auto"/>
            </w:tcBorders>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479,937</w:t>
            </w:r>
          </w:p>
        </w:tc>
      </w:tr>
      <w:tr>
        <w:trPr>
          <w:trHeight w:val="148"/>
        </w:trPr>
        <w:tc>
          <w:tcPr>
            <w:tcW w:w="2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r>
      <w:tr>
        <w:trPr>
          <w:trHeight w:val="170"/>
        </w:trPr>
        <w:tc>
          <w:tcPr>
            <w:tcW w:w="2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Year to date gross charge-offs</w:t>
            </w:r>
          </w:p>
        </w:tc>
        <w:tc>
          <w:tcPr>
            <w:tcW w:w="240" w:type="dxa"/>
            <w:vAlign w:val="bottom"/>
            <w:tcBorders>
              <w:bottom w:val="single" w:sz="8" w:color="auto"/>
            </w:tcBorders>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jc w:val="right"/>
              <w:ind w:right="197"/>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jc w:val="right"/>
              <w:ind w:right="217"/>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jc w:val="right"/>
              <w:ind w:right="217"/>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Allowance for Credit Losses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Commercial &amp; industrial</w:t>
            </w:r>
          </w:p>
        </w:tc>
        <w:tc>
          <w:tcPr>
            <w:tcW w:w="2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r>
      <w:tr>
        <w:trPr>
          <w:trHeight w:val="170"/>
        </w:trPr>
        <w:tc>
          <w:tcPr>
            <w:tcW w:w="232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Pass</w:t>
            </w:r>
          </w:p>
        </w:tc>
        <w:tc>
          <w:tcPr>
            <w:tcW w:w="24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46,499</w:t>
            </w:r>
          </w:p>
        </w:tc>
        <w:tc>
          <w:tcPr>
            <w:tcW w:w="100" w:type="dxa"/>
            <w:vAlign w:val="bottom"/>
          </w:tcPr>
          <w:p>
            <w:pPr>
              <w:spacing w:after="0"/>
              <w:rPr>
                <w:sz w:val="14"/>
                <w:szCs w:val="14"/>
                <w:color w:val="auto"/>
              </w:rPr>
            </w:pPr>
          </w:p>
        </w:tc>
        <w:tc>
          <w:tcPr>
            <w:tcW w:w="24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57,405</w:t>
            </w:r>
          </w:p>
        </w:tc>
        <w:tc>
          <w:tcPr>
            <w:tcW w:w="100" w:type="dxa"/>
            <w:vAlign w:val="bottom"/>
          </w:tcPr>
          <w:p>
            <w:pPr>
              <w:spacing w:after="0"/>
              <w:rPr>
                <w:sz w:val="14"/>
                <w:szCs w:val="14"/>
                <w:color w:val="auto"/>
              </w:rPr>
            </w:pPr>
          </w:p>
        </w:tc>
        <w:tc>
          <w:tcPr>
            <w:tcW w:w="24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74,931</w:t>
            </w:r>
          </w:p>
        </w:tc>
        <w:tc>
          <w:tcPr>
            <w:tcW w:w="100" w:type="dxa"/>
            <w:vAlign w:val="bottom"/>
          </w:tcPr>
          <w:p>
            <w:pPr>
              <w:spacing w:after="0"/>
              <w:rPr>
                <w:sz w:val="14"/>
                <w:szCs w:val="14"/>
                <w:color w:val="auto"/>
              </w:rPr>
            </w:pPr>
          </w:p>
        </w:tc>
        <w:tc>
          <w:tcPr>
            <w:tcW w:w="340" w:type="dxa"/>
            <w:vAlign w:val="bottom"/>
          </w:tcPr>
          <w:p>
            <w:pPr>
              <w:jc w:val="right"/>
              <w:ind w:right="197"/>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34,978</w:t>
            </w:r>
          </w:p>
        </w:tc>
        <w:tc>
          <w:tcPr>
            <w:tcW w:w="100" w:type="dxa"/>
            <w:vAlign w:val="bottom"/>
          </w:tcPr>
          <w:p>
            <w:pPr>
              <w:spacing w:after="0"/>
              <w:rPr>
                <w:sz w:val="14"/>
                <w:szCs w:val="14"/>
                <w:color w:val="auto"/>
              </w:rPr>
            </w:pPr>
          </w:p>
        </w:tc>
        <w:tc>
          <w:tcPr>
            <w:tcW w:w="24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12,850</w:t>
            </w:r>
          </w:p>
        </w:tc>
        <w:tc>
          <w:tcPr>
            <w:tcW w:w="100" w:type="dxa"/>
            <w:vAlign w:val="bottom"/>
          </w:tcPr>
          <w:p>
            <w:pPr>
              <w:spacing w:after="0"/>
              <w:rPr>
                <w:sz w:val="14"/>
                <w:szCs w:val="14"/>
                <w:color w:val="auto"/>
              </w:rPr>
            </w:pPr>
          </w:p>
        </w:tc>
        <w:tc>
          <w:tcPr>
            <w:tcW w:w="22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14,844</w:t>
            </w:r>
          </w:p>
        </w:tc>
        <w:tc>
          <w:tcPr>
            <w:tcW w:w="100" w:type="dxa"/>
            <w:vAlign w:val="bottom"/>
          </w:tcPr>
          <w:p>
            <w:pPr>
              <w:spacing w:after="0"/>
              <w:rPr>
                <w:sz w:val="14"/>
                <w:szCs w:val="14"/>
                <w:color w:val="auto"/>
              </w:rPr>
            </w:pPr>
          </w:p>
        </w:tc>
        <w:tc>
          <w:tcPr>
            <w:tcW w:w="320" w:type="dxa"/>
            <w:vAlign w:val="bottom"/>
          </w:tcPr>
          <w:p>
            <w:pPr>
              <w:jc w:val="right"/>
              <w:ind w:right="177"/>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210,018</w:t>
            </w:r>
          </w:p>
        </w:tc>
        <w:tc>
          <w:tcPr>
            <w:tcW w:w="100" w:type="dxa"/>
            <w:vAlign w:val="bottom"/>
          </w:tcPr>
          <w:p>
            <w:pPr>
              <w:spacing w:after="0"/>
              <w:rPr>
                <w:sz w:val="14"/>
                <w:szCs w:val="14"/>
                <w:color w:val="auto"/>
              </w:rPr>
            </w:pPr>
          </w:p>
        </w:tc>
        <w:tc>
          <w:tcPr>
            <w:tcW w:w="22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451,525</w:t>
            </w:r>
          </w:p>
        </w:tc>
      </w:tr>
      <w:tr>
        <w:trPr>
          <w:trHeight w:val="181"/>
        </w:trPr>
        <w:tc>
          <w:tcPr>
            <w:tcW w:w="2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Special Mention</w:t>
            </w:r>
          </w:p>
        </w:tc>
        <w:tc>
          <w:tcPr>
            <w:tcW w:w="24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11,738</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11,738</w:t>
            </w:r>
          </w:p>
        </w:tc>
      </w:tr>
      <w:tr>
        <w:trPr>
          <w:trHeight w:val="170"/>
        </w:trPr>
        <w:tc>
          <w:tcPr>
            <w:tcW w:w="232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Substandard</w:t>
            </w:r>
          </w:p>
        </w:tc>
        <w:tc>
          <w:tcPr>
            <w:tcW w:w="2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248</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697</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5,263</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15,088</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991</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3,211</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11,131</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36,629</w:t>
            </w:r>
          </w:p>
        </w:tc>
      </w:tr>
      <w:tr>
        <w:trPr>
          <w:trHeight w:val="181"/>
        </w:trPr>
        <w:tc>
          <w:tcPr>
            <w:tcW w:w="2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Doubtful</w:t>
            </w:r>
          </w:p>
        </w:tc>
        <w:tc>
          <w:tcPr>
            <w:tcW w:w="24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70"/>
        </w:trPr>
        <w:tc>
          <w:tcPr>
            <w:tcW w:w="232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Loss</w:t>
            </w:r>
          </w:p>
        </w:tc>
        <w:tc>
          <w:tcPr>
            <w:tcW w:w="240" w:type="dxa"/>
            <w:vAlign w:val="bottom"/>
          </w:tcPr>
          <w:p>
            <w:pPr>
              <w:spacing w:after="0"/>
              <w:rPr>
                <w:sz w:val="14"/>
                <w:szCs w:val="14"/>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4"/>
                <w:szCs w:val="14"/>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4"/>
                <w:szCs w:val="14"/>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tcPr>
          <w:p>
            <w:pPr>
              <w:spacing w:after="0"/>
              <w:rPr>
                <w:sz w:val="14"/>
                <w:szCs w:val="14"/>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4"/>
                <w:szCs w:val="14"/>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spacing w:after="0"/>
              <w:rPr>
                <w:sz w:val="14"/>
                <w:szCs w:val="14"/>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69"/>
        </w:trPr>
        <w:tc>
          <w:tcPr>
            <w:tcW w:w="23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Total</w:t>
            </w:r>
          </w:p>
        </w:tc>
        <w:tc>
          <w:tcPr>
            <w:tcW w:w="240" w:type="dxa"/>
            <w:vAlign w:val="bottom"/>
            <w:tcBorders>
              <w:top w:val="single" w:sz="8" w:color="auto"/>
              <w:bottom w:val="single" w:sz="8" w:color="auto"/>
            </w:tcBorders>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46,747</w:t>
            </w:r>
          </w:p>
        </w:tc>
        <w:tc>
          <w:tcPr>
            <w:tcW w:w="10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bottom w:val="single" w:sz="8" w:color="auto"/>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58,102</w:t>
            </w:r>
          </w:p>
        </w:tc>
        <w:tc>
          <w:tcPr>
            <w:tcW w:w="10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bottom w:val="single" w:sz="8" w:color="auto"/>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91,932</w:t>
            </w:r>
          </w:p>
        </w:tc>
        <w:tc>
          <w:tcPr>
            <w:tcW w:w="100" w:type="dxa"/>
            <w:vAlign w:val="bottom"/>
            <w:tcBorders>
              <w:top w:val="single" w:sz="8" w:color="CCEEFF"/>
            </w:tcBorders>
            <w:shd w:val="clear" w:color="auto" w:fill="CCEEFF"/>
          </w:tcPr>
          <w:p>
            <w:pPr>
              <w:spacing w:after="0"/>
              <w:rPr>
                <w:sz w:val="14"/>
                <w:szCs w:val="14"/>
                <w:color w:val="auto"/>
              </w:rPr>
            </w:pPr>
          </w:p>
        </w:tc>
        <w:tc>
          <w:tcPr>
            <w:tcW w:w="340" w:type="dxa"/>
            <w:vAlign w:val="bottom"/>
            <w:tcBorders>
              <w:top w:val="single" w:sz="8" w:color="auto"/>
              <w:bottom w:val="single" w:sz="8" w:color="auto"/>
            </w:tcBorders>
            <w:shd w:val="clear" w:color="auto" w:fill="CCEEFF"/>
          </w:tcPr>
          <w:p>
            <w:pPr>
              <w:jc w:val="right"/>
              <w:ind w:right="197"/>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50,066</w:t>
            </w:r>
          </w:p>
        </w:tc>
        <w:tc>
          <w:tcPr>
            <w:tcW w:w="10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bottom w:val="single" w:sz="8" w:color="auto"/>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13,841</w:t>
            </w:r>
          </w:p>
        </w:tc>
        <w:tc>
          <w:tcPr>
            <w:tcW w:w="10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bottom w:val="single" w:sz="8" w:color="auto"/>
            </w:tcBorders>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18,055</w:t>
            </w:r>
          </w:p>
        </w:tc>
        <w:tc>
          <w:tcPr>
            <w:tcW w:w="10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auto"/>
              <w:bottom w:val="single" w:sz="8" w:color="auto"/>
            </w:tcBorders>
            <w:shd w:val="clear" w:color="auto" w:fill="CCEEFF"/>
          </w:tcPr>
          <w:p>
            <w:pPr>
              <w:jc w:val="right"/>
              <w:ind w:right="177"/>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221,149</w:t>
            </w:r>
          </w:p>
        </w:tc>
        <w:tc>
          <w:tcPr>
            <w:tcW w:w="10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bottom w:val="single" w:sz="8" w:color="auto"/>
            </w:tcBorders>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499,892</w:t>
            </w:r>
          </w:p>
        </w:tc>
      </w:tr>
      <w:tr>
        <w:trPr>
          <w:trHeight w:val="148"/>
        </w:trPr>
        <w:tc>
          <w:tcPr>
            <w:tcW w:w="2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r>
      <w:tr>
        <w:trPr>
          <w:trHeight w:val="170"/>
        </w:trPr>
        <w:tc>
          <w:tcPr>
            <w:tcW w:w="2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Year to date gross charge-offs</w:t>
            </w:r>
          </w:p>
        </w:tc>
        <w:tc>
          <w:tcPr>
            <w:tcW w:w="24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50</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jc w:val="right"/>
              <w:ind w:right="197"/>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87</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jc w:val="right"/>
              <w:ind w:right="177"/>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146</w:t>
            </w:r>
          </w:p>
        </w:tc>
      </w:tr>
      <w:tr>
        <w:trPr>
          <w:trHeight w:val="148"/>
        </w:trPr>
        <w:tc>
          <w:tcPr>
            <w:tcW w:w="232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r>
      <w:tr>
        <w:trPr>
          <w:trHeight w:val="176"/>
        </w:trPr>
        <w:tc>
          <w:tcPr>
            <w:tcW w:w="2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Single family residential (1-4 units)</w:t>
            </w:r>
          </w:p>
        </w:tc>
        <w:tc>
          <w:tcPr>
            <w:tcW w:w="2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r>
      <w:tr>
        <w:trPr>
          <w:trHeight w:val="170"/>
        </w:trPr>
        <w:tc>
          <w:tcPr>
            <w:tcW w:w="232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Pass</w:t>
            </w:r>
          </w:p>
        </w:tc>
        <w:tc>
          <w:tcPr>
            <w:tcW w:w="24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52,828</w:t>
            </w:r>
          </w:p>
        </w:tc>
        <w:tc>
          <w:tcPr>
            <w:tcW w:w="100" w:type="dxa"/>
            <w:vAlign w:val="bottom"/>
          </w:tcPr>
          <w:p>
            <w:pPr>
              <w:spacing w:after="0"/>
              <w:rPr>
                <w:sz w:val="14"/>
                <w:szCs w:val="14"/>
                <w:color w:val="auto"/>
              </w:rPr>
            </w:pPr>
          </w:p>
        </w:tc>
        <w:tc>
          <w:tcPr>
            <w:tcW w:w="24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165,732</w:t>
            </w:r>
          </w:p>
        </w:tc>
        <w:tc>
          <w:tcPr>
            <w:tcW w:w="100" w:type="dxa"/>
            <w:vAlign w:val="bottom"/>
          </w:tcPr>
          <w:p>
            <w:pPr>
              <w:spacing w:after="0"/>
              <w:rPr>
                <w:sz w:val="14"/>
                <w:szCs w:val="14"/>
                <w:color w:val="auto"/>
              </w:rPr>
            </w:pPr>
          </w:p>
        </w:tc>
        <w:tc>
          <w:tcPr>
            <w:tcW w:w="24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235,592</w:t>
            </w:r>
          </w:p>
        </w:tc>
        <w:tc>
          <w:tcPr>
            <w:tcW w:w="100" w:type="dxa"/>
            <w:vAlign w:val="bottom"/>
          </w:tcPr>
          <w:p>
            <w:pPr>
              <w:spacing w:after="0"/>
              <w:rPr>
                <w:sz w:val="14"/>
                <w:szCs w:val="14"/>
                <w:color w:val="auto"/>
              </w:rPr>
            </w:pPr>
          </w:p>
        </w:tc>
        <w:tc>
          <w:tcPr>
            <w:tcW w:w="340" w:type="dxa"/>
            <w:vAlign w:val="bottom"/>
          </w:tcPr>
          <w:p>
            <w:pPr>
              <w:jc w:val="right"/>
              <w:ind w:right="197"/>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161,973</w:t>
            </w:r>
          </w:p>
        </w:tc>
        <w:tc>
          <w:tcPr>
            <w:tcW w:w="100" w:type="dxa"/>
            <w:vAlign w:val="bottom"/>
          </w:tcPr>
          <w:p>
            <w:pPr>
              <w:spacing w:after="0"/>
              <w:rPr>
                <w:sz w:val="14"/>
                <w:szCs w:val="14"/>
                <w:color w:val="auto"/>
              </w:rPr>
            </w:pPr>
          </w:p>
        </w:tc>
        <w:tc>
          <w:tcPr>
            <w:tcW w:w="24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81,116</w:t>
            </w:r>
          </w:p>
        </w:tc>
        <w:tc>
          <w:tcPr>
            <w:tcW w:w="100" w:type="dxa"/>
            <w:vAlign w:val="bottom"/>
          </w:tcPr>
          <w:p>
            <w:pPr>
              <w:spacing w:after="0"/>
              <w:rPr>
                <w:sz w:val="14"/>
                <w:szCs w:val="14"/>
                <w:color w:val="auto"/>
              </w:rPr>
            </w:pPr>
          </w:p>
        </w:tc>
        <w:tc>
          <w:tcPr>
            <w:tcW w:w="22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378,767</w:t>
            </w:r>
          </w:p>
        </w:tc>
        <w:tc>
          <w:tcPr>
            <w:tcW w:w="100" w:type="dxa"/>
            <w:vAlign w:val="bottom"/>
          </w:tcPr>
          <w:p>
            <w:pPr>
              <w:spacing w:after="0"/>
              <w:rPr>
                <w:sz w:val="14"/>
                <w:szCs w:val="14"/>
                <w:color w:val="auto"/>
              </w:rPr>
            </w:pPr>
          </w:p>
        </w:tc>
        <w:tc>
          <w:tcPr>
            <w:tcW w:w="320" w:type="dxa"/>
            <w:vAlign w:val="bottom"/>
          </w:tcPr>
          <w:p>
            <w:pPr>
              <w:jc w:val="right"/>
              <w:ind w:right="177"/>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137,571</w:t>
            </w:r>
          </w:p>
        </w:tc>
        <w:tc>
          <w:tcPr>
            <w:tcW w:w="100" w:type="dxa"/>
            <w:vAlign w:val="bottom"/>
          </w:tcPr>
          <w:p>
            <w:pPr>
              <w:spacing w:after="0"/>
              <w:rPr>
                <w:sz w:val="14"/>
                <w:szCs w:val="14"/>
                <w:color w:val="auto"/>
              </w:rPr>
            </w:pPr>
          </w:p>
        </w:tc>
        <w:tc>
          <w:tcPr>
            <w:tcW w:w="22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1,213,579</w:t>
            </w:r>
          </w:p>
        </w:tc>
      </w:tr>
      <w:tr>
        <w:trPr>
          <w:trHeight w:val="181"/>
        </w:trPr>
        <w:tc>
          <w:tcPr>
            <w:tcW w:w="2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Special Mention</w:t>
            </w:r>
          </w:p>
        </w:tc>
        <w:tc>
          <w:tcPr>
            <w:tcW w:w="24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70"/>
        </w:trPr>
        <w:tc>
          <w:tcPr>
            <w:tcW w:w="232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Substandard</w:t>
            </w:r>
          </w:p>
        </w:tc>
        <w:tc>
          <w:tcPr>
            <w:tcW w:w="2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194</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283</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330</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260</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5,086</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241</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6,405</w:t>
            </w:r>
          </w:p>
        </w:tc>
      </w:tr>
      <w:tr>
        <w:trPr>
          <w:trHeight w:val="181"/>
        </w:trPr>
        <w:tc>
          <w:tcPr>
            <w:tcW w:w="2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Doubtful</w:t>
            </w:r>
          </w:p>
        </w:tc>
        <w:tc>
          <w:tcPr>
            <w:tcW w:w="24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70"/>
        </w:trPr>
        <w:tc>
          <w:tcPr>
            <w:tcW w:w="232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Loss</w:t>
            </w:r>
          </w:p>
        </w:tc>
        <w:tc>
          <w:tcPr>
            <w:tcW w:w="240" w:type="dxa"/>
            <w:vAlign w:val="bottom"/>
          </w:tcPr>
          <w:p>
            <w:pPr>
              <w:spacing w:after="0"/>
              <w:rPr>
                <w:sz w:val="14"/>
                <w:szCs w:val="14"/>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4"/>
                <w:szCs w:val="14"/>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4"/>
                <w:szCs w:val="14"/>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tcPr>
          <w:p>
            <w:pPr>
              <w:spacing w:after="0"/>
              <w:rPr>
                <w:sz w:val="14"/>
                <w:szCs w:val="14"/>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4"/>
                <w:szCs w:val="14"/>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spacing w:after="0"/>
              <w:rPr>
                <w:sz w:val="14"/>
                <w:szCs w:val="14"/>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69"/>
        </w:trPr>
        <w:tc>
          <w:tcPr>
            <w:tcW w:w="23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Total</w:t>
            </w:r>
          </w:p>
        </w:tc>
        <w:tc>
          <w:tcPr>
            <w:tcW w:w="240" w:type="dxa"/>
            <w:vAlign w:val="bottom"/>
            <w:tcBorders>
              <w:top w:val="single" w:sz="8" w:color="auto"/>
              <w:bottom w:val="single" w:sz="8" w:color="auto"/>
            </w:tcBorders>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52,839</w:t>
            </w:r>
          </w:p>
        </w:tc>
        <w:tc>
          <w:tcPr>
            <w:tcW w:w="10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bottom w:val="single" w:sz="8" w:color="auto"/>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165,926</w:t>
            </w:r>
          </w:p>
        </w:tc>
        <w:tc>
          <w:tcPr>
            <w:tcW w:w="10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bottom w:val="single" w:sz="8" w:color="auto"/>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235,875</w:t>
            </w:r>
          </w:p>
        </w:tc>
        <w:tc>
          <w:tcPr>
            <w:tcW w:w="100" w:type="dxa"/>
            <w:vAlign w:val="bottom"/>
            <w:tcBorders>
              <w:top w:val="single" w:sz="8" w:color="CCEEFF"/>
            </w:tcBorders>
            <w:shd w:val="clear" w:color="auto" w:fill="CCEEFF"/>
          </w:tcPr>
          <w:p>
            <w:pPr>
              <w:spacing w:after="0"/>
              <w:rPr>
                <w:sz w:val="14"/>
                <w:szCs w:val="14"/>
                <w:color w:val="auto"/>
              </w:rPr>
            </w:pPr>
          </w:p>
        </w:tc>
        <w:tc>
          <w:tcPr>
            <w:tcW w:w="340" w:type="dxa"/>
            <w:vAlign w:val="bottom"/>
            <w:tcBorders>
              <w:top w:val="single" w:sz="8" w:color="auto"/>
              <w:bottom w:val="single" w:sz="8" w:color="auto"/>
            </w:tcBorders>
            <w:shd w:val="clear" w:color="auto" w:fill="CCEEFF"/>
          </w:tcPr>
          <w:p>
            <w:pPr>
              <w:jc w:val="right"/>
              <w:ind w:right="197"/>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162,303</w:t>
            </w:r>
          </w:p>
        </w:tc>
        <w:tc>
          <w:tcPr>
            <w:tcW w:w="10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bottom w:val="single" w:sz="8" w:color="auto"/>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81,376</w:t>
            </w:r>
          </w:p>
        </w:tc>
        <w:tc>
          <w:tcPr>
            <w:tcW w:w="10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bottom w:val="single" w:sz="8" w:color="auto"/>
            </w:tcBorders>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383,853</w:t>
            </w:r>
          </w:p>
        </w:tc>
        <w:tc>
          <w:tcPr>
            <w:tcW w:w="10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auto"/>
              <w:bottom w:val="single" w:sz="8" w:color="auto"/>
            </w:tcBorders>
            <w:shd w:val="clear" w:color="auto" w:fill="CCEEFF"/>
          </w:tcPr>
          <w:p>
            <w:pPr>
              <w:jc w:val="right"/>
              <w:ind w:right="177"/>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137,812</w:t>
            </w:r>
          </w:p>
        </w:tc>
        <w:tc>
          <w:tcPr>
            <w:tcW w:w="10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bottom w:val="single" w:sz="8" w:color="auto"/>
            </w:tcBorders>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1,219,984</w:t>
            </w:r>
          </w:p>
        </w:tc>
      </w:tr>
      <w:tr>
        <w:trPr>
          <w:trHeight w:val="148"/>
        </w:trPr>
        <w:tc>
          <w:tcPr>
            <w:tcW w:w="2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r>
      <w:tr>
        <w:trPr>
          <w:trHeight w:val="170"/>
        </w:trPr>
        <w:tc>
          <w:tcPr>
            <w:tcW w:w="2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Year to date gross charge-offs</w:t>
            </w:r>
          </w:p>
        </w:tc>
        <w:tc>
          <w:tcPr>
            <w:tcW w:w="24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shd w:val="clear" w:color="auto" w:fill="CCEEFF"/>
          </w:tcPr>
          <w:p>
            <w:pPr>
              <w:jc w:val="right"/>
              <w:ind w:right="197"/>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jc w:val="right"/>
              <w:ind w:right="177"/>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w:t>
            </w:r>
          </w:p>
        </w:tc>
      </w:tr>
      <w:tr>
        <w:trPr>
          <w:trHeight w:val="148"/>
        </w:trPr>
        <w:tc>
          <w:tcPr>
            <w:tcW w:w="232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r>
      <w:tr>
        <w:trPr>
          <w:trHeight w:val="175"/>
        </w:trPr>
        <w:tc>
          <w:tcPr>
            <w:tcW w:w="2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Consumer non-real estate and other</w:t>
            </w:r>
          </w:p>
        </w:tc>
        <w:tc>
          <w:tcPr>
            <w:tcW w:w="2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r>
      <w:tr>
        <w:trPr>
          <w:trHeight w:val="170"/>
        </w:trPr>
        <w:tc>
          <w:tcPr>
            <w:tcW w:w="232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Pass</w:t>
            </w:r>
          </w:p>
        </w:tc>
        <w:tc>
          <w:tcPr>
            <w:tcW w:w="24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18,765</w:t>
            </w:r>
          </w:p>
        </w:tc>
        <w:tc>
          <w:tcPr>
            <w:tcW w:w="100" w:type="dxa"/>
            <w:vAlign w:val="bottom"/>
          </w:tcPr>
          <w:p>
            <w:pPr>
              <w:spacing w:after="0"/>
              <w:rPr>
                <w:sz w:val="14"/>
                <w:szCs w:val="14"/>
                <w:color w:val="auto"/>
              </w:rPr>
            </w:pPr>
          </w:p>
        </w:tc>
        <w:tc>
          <w:tcPr>
            <w:tcW w:w="24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26,284</w:t>
            </w:r>
          </w:p>
        </w:tc>
        <w:tc>
          <w:tcPr>
            <w:tcW w:w="100" w:type="dxa"/>
            <w:vAlign w:val="bottom"/>
          </w:tcPr>
          <w:p>
            <w:pPr>
              <w:spacing w:after="0"/>
              <w:rPr>
                <w:sz w:val="14"/>
                <w:szCs w:val="14"/>
                <w:color w:val="auto"/>
              </w:rPr>
            </w:pPr>
          </w:p>
        </w:tc>
        <w:tc>
          <w:tcPr>
            <w:tcW w:w="24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16,475</w:t>
            </w:r>
          </w:p>
        </w:tc>
        <w:tc>
          <w:tcPr>
            <w:tcW w:w="100" w:type="dxa"/>
            <w:vAlign w:val="bottom"/>
          </w:tcPr>
          <w:p>
            <w:pPr>
              <w:spacing w:after="0"/>
              <w:rPr>
                <w:sz w:val="14"/>
                <w:szCs w:val="14"/>
                <w:color w:val="auto"/>
              </w:rPr>
            </w:pPr>
          </w:p>
        </w:tc>
        <w:tc>
          <w:tcPr>
            <w:tcW w:w="340" w:type="dxa"/>
            <w:vAlign w:val="bottom"/>
          </w:tcPr>
          <w:p>
            <w:pPr>
              <w:jc w:val="right"/>
              <w:ind w:right="197"/>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9,170</w:t>
            </w:r>
          </w:p>
        </w:tc>
        <w:tc>
          <w:tcPr>
            <w:tcW w:w="100" w:type="dxa"/>
            <w:vAlign w:val="bottom"/>
          </w:tcPr>
          <w:p>
            <w:pPr>
              <w:spacing w:after="0"/>
              <w:rPr>
                <w:sz w:val="14"/>
                <w:szCs w:val="14"/>
                <w:color w:val="auto"/>
              </w:rPr>
            </w:pPr>
          </w:p>
        </w:tc>
        <w:tc>
          <w:tcPr>
            <w:tcW w:w="24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8,602</w:t>
            </w:r>
          </w:p>
        </w:tc>
        <w:tc>
          <w:tcPr>
            <w:tcW w:w="100" w:type="dxa"/>
            <w:vAlign w:val="bottom"/>
          </w:tcPr>
          <w:p>
            <w:pPr>
              <w:spacing w:after="0"/>
              <w:rPr>
                <w:sz w:val="14"/>
                <w:szCs w:val="14"/>
                <w:color w:val="auto"/>
              </w:rPr>
            </w:pPr>
          </w:p>
        </w:tc>
        <w:tc>
          <w:tcPr>
            <w:tcW w:w="22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19,558</w:t>
            </w:r>
          </w:p>
        </w:tc>
        <w:tc>
          <w:tcPr>
            <w:tcW w:w="100" w:type="dxa"/>
            <w:vAlign w:val="bottom"/>
          </w:tcPr>
          <w:p>
            <w:pPr>
              <w:spacing w:after="0"/>
              <w:rPr>
                <w:sz w:val="14"/>
                <w:szCs w:val="14"/>
                <w:color w:val="auto"/>
              </w:rPr>
            </w:pPr>
          </w:p>
        </w:tc>
        <w:tc>
          <w:tcPr>
            <w:tcW w:w="320" w:type="dxa"/>
            <w:vAlign w:val="bottom"/>
          </w:tcPr>
          <w:p>
            <w:pPr>
              <w:jc w:val="right"/>
              <w:ind w:right="177"/>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128,898</w:t>
            </w:r>
          </w:p>
        </w:tc>
        <w:tc>
          <w:tcPr>
            <w:tcW w:w="100" w:type="dxa"/>
            <w:vAlign w:val="bottom"/>
          </w:tcPr>
          <w:p>
            <w:pPr>
              <w:spacing w:after="0"/>
              <w:rPr>
                <w:sz w:val="14"/>
                <w:szCs w:val="14"/>
                <w:color w:val="auto"/>
              </w:rPr>
            </w:pPr>
          </w:p>
        </w:tc>
        <w:tc>
          <w:tcPr>
            <w:tcW w:w="22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227,752</w:t>
            </w:r>
          </w:p>
        </w:tc>
      </w:tr>
      <w:tr>
        <w:trPr>
          <w:trHeight w:val="181"/>
        </w:trPr>
        <w:tc>
          <w:tcPr>
            <w:tcW w:w="2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Special Mention</w:t>
            </w:r>
          </w:p>
        </w:tc>
        <w:tc>
          <w:tcPr>
            <w:tcW w:w="24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11,582</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11,582</w:t>
            </w:r>
          </w:p>
        </w:tc>
      </w:tr>
      <w:tr>
        <w:trPr>
          <w:trHeight w:val="170"/>
        </w:trPr>
        <w:tc>
          <w:tcPr>
            <w:tcW w:w="232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Substandard</w:t>
            </w:r>
          </w:p>
        </w:tc>
        <w:tc>
          <w:tcPr>
            <w:tcW w:w="2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949</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1,095</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3,538</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180</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74</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1,639</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59</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7,534</w:t>
            </w:r>
          </w:p>
        </w:tc>
      </w:tr>
      <w:tr>
        <w:trPr>
          <w:trHeight w:val="181"/>
        </w:trPr>
        <w:tc>
          <w:tcPr>
            <w:tcW w:w="2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Doubtful</w:t>
            </w:r>
          </w:p>
        </w:tc>
        <w:tc>
          <w:tcPr>
            <w:tcW w:w="24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70"/>
        </w:trPr>
        <w:tc>
          <w:tcPr>
            <w:tcW w:w="232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Loss</w:t>
            </w:r>
          </w:p>
        </w:tc>
        <w:tc>
          <w:tcPr>
            <w:tcW w:w="240" w:type="dxa"/>
            <w:vAlign w:val="bottom"/>
          </w:tcPr>
          <w:p>
            <w:pPr>
              <w:spacing w:after="0"/>
              <w:rPr>
                <w:sz w:val="14"/>
                <w:szCs w:val="14"/>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4"/>
                <w:szCs w:val="14"/>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4"/>
                <w:szCs w:val="14"/>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tcPr>
          <w:p>
            <w:pPr>
              <w:spacing w:after="0"/>
              <w:rPr>
                <w:sz w:val="14"/>
                <w:szCs w:val="14"/>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4"/>
                <w:szCs w:val="14"/>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spacing w:after="0"/>
              <w:rPr>
                <w:sz w:val="14"/>
                <w:szCs w:val="14"/>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69"/>
        </w:trPr>
        <w:tc>
          <w:tcPr>
            <w:tcW w:w="23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Total</w:t>
            </w:r>
          </w:p>
        </w:tc>
        <w:tc>
          <w:tcPr>
            <w:tcW w:w="240" w:type="dxa"/>
            <w:vAlign w:val="bottom"/>
            <w:tcBorders>
              <w:top w:val="single" w:sz="8" w:color="auto"/>
              <w:bottom w:val="single" w:sz="8" w:color="auto"/>
            </w:tcBorders>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19,714</w:t>
            </w:r>
          </w:p>
        </w:tc>
        <w:tc>
          <w:tcPr>
            <w:tcW w:w="10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bottom w:val="single" w:sz="8" w:color="auto"/>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27,379</w:t>
            </w:r>
          </w:p>
        </w:tc>
        <w:tc>
          <w:tcPr>
            <w:tcW w:w="10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bottom w:val="single" w:sz="8" w:color="auto"/>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20,013</w:t>
            </w:r>
          </w:p>
        </w:tc>
        <w:tc>
          <w:tcPr>
            <w:tcW w:w="100" w:type="dxa"/>
            <w:vAlign w:val="bottom"/>
            <w:tcBorders>
              <w:top w:val="single" w:sz="8" w:color="CCEEFF"/>
            </w:tcBorders>
            <w:shd w:val="clear" w:color="auto" w:fill="CCEEFF"/>
          </w:tcPr>
          <w:p>
            <w:pPr>
              <w:spacing w:after="0"/>
              <w:rPr>
                <w:sz w:val="14"/>
                <w:szCs w:val="14"/>
                <w:color w:val="auto"/>
              </w:rPr>
            </w:pPr>
          </w:p>
        </w:tc>
        <w:tc>
          <w:tcPr>
            <w:tcW w:w="340" w:type="dxa"/>
            <w:vAlign w:val="bottom"/>
            <w:tcBorders>
              <w:top w:val="single" w:sz="8" w:color="auto"/>
              <w:bottom w:val="single" w:sz="8" w:color="auto"/>
            </w:tcBorders>
            <w:shd w:val="clear" w:color="auto" w:fill="CCEEFF"/>
          </w:tcPr>
          <w:p>
            <w:pPr>
              <w:jc w:val="right"/>
              <w:ind w:right="197"/>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9,350</w:t>
            </w:r>
          </w:p>
        </w:tc>
        <w:tc>
          <w:tcPr>
            <w:tcW w:w="10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bottom w:val="single" w:sz="8" w:color="auto"/>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8,676</w:t>
            </w:r>
          </w:p>
        </w:tc>
        <w:tc>
          <w:tcPr>
            <w:tcW w:w="10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bottom w:val="single" w:sz="8" w:color="auto"/>
            </w:tcBorders>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21,197</w:t>
            </w:r>
          </w:p>
        </w:tc>
        <w:tc>
          <w:tcPr>
            <w:tcW w:w="10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auto"/>
              <w:bottom w:val="single" w:sz="8" w:color="auto"/>
            </w:tcBorders>
            <w:shd w:val="clear" w:color="auto" w:fill="CCEEFF"/>
          </w:tcPr>
          <w:p>
            <w:pPr>
              <w:jc w:val="right"/>
              <w:ind w:right="177"/>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140,539</w:t>
            </w:r>
          </w:p>
        </w:tc>
        <w:tc>
          <w:tcPr>
            <w:tcW w:w="10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bottom w:val="single" w:sz="8" w:color="auto"/>
            </w:tcBorders>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246,868</w:t>
            </w:r>
          </w:p>
        </w:tc>
      </w:tr>
      <w:tr>
        <w:trPr>
          <w:trHeight w:val="148"/>
        </w:trPr>
        <w:tc>
          <w:tcPr>
            <w:tcW w:w="2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r>
      <w:tr>
        <w:trPr>
          <w:trHeight w:val="170"/>
        </w:trPr>
        <w:tc>
          <w:tcPr>
            <w:tcW w:w="2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Year to date gross charge-offs</w:t>
            </w:r>
          </w:p>
        </w:tc>
        <w:tc>
          <w:tcPr>
            <w:tcW w:w="24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245</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shd w:val="clear" w:color="auto" w:fill="CCEEFF"/>
          </w:tcPr>
          <w:p>
            <w:pPr>
              <w:jc w:val="right"/>
              <w:ind w:right="197"/>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jc w:val="right"/>
              <w:ind w:right="177"/>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248</w:t>
            </w:r>
          </w:p>
        </w:tc>
      </w:tr>
      <w:tr>
        <w:trPr>
          <w:trHeight w:val="188"/>
        </w:trPr>
        <w:tc>
          <w:tcPr>
            <w:tcW w:w="232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r>
      <w:tr>
        <w:trPr>
          <w:trHeight w:val="170"/>
        </w:trPr>
        <w:tc>
          <w:tcPr>
            <w:tcW w:w="2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Totals</w:t>
            </w:r>
          </w:p>
        </w:tc>
        <w:tc>
          <w:tcPr>
            <w:tcW w:w="240" w:type="dxa"/>
            <w:vAlign w:val="bottom"/>
            <w:tcBorders>
              <w:bottom w:val="single" w:sz="8" w:color="auto"/>
            </w:tcBorders>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234,634</w:t>
            </w:r>
          </w:p>
        </w:tc>
        <w:tc>
          <w:tcPr>
            <w:tcW w:w="10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807,818</w:t>
            </w:r>
          </w:p>
        </w:tc>
        <w:tc>
          <w:tcPr>
            <w:tcW w:w="10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1,151,642</w:t>
            </w:r>
          </w:p>
        </w:tc>
        <w:tc>
          <w:tcPr>
            <w:tcW w:w="100" w:type="dxa"/>
            <w:vAlign w:val="bottom"/>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jc w:val="right"/>
              <w:ind w:right="197"/>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990,937</w:t>
            </w:r>
          </w:p>
        </w:tc>
        <w:tc>
          <w:tcPr>
            <w:tcW w:w="10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371,241</w:t>
            </w:r>
          </w:p>
        </w:tc>
        <w:tc>
          <w:tcPr>
            <w:tcW w:w="10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1,466,140</w:t>
            </w:r>
          </w:p>
        </w:tc>
        <w:tc>
          <w:tcPr>
            <w:tcW w:w="10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jc w:val="right"/>
              <w:ind w:right="177"/>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594,312</w:t>
            </w:r>
          </w:p>
        </w:tc>
        <w:tc>
          <w:tcPr>
            <w:tcW w:w="10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5,616,724</w:t>
            </w:r>
          </w:p>
        </w:tc>
      </w:tr>
      <w:tr>
        <w:trPr>
          <w:trHeight w:val="452"/>
        </w:trPr>
        <w:tc>
          <w:tcPr>
            <w:tcW w:w="23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gridSpan w:val="5"/>
          </w:tcPr>
          <w:p>
            <w:pPr>
              <w:ind w:left="220"/>
              <w:spacing w:after="0"/>
              <w:rPr>
                <w:sz w:val="20"/>
                <w:szCs w:val="20"/>
                <w:color w:val="auto"/>
              </w:rPr>
            </w:pPr>
            <w:r>
              <w:rPr>
                <w:rFonts w:ascii="Times New Roman" w:cs="Times New Roman" w:eastAsia="Times New Roman" w:hAnsi="Times New Roman"/>
                <w:sz w:val="13"/>
                <w:szCs w:val="13"/>
                <w:b w:val="1"/>
                <w:bCs w:val="1"/>
                <w:color w:val="auto"/>
              </w:rPr>
              <w:t>December 31, 2023</w:t>
            </w:r>
          </w:p>
        </w:tc>
        <w:tc>
          <w:tcPr>
            <w:tcW w:w="2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r>
      <w:tr>
        <w:trPr>
          <w:trHeight w:val="166"/>
        </w:trPr>
        <w:tc>
          <w:tcPr>
            <w:tcW w:w="2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20" w:type="dxa"/>
            <w:vAlign w:val="bottom"/>
            <w:gridSpan w:val="3"/>
          </w:tcPr>
          <w:p>
            <w:pPr>
              <w:jc w:val="right"/>
              <w:spacing w:after="0"/>
              <w:rPr>
                <w:sz w:val="20"/>
                <w:szCs w:val="20"/>
                <w:color w:val="auto"/>
              </w:rPr>
            </w:pPr>
            <w:r>
              <w:rPr>
                <w:rFonts w:ascii="Times New Roman" w:cs="Times New Roman" w:eastAsia="Times New Roman" w:hAnsi="Times New Roman"/>
                <w:sz w:val="13"/>
                <w:szCs w:val="13"/>
                <w:b w:val="1"/>
                <w:bCs w:val="1"/>
                <w:color w:val="auto"/>
              </w:rPr>
              <w:t>Term Loans</w:t>
            </w: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8"/>
        </w:trPr>
        <w:tc>
          <w:tcPr>
            <w:tcW w:w="23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jc w:val="right"/>
              <w:ind w:right="317"/>
              <w:spacing w:after="0"/>
              <w:rPr>
                <w:sz w:val="20"/>
                <w:szCs w:val="20"/>
                <w:color w:val="auto"/>
              </w:rPr>
            </w:pPr>
            <w:r>
              <w:rPr>
                <w:rFonts w:ascii="Times New Roman" w:cs="Times New Roman" w:eastAsia="Times New Roman" w:hAnsi="Times New Roman"/>
                <w:sz w:val="13"/>
                <w:szCs w:val="13"/>
                <w:b w:val="1"/>
                <w:bCs w:val="1"/>
                <w:color w:val="auto"/>
              </w:rPr>
              <w:t>2023</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jc w:val="right"/>
              <w:ind w:right="317"/>
              <w:spacing w:after="0"/>
              <w:rPr>
                <w:sz w:val="20"/>
                <w:szCs w:val="20"/>
                <w:color w:val="auto"/>
              </w:rPr>
            </w:pPr>
            <w:r>
              <w:rPr>
                <w:rFonts w:ascii="Times New Roman" w:cs="Times New Roman" w:eastAsia="Times New Roman" w:hAnsi="Times New Roman"/>
                <w:sz w:val="13"/>
                <w:szCs w:val="13"/>
                <w:b w:val="1"/>
                <w:bCs w:val="1"/>
                <w:color w:val="auto"/>
              </w:rPr>
              <w:t>2022</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jc w:val="right"/>
              <w:ind w:right="317"/>
              <w:spacing w:after="0"/>
              <w:rPr>
                <w:sz w:val="20"/>
                <w:szCs w:val="20"/>
                <w:color w:val="auto"/>
              </w:rPr>
            </w:pPr>
            <w:r>
              <w:rPr>
                <w:rFonts w:ascii="Times New Roman" w:cs="Times New Roman" w:eastAsia="Times New Roman" w:hAnsi="Times New Roman"/>
                <w:sz w:val="13"/>
                <w:szCs w:val="13"/>
                <w:b w:val="1"/>
                <w:bCs w:val="1"/>
                <w:color w:val="auto"/>
              </w:rPr>
              <w:t>2021</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80" w:type="dxa"/>
            <w:vAlign w:val="bottom"/>
          </w:tcPr>
          <w:p>
            <w:pPr>
              <w:jc w:val="right"/>
              <w:ind w:right="317"/>
              <w:spacing w:after="0"/>
              <w:rPr>
                <w:sz w:val="20"/>
                <w:szCs w:val="20"/>
                <w:color w:val="auto"/>
              </w:rPr>
            </w:pPr>
            <w:r>
              <w:rPr>
                <w:rFonts w:ascii="Times New Roman" w:cs="Times New Roman" w:eastAsia="Times New Roman" w:hAnsi="Times New Roman"/>
                <w:sz w:val="13"/>
                <w:szCs w:val="13"/>
                <w:b w:val="1"/>
                <w:bCs w:val="1"/>
                <w:color w:val="auto"/>
              </w:rPr>
              <w:t>2020</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jc w:val="right"/>
              <w:ind w:right="317"/>
              <w:spacing w:after="0"/>
              <w:rPr>
                <w:sz w:val="20"/>
                <w:szCs w:val="20"/>
                <w:color w:val="auto"/>
              </w:rPr>
            </w:pPr>
            <w:r>
              <w:rPr>
                <w:rFonts w:ascii="Times New Roman" w:cs="Times New Roman" w:eastAsia="Times New Roman" w:hAnsi="Times New Roman"/>
                <w:sz w:val="13"/>
                <w:szCs w:val="13"/>
                <w:b w:val="1"/>
                <w:bCs w:val="1"/>
                <w:color w:val="auto"/>
              </w:rPr>
              <w:t>2019</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gridSpan w:val="2"/>
          </w:tcPr>
          <w:p>
            <w:pPr>
              <w:ind w:left="140"/>
              <w:spacing w:after="0"/>
              <w:rPr>
                <w:sz w:val="20"/>
                <w:szCs w:val="20"/>
                <w:color w:val="auto"/>
              </w:rPr>
            </w:pPr>
            <w:r>
              <w:rPr>
                <w:rFonts w:ascii="Times New Roman" w:cs="Times New Roman" w:eastAsia="Times New Roman" w:hAnsi="Times New Roman"/>
                <w:sz w:val="13"/>
                <w:szCs w:val="13"/>
                <w:b w:val="1"/>
                <w:bCs w:val="1"/>
                <w:color w:val="auto"/>
              </w:rPr>
              <w:t>Prior</w:t>
            </w:r>
          </w:p>
        </w:tc>
        <w:tc>
          <w:tcPr>
            <w:tcW w:w="1120" w:type="dxa"/>
            <w:vAlign w:val="bottom"/>
            <w:gridSpan w:val="3"/>
          </w:tcPr>
          <w:p>
            <w:pPr>
              <w:ind w:left="60"/>
              <w:spacing w:after="0"/>
              <w:rPr>
                <w:sz w:val="20"/>
                <w:szCs w:val="20"/>
                <w:color w:val="auto"/>
              </w:rPr>
            </w:pPr>
            <w:r>
              <w:rPr>
                <w:rFonts w:ascii="Times New Roman" w:cs="Times New Roman" w:eastAsia="Times New Roman" w:hAnsi="Times New Roman"/>
                <w:sz w:val="13"/>
                <w:szCs w:val="13"/>
                <w:b w:val="1"/>
                <w:bCs w:val="1"/>
                <w:color w:val="auto"/>
              </w:rPr>
              <w:t>Revolving Loans</w:t>
            </w:r>
          </w:p>
        </w:tc>
        <w:tc>
          <w:tcPr>
            <w:tcW w:w="220" w:type="dxa"/>
            <w:vAlign w:val="bottom"/>
          </w:tcPr>
          <w:p>
            <w:pPr>
              <w:spacing w:after="0"/>
              <w:rPr>
                <w:sz w:val="15"/>
                <w:szCs w:val="15"/>
                <w:color w:val="auto"/>
              </w:rPr>
            </w:pPr>
          </w:p>
        </w:tc>
        <w:tc>
          <w:tcPr>
            <w:tcW w:w="800" w:type="dxa"/>
            <w:vAlign w:val="bottom"/>
          </w:tcPr>
          <w:p>
            <w:pPr>
              <w:jc w:val="right"/>
              <w:ind w:right="297"/>
              <w:spacing w:after="0"/>
              <w:rPr>
                <w:sz w:val="20"/>
                <w:szCs w:val="20"/>
                <w:color w:val="auto"/>
              </w:rPr>
            </w:pPr>
            <w:r>
              <w:rPr>
                <w:rFonts w:ascii="Times New Roman" w:cs="Times New Roman" w:eastAsia="Times New Roman" w:hAnsi="Times New Roman"/>
                <w:sz w:val="13"/>
                <w:szCs w:val="13"/>
                <w:b w:val="1"/>
                <w:bCs w:val="1"/>
                <w:color w:val="auto"/>
              </w:rPr>
              <w:t>Total</w:t>
            </w:r>
          </w:p>
        </w:tc>
      </w:tr>
      <w:tr>
        <w:trPr>
          <w:trHeight w:val="162"/>
        </w:trPr>
        <w:tc>
          <w:tcPr>
            <w:tcW w:w="23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Commercial real estate</w:t>
            </w:r>
          </w:p>
        </w:tc>
        <w:tc>
          <w:tcPr>
            <w:tcW w:w="240" w:type="dxa"/>
            <w:vAlign w:val="bottom"/>
            <w:tcBorders>
              <w:top w:val="single" w:sz="8" w:color="auto"/>
            </w:tcBorders>
            <w:shd w:val="clear" w:color="auto" w:fill="CCEEFF"/>
          </w:tcPr>
          <w:p>
            <w:pPr>
              <w:spacing w:after="0"/>
              <w:rPr>
                <w:sz w:val="14"/>
                <w:szCs w:val="14"/>
                <w:color w:val="auto"/>
              </w:rPr>
            </w:pPr>
          </w:p>
        </w:tc>
        <w:tc>
          <w:tcPr>
            <w:tcW w:w="7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spacing w:after="0"/>
              <w:rPr>
                <w:sz w:val="14"/>
                <w:szCs w:val="14"/>
                <w:color w:val="auto"/>
              </w:rPr>
            </w:pPr>
          </w:p>
        </w:tc>
        <w:tc>
          <w:tcPr>
            <w:tcW w:w="7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spacing w:after="0"/>
              <w:rPr>
                <w:sz w:val="14"/>
                <w:szCs w:val="14"/>
                <w:color w:val="auto"/>
              </w:rPr>
            </w:pPr>
          </w:p>
        </w:tc>
        <w:tc>
          <w:tcPr>
            <w:tcW w:w="7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340" w:type="dxa"/>
            <w:vAlign w:val="bottom"/>
            <w:tcBorders>
              <w:top w:val="single" w:sz="8" w:color="auto"/>
            </w:tcBorders>
            <w:shd w:val="clear" w:color="auto" w:fill="CCEEFF"/>
          </w:tcPr>
          <w:p>
            <w:pPr>
              <w:spacing w:after="0"/>
              <w:rPr>
                <w:sz w:val="14"/>
                <w:szCs w:val="14"/>
                <w:color w:val="auto"/>
              </w:rPr>
            </w:pPr>
          </w:p>
        </w:tc>
        <w:tc>
          <w:tcPr>
            <w:tcW w:w="6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spacing w:after="0"/>
              <w:rPr>
                <w:sz w:val="14"/>
                <w:szCs w:val="14"/>
                <w:color w:val="auto"/>
              </w:rPr>
            </w:pPr>
          </w:p>
        </w:tc>
        <w:tc>
          <w:tcPr>
            <w:tcW w:w="7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spacing w:after="0"/>
              <w:rPr>
                <w:sz w:val="14"/>
                <w:szCs w:val="14"/>
                <w:color w:val="auto"/>
              </w:rPr>
            </w:pPr>
          </w:p>
        </w:tc>
        <w:tc>
          <w:tcPr>
            <w:tcW w:w="8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auto"/>
            </w:tcBorders>
            <w:shd w:val="clear" w:color="auto" w:fill="CCEEFF"/>
          </w:tcPr>
          <w:p>
            <w:pPr>
              <w:spacing w:after="0"/>
              <w:rPr>
                <w:sz w:val="14"/>
                <w:szCs w:val="14"/>
                <w:color w:val="auto"/>
              </w:rPr>
            </w:pPr>
          </w:p>
        </w:tc>
        <w:tc>
          <w:tcPr>
            <w:tcW w:w="7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spacing w:after="0"/>
              <w:rPr>
                <w:sz w:val="14"/>
                <w:szCs w:val="14"/>
                <w:color w:val="auto"/>
              </w:rPr>
            </w:pPr>
          </w:p>
        </w:tc>
        <w:tc>
          <w:tcPr>
            <w:tcW w:w="800" w:type="dxa"/>
            <w:vAlign w:val="bottom"/>
            <w:tcBorders>
              <w:top w:val="single" w:sz="8" w:color="auto"/>
            </w:tcBorders>
            <w:shd w:val="clear" w:color="auto" w:fill="CCEEFF"/>
          </w:tcPr>
          <w:p>
            <w:pPr>
              <w:spacing w:after="0"/>
              <w:rPr>
                <w:sz w:val="14"/>
                <w:szCs w:val="14"/>
                <w:color w:val="auto"/>
              </w:rPr>
            </w:pPr>
          </w:p>
        </w:tc>
      </w:tr>
      <w:tr>
        <w:trPr>
          <w:trHeight w:val="170"/>
        </w:trPr>
        <w:tc>
          <w:tcPr>
            <w:tcW w:w="232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Pass</w:t>
            </w:r>
          </w:p>
        </w:tc>
        <w:tc>
          <w:tcPr>
            <w:tcW w:w="24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195,857</w:t>
            </w:r>
          </w:p>
        </w:tc>
        <w:tc>
          <w:tcPr>
            <w:tcW w:w="100" w:type="dxa"/>
            <w:vAlign w:val="bottom"/>
          </w:tcPr>
          <w:p>
            <w:pPr>
              <w:spacing w:after="0"/>
              <w:rPr>
                <w:sz w:val="14"/>
                <w:szCs w:val="14"/>
                <w:color w:val="auto"/>
              </w:rPr>
            </w:pPr>
          </w:p>
        </w:tc>
        <w:tc>
          <w:tcPr>
            <w:tcW w:w="24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261,817</w:t>
            </w:r>
          </w:p>
        </w:tc>
        <w:tc>
          <w:tcPr>
            <w:tcW w:w="100" w:type="dxa"/>
            <w:vAlign w:val="bottom"/>
          </w:tcPr>
          <w:p>
            <w:pPr>
              <w:spacing w:after="0"/>
              <w:rPr>
                <w:sz w:val="14"/>
                <w:szCs w:val="14"/>
                <w:color w:val="auto"/>
              </w:rPr>
            </w:pPr>
          </w:p>
        </w:tc>
        <w:tc>
          <w:tcPr>
            <w:tcW w:w="24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166,253</w:t>
            </w:r>
          </w:p>
        </w:tc>
        <w:tc>
          <w:tcPr>
            <w:tcW w:w="100" w:type="dxa"/>
            <w:vAlign w:val="bottom"/>
          </w:tcPr>
          <w:p>
            <w:pPr>
              <w:spacing w:after="0"/>
              <w:rPr>
                <w:sz w:val="14"/>
                <w:szCs w:val="14"/>
                <w:color w:val="auto"/>
              </w:rPr>
            </w:pPr>
          </w:p>
        </w:tc>
        <w:tc>
          <w:tcPr>
            <w:tcW w:w="340" w:type="dxa"/>
            <w:vAlign w:val="bottom"/>
          </w:tcPr>
          <w:p>
            <w:pPr>
              <w:jc w:val="right"/>
              <w:ind w:right="197"/>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22,791</w:t>
            </w:r>
          </w:p>
        </w:tc>
        <w:tc>
          <w:tcPr>
            <w:tcW w:w="100" w:type="dxa"/>
            <w:vAlign w:val="bottom"/>
          </w:tcPr>
          <w:p>
            <w:pPr>
              <w:spacing w:after="0"/>
              <w:rPr>
                <w:sz w:val="14"/>
                <w:szCs w:val="14"/>
                <w:color w:val="auto"/>
              </w:rPr>
            </w:pPr>
          </w:p>
        </w:tc>
        <w:tc>
          <w:tcPr>
            <w:tcW w:w="24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75,170</w:t>
            </w:r>
          </w:p>
        </w:tc>
        <w:tc>
          <w:tcPr>
            <w:tcW w:w="100" w:type="dxa"/>
            <w:vAlign w:val="bottom"/>
          </w:tcPr>
          <w:p>
            <w:pPr>
              <w:spacing w:after="0"/>
              <w:rPr>
                <w:sz w:val="14"/>
                <w:szCs w:val="14"/>
                <w:color w:val="auto"/>
              </w:rPr>
            </w:pPr>
          </w:p>
        </w:tc>
        <w:tc>
          <w:tcPr>
            <w:tcW w:w="22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416,774</w:t>
            </w:r>
          </w:p>
        </w:tc>
        <w:tc>
          <w:tcPr>
            <w:tcW w:w="100" w:type="dxa"/>
            <w:vAlign w:val="bottom"/>
          </w:tcPr>
          <w:p>
            <w:pPr>
              <w:spacing w:after="0"/>
              <w:rPr>
                <w:sz w:val="14"/>
                <w:szCs w:val="14"/>
                <w:color w:val="auto"/>
              </w:rPr>
            </w:pPr>
          </w:p>
        </w:tc>
        <w:tc>
          <w:tcPr>
            <w:tcW w:w="320" w:type="dxa"/>
            <w:vAlign w:val="bottom"/>
          </w:tcPr>
          <w:p>
            <w:pPr>
              <w:jc w:val="right"/>
              <w:ind w:right="177"/>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36,761</w:t>
            </w:r>
          </w:p>
        </w:tc>
        <w:tc>
          <w:tcPr>
            <w:tcW w:w="100" w:type="dxa"/>
            <w:vAlign w:val="bottom"/>
          </w:tcPr>
          <w:p>
            <w:pPr>
              <w:spacing w:after="0"/>
              <w:rPr>
                <w:sz w:val="14"/>
                <w:szCs w:val="14"/>
                <w:color w:val="auto"/>
              </w:rPr>
            </w:pPr>
          </w:p>
        </w:tc>
        <w:tc>
          <w:tcPr>
            <w:tcW w:w="22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1,175,423</w:t>
            </w:r>
          </w:p>
        </w:tc>
      </w:tr>
      <w:tr>
        <w:trPr>
          <w:trHeight w:val="181"/>
        </w:trPr>
        <w:tc>
          <w:tcPr>
            <w:tcW w:w="2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Special Mention</w:t>
            </w:r>
          </w:p>
        </w:tc>
        <w:tc>
          <w:tcPr>
            <w:tcW w:w="24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12,235</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35,449</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4,876</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52,560</w:t>
            </w:r>
          </w:p>
        </w:tc>
      </w:tr>
      <w:tr>
        <w:trPr>
          <w:trHeight w:val="170"/>
        </w:trPr>
        <w:tc>
          <w:tcPr>
            <w:tcW w:w="232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Substandard</w:t>
            </w:r>
          </w:p>
        </w:tc>
        <w:tc>
          <w:tcPr>
            <w:tcW w:w="240" w:type="dxa"/>
            <w:vAlign w:val="bottom"/>
          </w:tcPr>
          <w:p>
            <w:pPr>
              <w:spacing w:after="0"/>
              <w:rPr>
                <w:sz w:val="14"/>
                <w:szCs w:val="14"/>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15,420</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12,847</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2,209</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50,625</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81,101</w:t>
            </w:r>
          </w:p>
        </w:tc>
      </w:tr>
      <w:tr>
        <w:trPr>
          <w:trHeight w:val="181"/>
        </w:trPr>
        <w:tc>
          <w:tcPr>
            <w:tcW w:w="2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Doubtful</w:t>
            </w:r>
          </w:p>
        </w:tc>
        <w:tc>
          <w:tcPr>
            <w:tcW w:w="24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70"/>
        </w:trPr>
        <w:tc>
          <w:tcPr>
            <w:tcW w:w="232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Loss</w:t>
            </w:r>
          </w:p>
        </w:tc>
        <w:tc>
          <w:tcPr>
            <w:tcW w:w="240" w:type="dxa"/>
            <w:vAlign w:val="bottom"/>
          </w:tcPr>
          <w:p>
            <w:pPr>
              <w:spacing w:after="0"/>
              <w:rPr>
                <w:sz w:val="14"/>
                <w:szCs w:val="14"/>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4"/>
                <w:szCs w:val="14"/>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4"/>
                <w:szCs w:val="14"/>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tcPr>
          <w:p>
            <w:pPr>
              <w:spacing w:after="0"/>
              <w:rPr>
                <w:sz w:val="14"/>
                <w:szCs w:val="14"/>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4"/>
                <w:szCs w:val="14"/>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spacing w:after="0"/>
              <w:rPr>
                <w:sz w:val="14"/>
                <w:szCs w:val="14"/>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69"/>
        </w:trPr>
        <w:tc>
          <w:tcPr>
            <w:tcW w:w="23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Total</w:t>
            </w:r>
          </w:p>
        </w:tc>
        <w:tc>
          <w:tcPr>
            <w:tcW w:w="240" w:type="dxa"/>
            <w:vAlign w:val="bottom"/>
            <w:tcBorders>
              <w:top w:val="single" w:sz="8" w:color="auto"/>
              <w:bottom w:val="single" w:sz="8" w:color="auto"/>
            </w:tcBorders>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195,857</w:t>
            </w:r>
          </w:p>
        </w:tc>
        <w:tc>
          <w:tcPr>
            <w:tcW w:w="10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bottom w:val="single" w:sz="8" w:color="auto"/>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289,472</w:t>
            </w:r>
          </w:p>
        </w:tc>
        <w:tc>
          <w:tcPr>
            <w:tcW w:w="10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bottom w:val="single" w:sz="8" w:color="auto"/>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214,549</w:t>
            </w:r>
          </w:p>
        </w:tc>
        <w:tc>
          <w:tcPr>
            <w:tcW w:w="100" w:type="dxa"/>
            <w:vAlign w:val="bottom"/>
            <w:tcBorders>
              <w:top w:val="single" w:sz="8" w:color="CCEEFF"/>
            </w:tcBorders>
            <w:shd w:val="clear" w:color="auto" w:fill="CCEEFF"/>
          </w:tcPr>
          <w:p>
            <w:pPr>
              <w:spacing w:after="0"/>
              <w:rPr>
                <w:sz w:val="14"/>
                <w:szCs w:val="14"/>
                <w:color w:val="auto"/>
              </w:rPr>
            </w:pPr>
          </w:p>
        </w:tc>
        <w:tc>
          <w:tcPr>
            <w:tcW w:w="340" w:type="dxa"/>
            <w:vAlign w:val="bottom"/>
            <w:tcBorders>
              <w:top w:val="single" w:sz="8" w:color="auto"/>
              <w:bottom w:val="single" w:sz="8" w:color="auto"/>
            </w:tcBorders>
            <w:shd w:val="clear" w:color="auto" w:fill="CCEEFF"/>
          </w:tcPr>
          <w:p>
            <w:pPr>
              <w:jc w:val="right"/>
              <w:ind w:right="197"/>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22,791</w:t>
            </w:r>
          </w:p>
        </w:tc>
        <w:tc>
          <w:tcPr>
            <w:tcW w:w="10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bottom w:val="single" w:sz="8" w:color="auto"/>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82,255</w:t>
            </w:r>
          </w:p>
        </w:tc>
        <w:tc>
          <w:tcPr>
            <w:tcW w:w="10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bottom w:val="single" w:sz="8" w:color="auto"/>
            </w:tcBorders>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467,399</w:t>
            </w:r>
          </w:p>
        </w:tc>
        <w:tc>
          <w:tcPr>
            <w:tcW w:w="10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auto"/>
              <w:bottom w:val="single" w:sz="8" w:color="auto"/>
            </w:tcBorders>
            <w:shd w:val="clear" w:color="auto" w:fill="CCEEFF"/>
          </w:tcPr>
          <w:p>
            <w:pPr>
              <w:jc w:val="right"/>
              <w:ind w:right="177"/>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36,761</w:t>
            </w:r>
          </w:p>
        </w:tc>
        <w:tc>
          <w:tcPr>
            <w:tcW w:w="10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bottom w:val="single" w:sz="8" w:color="auto"/>
            </w:tcBorders>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1,309,084</w:t>
            </w:r>
          </w:p>
        </w:tc>
      </w:tr>
      <w:tr>
        <w:trPr>
          <w:trHeight w:val="148"/>
        </w:trPr>
        <w:tc>
          <w:tcPr>
            <w:tcW w:w="2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r>
      <w:tr>
        <w:trPr>
          <w:trHeight w:val="170"/>
        </w:trPr>
        <w:tc>
          <w:tcPr>
            <w:tcW w:w="2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Year to date gross charge-offs</w:t>
            </w:r>
          </w:p>
        </w:tc>
        <w:tc>
          <w:tcPr>
            <w:tcW w:w="24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shd w:val="clear" w:color="auto" w:fill="CCEEFF"/>
          </w:tcPr>
          <w:p>
            <w:pPr>
              <w:jc w:val="right"/>
              <w:ind w:right="197"/>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CEEFF"/>
          </w:tcPr>
          <w:p>
            <w:pPr>
              <w:jc w:val="right"/>
              <w:ind w:right="177"/>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48"/>
        </w:trPr>
        <w:tc>
          <w:tcPr>
            <w:tcW w:w="232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r>
      <w:tr>
        <w:trPr>
          <w:trHeight w:val="175"/>
        </w:trPr>
        <w:tc>
          <w:tcPr>
            <w:tcW w:w="2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Owner-occupied commercial real estate</w:t>
            </w:r>
          </w:p>
        </w:tc>
        <w:tc>
          <w:tcPr>
            <w:tcW w:w="2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r>
      <w:tr>
        <w:trPr>
          <w:trHeight w:val="170"/>
        </w:trPr>
        <w:tc>
          <w:tcPr>
            <w:tcW w:w="232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Pass</w:t>
            </w:r>
          </w:p>
        </w:tc>
        <w:tc>
          <w:tcPr>
            <w:tcW w:w="24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9,309</w:t>
            </w:r>
          </w:p>
        </w:tc>
        <w:tc>
          <w:tcPr>
            <w:tcW w:w="100" w:type="dxa"/>
            <w:vAlign w:val="bottom"/>
          </w:tcPr>
          <w:p>
            <w:pPr>
              <w:spacing w:after="0"/>
              <w:rPr>
                <w:sz w:val="14"/>
                <w:szCs w:val="14"/>
                <w:color w:val="auto"/>
              </w:rPr>
            </w:pPr>
          </w:p>
        </w:tc>
        <w:tc>
          <w:tcPr>
            <w:tcW w:w="24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31,725</w:t>
            </w:r>
          </w:p>
        </w:tc>
        <w:tc>
          <w:tcPr>
            <w:tcW w:w="100" w:type="dxa"/>
            <w:vAlign w:val="bottom"/>
          </w:tcPr>
          <w:p>
            <w:pPr>
              <w:spacing w:after="0"/>
              <w:rPr>
                <w:sz w:val="14"/>
                <w:szCs w:val="14"/>
                <w:color w:val="auto"/>
              </w:rPr>
            </w:pPr>
          </w:p>
        </w:tc>
        <w:tc>
          <w:tcPr>
            <w:tcW w:w="24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11,229</w:t>
            </w:r>
          </w:p>
        </w:tc>
        <w:tc>
          <w:tcPr>
            <w:tcW w:w="100" w:type="dxa"/>
            <w:vAlign w:val="bottom"/>
          </w:tcPr>
          <w:p>
            <w:pPr>
              <w:spacing w:after="0"/>
              <w:rPr>
                <w:sz w:val="14"/>
                <w:szCs w:val="14"/>
                <w:color w:val="auto"/>
              </w:rPr>
            </w:pPr>
          </w:p>
        </w:tc>
        <w:tc>
          <w:tcPr>
            <w:tcW w:w="340" w:type="dxa"/>
            <w:vAlign w:val="bottom"/>
          </w:tcPr>
          <w:p>
            <w:pPr>
              <w:jc w:val="right"/>
              <w:ind w:right="197"/>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14,103</w:t>
            </w:r>
          </w:p>
        </w:tc>
        <w:tc>
          <w:tcPr>
            <w:tcW w:w="100" w:type="dxa"/>
            <w:vAlign w:val="bottom"/>
          </w:tcPr>
          <w:p>
            <w:pPr>
              <w:spacing w:after="0"/>
              <w:rPr>
                <w:sz w:val="14"/>
                <w:szCs w:val="14"/>
                <w:color w:val="auto"/>
              </w:rPr>
            </w:pPr>
          </w:p>
        </w:tc>
        <w:tc>
          <w:tcPr>
            <w:tcW w:w="24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10,279</w:t>
            </w:r>
          </w:p>
        </w:tc>
        <w:tc>
          <w:tcPr>
            <w:tcW w:w="100" w:type="dxa"/>
            <w:vAlign w:val="bottom"/>
          </w:tcPr>
          <w:p>
            <w:pPr>
              <w:spacing w:after="0"/>
              <w:rPr>
                <w:sz w:val="14"/>
                <w:szCs w:val="14"/>
                <w:color w:val="auto"/>
              </w:rPr>
            </w:pPr>
          </w:p>
        </w:tc>
        <w:tc>
          <w:tcPr>
            <w:tcW w:w="22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43,616</w:t>
            </w:r>
          </w:p>
        </w:tc>
        <w:tc>
          <w:tcPr>
            <w:tcW w:w="100" w:type="dxa"/>
            <w:vAlign w:val="bottom"/>
          </w:tcPr>
          <w:p>
            <w:pPr>
              <w:spacing w:after="0"/>
              <w:rPr>
                <w:sz w:val="14"/>
                <w:szCs w:val="14"/>
                <w:color w:val="auto"/>
              </w:rPr>
            </w:pPr>
          </w:p>
        </w:tc>
        <w:tc>
          <w:tcPr>
            <w:tcW w:w="320" w:type="dxa"/>
            <w:vAlign w:val="bottom"/>
          </w:tcPr>
          <w:p>
            <w:pPr>
              <w:jc w:val="right"/>
              <w:ind w:right="177"/>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6,184</w:t>
            </w:r>
          </w:p>
        </w:tc>
        <w:tc>
          <w:tcPr>
            <w:tcW w:w="100" w:type="dxa"/>
            <w:vAlign w:val="bottom"/>
          </w:tcPr>
          <w:p>
            <w:pPr>
              <w:spacing w:after="0"/>
              <w:rPr>
                <w:sz w:val="14"/>
                <w:szCs w:val="14"/>
                <w:color w:val="auto"/>
              </w:rPr>
            </w:pPr>
          </w:p>
        </w:tc>
        <w:tc>
          <w:tcPr>
            <w:tcW w:w="22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126,445</w:t>
            </w:r>
          </w:p>
        </w:tc>
      </w:tr>
      <w:tr>
        <w:trPr>
          <w:trHeight w:val="181"/>
        </w:trPr>
        <w:tc>
          <w:tcPr>
            <w:tcW w:w="2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Special Mention</w:t>
            </w:r>
          </w:p>
        </w:tc>
        <w:tc>
          <w:tcPr>
            <w:tcW w:w="24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70"/>
        </w:trPr>
        <w:tc>
          <w:tcPr>
            <w:tcW w:w="232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Substandard</w:t>
            </w:r>
          </w:p>
        </w:tc>
        <w:tc>
          <w:tcPr>
            <w:tcW w:w="240" w:type="dxa"/>
            <w:vAlign w:val="bottom"/>
          </w:tcPr>
          <w:p>
            <w:pPr>
              <w:spacing w:after="0"/>
              <w:rPr>
                <w:sz w:val="14"/>
                <w:szCs w:val="14"/>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532</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tcPr>
          <w:p>
            <w:pPr>
              <w:spacing w:after="0"/>
              <w:rPr>
                <w:sz w:val="14"/>
                <w:szCs w:val="14"/>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4"/>
                <w:szCs w:val="14"/>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4,404</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4,936</w:t>
            </w:r>
          </w:p>
        </w:tc>
      </w:tr>
      <w:tr>
        <w:trPr>
          <w:trHeight w:val="181"/>
        </w:trPr>
        <w:tc>
          <w:tcPr>
            <w:tcW w:w="2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Doubtful</w:t>
            </w:r>
          </w:p>
        </w:tc>
        <w:tc>
          <w:tcPr>
            <w:tcW w:w="24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70"/>
        </w:trPr>
        <w:tc>
          <w:tcPr>
            <w:tcW w:w="232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Loss</w:t>
            </w:r>
          </w:p>
        </w:tc>
        <w:tc>
          <w:tcPr>
            <w:tcW w:w="240" w:type="dxa"/>
            <w:vAlign w:val="bottom"/>
          </w:tcPr>
          <w:p>
            <w:pPr>
              <w:spacing w:after="0"/>
              <w:rPr>
                <w:sz w:val="14"/>
                <w:szCs w:val="14"/>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4"/>
                <w:szCs w:val="14"/>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4"/>
                <w:szCs w:val="14"/>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tcPr>
          <w:p>
            <w:pPr>
              <w:spacing w:after="0"/>
              <w:rPr>
                <w:sz w:val="14"/>
                <w:szCs w:val="14"/>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4"/>
                <w:szCs w:val="14"/>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spacing w:after="0"/>
              <w:rPr>
                <w:sz w:val="14"/>
                <w:szCs w:val="14"/>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69"/>
        </w:trPr>
        <w:tc>
          <w:tcPr>
            <w:tcW w:w="23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Total</w:t>
            </w:r>
          </w:p>
        </w:tc>
        <w:tc>
          <w:tcPr>
            <w:tcW w:w="240" w:type="dxa"/>
            <w:vAlign w:val="bottom"/>
            <w:tcBorders>
              <w:top w:val="single" w:sz="8" w:color="auto"/>
              <w:bottom w:val="single" w:sz="8" w:color="auto"/>
            </w:tcBorders>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9,309</w:t>
            </w:r>
          </w:p>
        </w:tc>
        <w:tc>
          <w:tcPr>
            <w:tcW w:w="10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bottom w:val="single" w:sz="8" w:color="auto"/>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32,257</w:t>
            </w:r>
          </w:p>
        </w:tc>
        <w:tc>
          <w:tcPr>
            <w:tcW w:w="10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bottom w:val="single" w:sz="8" w:color="auto"/>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11,229</w:t>
            </w:r>
          </w:p>
        </w:tc>
        <w:tc>
          <w:tcPr>
            <w:tcW w:w="100" w:type="dxa"/>
            <w:vAlign w:val="bottom"/>
            <w:tcBorders>
              <w:top w:val="single" w:sz="8" w:color="CCEEFF"/>
            </w:tcBorders>
            <w:shd w:val="clear" w:color="auto" w:fill="CCEEFF"/>
          </w:tcPr>
          <w:p>
            <w:pPr>
              <w:spacing w:after="0"/>
              <w:rPr>
                <w:sz w:val="14"/>
                <w:szCs w:val="14"/>
                <w:color w:val="auto"/>
              </w:rPr>
            </w:pPr>
          </w:p>
        </w:tc>
        <w:tc>
          <w:tcPr>
            <w:tcW w:w="340" w:type="dxa"/>
            <w:vAlign w:val="bottom"/>
            <w:tcBorders>
              <w:top w:val="single" w:sz="8" w:color="auto"/>
              <w:bottom w:val="single" w:sz="8" w:color="auto"/>
            </w:tcBorders>
            <w:shd w:val="clear" w:color="auto" w:fill="CCEEFF"/>
          </w:tcPr>
          <w:p>
            <w:pPr>
              <w:jc w:val="right"/>
              <w:ind w:right="197"/>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14,103</w:t>
            </w:r>
          </w:p>
        </w:tc>
        <w:tc>
          <w:tcPr>
            <w:tcW w:w="10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bottom w:val="single" w:sz="8" w:color="auto"/>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10,279</w:t>
            </w:r>
          </w:p>
        </w:tc>
        <w:tc>
          <w:tcPr>
            <w:tcW w:w="10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bottom w:val="single" w:sz="8" w:color="auto"/>
            </w:tcBorders>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48,020</w:t>
            </w:r>
          </w:p>
        </w:tc>
        <w:tc>
          <w:tcPr>
            <w:tcW w:w="10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auto"/>
              <w:bottom w:val="single" w:sz="8" w:color="auto"/>
            </w:tcBorders>
            <w:shd w:val="clear" w:color="auto" w:fill="CCEEFF"/>
          </w:tcPr>
          <w:p>
            <w:pPr>
              <w:jc w:val="right"/>
              <w:ind w:right="177"/>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6,184</w:t>
            </w:r>
          </w:p>
        </w:tc>
        <w:tc>
          <w:tcPr>
            <w:tcW w:w="10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bottom w:val="single" w:sz="8" w:color="auto"/>
            </w:tcBorders>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131,381</w:t>
            </w:r>
          </w:p>
        </w:tc>
      </w:tr>
      <w:tr>
        <w:trPr>
          <w:trHeight w:val="148"/>
        </w:trPr>
        <w:tc>
          <w:tcPr>
            <w:tcW w:w="2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r>
      <w:tr>
        <w:trPr>
          <w:trHeight w:val="170"/>
        </w:trPr>
        <w:tc>
          <w:tcPr>
            <w:tcW w:w="2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Year to date gross charge-offs</w:t>
            </w:r>
          </w:p>
        </w:tc>
        <w:tc>
          <w:tcPr>
            <w:tcW w:w="24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shd w:val="clear" w:color="auto" w:fill="CCEEFF"/>
          </w:tcPr>
          <w:p>
            <w:pPr>
              <w:jc w:val="right"/>
              <w:ind w:right="197"/>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CEEFF"/>
          </w:tcPr>
          <w:p>
            <w:pPr>
              <w:jc w:val="right"/>
              <w:ind w:right="177"/>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48"/>
        </w:trPr>
        <w:tc>
          <w:tcPr>
            <w:tcW w:w="232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r>
      <w:tr>
        <w:trPr>
          <w:trHeight w:val="121"/>
        </w:trPr>
        <w:tc>
          <w:tcPr>
            <w:tcW w:w="2320" w:type="dxa"/>
            <w:vAlign w:val="bottom"/>
            <w:shd w:val="clear" w:color="auto" w:fill="CCEEFF"/>
          </w:tcPr>
          <w:p>
            <w:pPr>
              <w:ind w:left="20"/>
              <w:spacing w:after="0" w:line="122" w:lineRule="exact"/>
              <w:rPr>
                <w:sz w:val="20"/>
                <w:szCs w:val="20"/>
                <w:color w:val="auto"/>
              </w:rPr>
            </w:pPr>
            <w:r>
              <w:rPr>
                <w:rFonts w:ascii="Times New Roman" w:cs="Times New Roman" w:eastAsia="Times New Roman" w:hAnsi="Times New Roman"/>
                <w:sz w:val="13"/>
                <w:szCs w:val="13"/>
                <w:b w:val="1"/>
                <w:bCs w:val="1"/>
                <w:color w:val="auto"/>
              </w:rPr>
              <w:t>Acquisition, construction &amp;</w:t>
            </w:r>
          </w:p>
        </w:tc>
        <w:tc>
          <w:tcPr>
            <w:tcW w:w="24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r>
      <w:tr>
        <w:trPr>
          <w:trHeight w:val="169"/>
        </w:trPr>
        <w:tc>
          <w:tcPr>
            <w:tcW w:w="2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development</w:t>
            </w:r>
          </w:p>
        </w:tc>
        <w:tc>
          <w:tcPr>
            <w:tcW w:w="240" w:type="dxa"/>
            <w:vAlign w:val="bottom"/>
            <w:tcBorders>
              <w:bottom w:val="single" w:sz="8" w:color="CCEEFF"/>
            </w:tcBorders>
            <w:shd w:val="clear" w:color="auto" w:fill="CCEEFF"/>
          </w:tcPr>
          <w:p>
            <w:pPr>
              <w:spacing w:after="0"/>
              <w:rPr>
                <w:sz w:val="14"/>
                <w:szCs w:val="14"/>
                <w:color w:val="auto"/>
              </w:rPr>
            </w:pPr>
          </w:p>
        </w:tc>
        <w:tc>
          <w:tcPr>
            <w:tcW w:w="7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bottom w:val="single" w:sz="8" w:color="CCEEFF"/>
            </w:tcBorders>
            <w:shd w:val="clear" w:color="auto" w:fill="CCEEFF"/>
          </w:tcPr>
          <w:p>
            <w:pPr>
              <w:spacing w:after="0"/>
              <w:rPr>
                <w:sz w:val="14"/>
                <w:szCs w:val="14"/>
                <w:color w:val="auto"/>
              </w:rPr>
            </w:pPr>
          </w:p>
        </w:tc>
        <w:tc>
          <w:tcPr>
            <w:tcW w:w="7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bottom w:val="single" w:sz="8" w:color="CCEEFF"/>
            </w:tcBorders>
            <w:shd w:val="clear" w:color="auto" w:fill="CCEEFF"/>
          </w:tcPr>
          <w:p>
            <w:pPr>
              <w:spacing w:after="0"/>
              <w:rPr>
                <w:sz w:val="14"/>
                <w:szCs w:val="14"/>
                <w:color w:val="auto"/>
              </w:rPr>
            </w:pPr>
          </w:p>
        </w:tc>
        <w:tc>
          <w:tcPr>
            <w:tcW w:w="7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340" w:type="dxa"/>
            <w:vAlign w:val="bottom"/>
            <w:tcBorders>
              <w:bottom w:val="single" w:sz="8" w:color="CCEEFF"/>
            </w:tcBorders>
            <w:shd w:val="clear" w:color="auto" w:fill="CCEEFF"/>
          </w:tcPr>
          <w:p>
            <w:pPr>
              <w:spacing w:after="0"/>
              <w:rPr>
                <w:sz w:val="14"/>
                <w:szCs w:val="14"/>
                <w:color w:val="auto"/>
              </w:rPr>
            </w:pPr>
          </w:p>
        </w:tc>
        <w:tc>
          <w:tcPr>
            <w:tcW w:w="6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bottom w:val="single" w:sz="8" w:color="CCEEFF"/>
            </w:tcBorders>
            <w:shd w:val="clear" w:color="auto" w:fill="CCEEFF"/>
          </w:tcPr>
          <w:p>
            <w:pPr>
              <w:spacing w:after="0"/>
              <w:rPr>
                <w:sz w:val="14"/>
                <w:szCs w:val="14"/>
                <w:color w:val="auto"/>
              </w:rPr>
            </w:pPr>
          </w:p>
        </w:tc>
        <w:tc>
          <w:tcPr>
            <w:tcW w:w="7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CCEEFF"/>
            </w:tcBorders>
            <w:shd w:val="clear" w:color="auto" w:fill="CCEEFF"/>
          </w:tcPr>
          <w:p>
            <w:pPr>
              <w:spacing w:after="0"/>
              <w:rPr>
                <w:sz w:val="14"/>
                <w:szCs w:val="14"/>
                <w:color w:val="auto"/>
              </w:rPr>
            </w:pPr>
          </w:p>
        </w:tc>
        <w:tc>
          <w:tcPr>
            <w:tcW w:w="8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320" w:type="dxa"/>
            <w:vAlign w:val="bottom"/>
            <w:tcBorders>
              <w:bottom w:val="single" w:sz="8" w:color="CCEEFF"/>
            </w:tcBorders>
            <w:shd w:val="clear" w:color="auto" w:fill="CCEEFF"/>
          </w:tcPr>
          <w:p>
            <w:pPr>
              <w:spacing w:after="0"/>
              <w:rPr>
                <w:sz w:val="14"/>
                <w:szCs w:val="14"/>
                <w:color w:val="auto"/>
              </w:rPr>
            </w:pPr>
          </w:p>
        </w:tc>
        <w:tc>
          <w:tcPr>
            <w:tcW w:w="7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CCEEFF"/>
            </w:tcBorders>
            <w:shd w:val="clear" w:color="auto" w:fill="CCEEFF"/>
          </w:tcPr>
          <w:p>
            <w:pPr>
              <w:spacing w:after="0"/>
              <w:rPr>
                <w:sz w:val="14"/>
                <w:szCs w:val="14"/>
                <w:color w:val="auto"/>
              </w:rPr>
            </w:pPr>
          </w:p>
        </w:tc>
        <w:tc>
          <w:tcPr>
            <w:tcW w:w="800" w:type="dxa"/>
            <w:vAlign w:val="bottom"/>
            <w:tcBorders>
              <w:bottom w:val="single" w:sz="8" w:color="CCEEFF"/>
            </w:tcBorders>
            <w:shd w:val="clear" w:color="auto" w:fill="CCEEFF"/>
          </w:tcPr>
          <w:p>
            <w:pPr>
              <w:spacing w:after="0"/>
              <w:rPr>
                <w:sz w:val="14"/>
                <w:szCs w:val="14"/>
                <w:color w:val="auto"/>
              </w:rPr>
            </w:pPr>
          </w:p>
        </w:tc>
      </w:tr>
      <w:tr>
        <w:trPr>
          <w:trHeight w:val="164"/>
        </w:trPr>
        <w:tc>
          <w:tcPr>
            <w:tcW w:w="232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Pass</w:t>
            </w:r>
          </w:p>
        </w:tc>
        <w:tc>
          <w:tcPr>
            <w:tcW w:w="24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8,535</w:t>
            </w:r>
          </w:p>
        </w:tc>
        <w:tc>
          <w:tcPr>
            <w:tcW w:w="100" w:type="dxa"/>
            <w:vAlign w:val="bottom"/>
          </w:tcPr>
          <w:p>
            <w:pPr>
              <w:spacing w:after="0"/>
              <w:rPr>
                <w:sz w:val="14"/>
                <w:szCs w:val="14"/>
                <w:color w:val="auto"/>
              </w:rPr>
            </w:pPr>
          </w:p>
        </w:tc>
        <w:tc>
          <w:tcPr>
            <w:tcW w:w="24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24,286</w:t>
            </w:r>
          </w:p>
        </w:tc>
        <w:tc>
          <w:tcPr>
            <w:tcW w:w="100" w:type="dxa"/>
            <w:vAlign w:val="bottom"/>
          </w:tcPr>
          <w:p>
            <w:pPr>
              <w:spacing w:after="0"/>
              <w:rPr>
                <w:sz w:val="14"/>
                <w:szCs w:val="14"/>
                <w:color w:val="auto"/>
              </w:rPr>
            </w:pPr>
          </w:p>
        </w:tc>
        <w:tc>
          <w:tcPr>
            <w:tcW w:w="24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13,698</w:t>
            </w:r>
          </w:p>
        </w:tc>
        <w:tc>
          <w:tcPr>
            <w:tcW w:w="100" w:type="dxa"/>
            <w:vAlign w:val="bottom"/>
          </w:tcPr>
          <w:p>
            <w:pPr>
              <w:spacing w:after="0"/>
              <w:rPr>
                <w:sz w:val="14"/>
                <w:szCs w:val="14"/>
                <w:color w:val="auto"/>
              </w:rPr>
            </w:pPr>
          </w:p>
        </w:tc>
        <w:tc>
          <w:tcPr>
            <w:tcW w:w="340" w:type="dxa"/>
            <w:vAlign w:val="bottom"/>
          </w:tcPr>
          <w:p>
            <w:pPr>
              <w:jc w:val="right"/>
              <w:ind w:right="197"/>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728</w:t>
            </w:r>
          </w:p>
        </w:tc>
        <w:tc>
          <w:tcPr>
            <w:tcW w:w="100" w:type="dxa"/>
            <w:vAlign w:val="bottom"/>
          </w:tcPr>
          <w:p>
            <w:pPr>
              <w:spacing w:after="0"/>
              <w:rPr>
                <w:sz w:val="14"/>
                <w:szCs w:val="14"/>
                <w:color w:val="auto"/>
              </w:rPr>
            </w:pPr>
          </w:p>
        </w:tc>
        <w:tc>
          <w:tcPr>
            <w:tcW w:w="22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241</w:t>
            </w:r>
          </w:p>
        </w:tc>
        <w:tc>
          <w:tcPr>
            <w:tcW w:w="100" w:type="dxa"/>
            <w:vAlign w:val="bottom"/>
          </w:tcPr>
          <w:p>
            <w:pPr>
              <w:spacing w:after="0"/>
              <w:rPr>
                <w:sz w:val="14"/>
                <w:szCs w:val="14"/>
                <w:color w:val="auto"/>
              </w:rPr>
            </w:pPr>
          </w:p>
        </w:tc>
        <w:tc>
          <w:tcPr>
            <w:tcW w:w="320" w:type="dxa"/>
            <w:vAlign w:val="bottom"/>
          </w:tcPr>
          <w:p>
            <w:pPr>
              <w:jc w:val="right"/>
              <w:ind w:right="177"/>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1,603</w:t>
            </w:r>
          </w:p>
        </w:tc>
        <w:tc>
          <w:tcPr>
            <w:tcW w:w="100" w:type="dxa"/>
            <w:vAlign w:val="bottom"/>
          </w:tcPr>
          <w:p>
            <w:pPr>
              <w:spacing w:after="0"/>
              <w:rPr>
                <w:sz w:val="14"/>
                <w:szCs w:val="14"/>
                <w:color w:val="auto"/>
              </w:rPr>
            </w:pPr>
          </w:p>
        </w:tc>
        <w:tc>
          <w:tcPr>
            <w:tcW w:w="22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49,091</w:t>
            </w:r>
          </w:p>
        </w:tc>
      </w:tr>
    </w:tbl>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Allowance for Credit Losses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Special Mention</w:t>
            </w:r>
          </w:p>
        </w:tc>
        <w:tc>
          <w:tcPr>
            <w:tcW w:w="32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70"/>
        </w:trPr>
        <w:tc>
          <w:tcPr>
            <w:tcW w:w="232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Substandard</w:t>
            </w:r>
          </w:p>
        </w:tc>
        <w:tc>
          <w:tcPr>
            <w:tcW w:w="320" w:type="dxa"/>
            <w:vAlign w:val="bottom"/>
          </w:tcPr>
          <w:p>
            <w:pPr>
              <w:spacing w:after="0"/>
              <w:rPr>
                <w:sz w:val="14"/>
                <w:szCs w:val="14"/>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spacing w:after="0"/>
              <w:rPr>
                <w:sz w:val="14"/>
                <w:szCs w:val="14"/>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spacing w:after="0"/>
              <w:rPr>
                <w:sz w:val="14"/>
                <w:szCs w:val="14"/>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tcPr>
          <w:p>
            <w:pPr>
              <w:spacing w:after="0"/>
              <w:rPr>
                <w:sz w:val="14"/>
                <w:szCs w:val="14"/>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spacing w:after="0"/>
              <w:rPr>
                <w:sz w:val="14"/>
                <w:szCs w:val="14"/>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spacing w:after="0"/>
              <w:rPr>
                <w:sz w:val="14"/>
                <w:szCs w:val="14"/>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spacing w:after="0"/>
              <w:rPr>
                <w:sz w:val="14"/>
                <w:szCs w:val="14"/>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81"/>
        </w:trPr>
        <w:tc>
          <w:tcPr>
            <w:tcW w:w="2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Doubtful</w:t>
            </w:r>
          </w:p>
        </w:tc>
        <w:tc>
          <w:tcPr>
            <w:tcW w:w="32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70"/>
        </w:trPr>
        <w:tc>
          <w:tcPr>
            <w:tcW w:w="232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Loss</w:t>
            </w:r>
          </w:p>
        </w:tc>
        <w:tc>
          <w:tcPr>
            <w:tcW w:w="320" w:type="dxa"/>
            <w:vAlign w:val="bottom"/>
          </w:tcPr>
          <w:p>
            <w:pPr>
              <w:spacing w:after="0"/>
              <w:rPr>
                <w:sz w:val="14"/>
                <w:szCs w:val="14"/>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spacing w:after="0"/>
              <w:rPr>
                <w:sz w:val="14"/>
                <w:szCs w:val="14"/>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spacing w:after="0"/>
              <w:rPr>
                <w:sz w:val="14"/>
                <w:szCs w:val="14"/>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tcPr>
          <w:p>
            <w:pPr>
              <w:spacing w:after="0"/>
              <w:rPr>
                <w:sz w:val="14"/>
                <w:szCs w:val="14"/>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spacing w:after="0"/>
              <w:rPr>
                <w:sz w:val="14"/>
                <w:szCs w:val="14"/>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spacing w:after="0"/>
              <w:rPr>
                <w:sz w:val="14"/>
                <w:szCs w:val="14"/>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spacing w:after="0"/>
              <w:rPr>
                <w:sz w:val="14"/>
                <w:szCs w:val="14"/>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69"/>
        </w:trPr>
        <w:tc>
          <w:tcPr>
            <w:tcW w:w="23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Total</w:t>
            </w:r>
          </w:p>
        </w:tc>
        <w:tc>
          <w:tcPr>
            <w:tcW w:w="320" w:type="dxa"/>
            <w:vAlign w:val="bottom"/>
            <w:tcBorders>
              <w:top w:val="single" w:sz="8" w:color="auto"/>
              <w:bottom w:val="single" w:sz="8" w:color="auto"/>
            </w:tcBorders>
            <w:shd w:val="clear" w:color="auto" w:fill="CCEEFF"/>
          </w:tcPr>
          <w:p>
            <w:pPr>
              <w:jc w:val="right"/>
              <w:ind w:right="157"/>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8,535</w:t>
            </w:r>
          </w:p>
        </w:tc>
        <w:tc>
          <w:tcPr>
            <w:tcW w:w="10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auto"/>
              <w:bottom w:val="single" w:sz="8" w:color="auto"/>
            </w:tcBorders>
            <w:shd w:val="clear" w:color="auto" w:fill="CCEEFF"/>
          </w:tcPr>
          <w:p>
            <w:pPr>
              <w:jc w:val="right"/>
              <w:ind w:right="177"/>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24,286</w:t>
            </w:r>
          </w:p>
        </w:tc>
        <w:tc>
          <w:tcPr>
            <w:tcW w:w="10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auto"/>
              <w:bottom w:val="single" w:sz="8" w:color="auto"/>
            </w:tcBorders>
            <w:shd w:val="clear" w:color="auto" w:fill="CCEEFF"/>
          </w:tcPr>
          <w:p>
            <w:pPr>
              <w:jc w:val="right"/>
              <w:ind w:right="177"/>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13,698</w:t>
            </w:r>
          </w:p>
        </w:tc>
        <w:tc>
          <w:tcPr>
            <w:tcW w:w="100" w:type="dxa"/>
            <w:vAlign w:val="bottom"/>
            <w:tcBorders>
              <w:top w:val="single" w:sz="8" w:color="CCEEFF"/>
            </w:tcBorders>
            <w:shd w:val="clear" w:color="auto" w:fill="CCEEFF"/>
          </w:tcPr>
          <w:p>
            <w:pPr>
              <w:spacing w:after="0"/>
              <w:rPr>
                <w:sz w:val="14"/>
                <w:szCs w:val="14"/>
                <w:color w:val="auto"/>
              </w:rPr>
            </w:pPr>
          </w:p>
        </w:tc>
        <w:tc>
          <w:tcPr>
            <w:tcW w:w="340" w:type="dxa"/>
            <w:vAlign w:val="bottom"/>
            <w:tcBorders>
              <w:top w:val="single" w:sz="8" w:color="auto"/>
              <w:bottom w:val="single" w:sz="8" w:color="auto"/>
            </w:tcBorders>
            <w:shd w:val="clear" w:color="auto" w:fill="CCEEFF"/>
          </w:tcPr>
          <w:p>
            <w:pPr>
              <w:jc w:val="right"/>
              <w:ind w:right="197"/>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auto"/>
              <w:bottom w:val="single" w:sz="8" w:color="auto"/>
            </w:tcBorders>
            <w:shd w:val="clear" w:color="auto" w:fill="CCEEFF"/>
          </w:tcPr>
          <w:p>
            <w:pPr>
              <w:jc w:val="right"/>
              <w:ind w:right="177"/>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728</w:t>
            </w:r>
          </w:p>
        </w:tc>
        <w:tc>
          <w:tcPr>
            <w:tcW w:w="10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auto"/>
              <w:bottom w:val="single" w:sz="8" w:color="auto"/>
            </w:tcBorders>
            <w:shd w:val="clear" w:color="auto" w:fill="CCEEFF"/>
          </w:tcPr>
          <w:p>
            <w:pPr>
              <w:jc w:val="right"/>
              <w:ind w:right="177"/>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241</w:t>
            </w:r>
          </w:p>
        </w:tc>
        <w:tc>
          <w:tcPr>
            <w:tcW w:w="10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auto"/>
              <w:bottom w:val="single" w:sz="8" w:color="auto"/>
            </w:tcBorders>
            <w:shd w:val="clear" w:color="auto" w:fill="CCEEFF"/>
          </w:tcPr>
          <w:p>
            <w:pPr>
              <w:jc w:val="right"/>
              <w:ind w:right="177"/>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1,603</w:t>
            </w:r>
          </w:p>
        </w:tc>
        <w:tc>
          <w:tcPr>
            <w:tcW w:w="10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auto"/>
              <w:bottom w:val="single" w:sz="8" w:color="auto"/>
            </w:tcBorders>
            <w:shd w:val="clear" w:color="auto" w:fill="CCEEFF"/>
          </w:tcPr>
          <w:p>
            <w:pPr>
              <w:jc w:val="right"/>
              <w:ind w:right="137"/>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49,091</w:t>
            </w:r>
          </w:p>
        </w:tc>
      </w:tr>
      <w:tr>
        <w:trPr>
          <w:trHeight w:val="148"/>
        </w:trPr>
        <w:tc>
          <w:tcPr>
            <w:tcW w:w="23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40" w:type="dxa"/>
            <w:vAlign w:val="bottom"/>
          </w:tcPr>
          <w:p>
            <w:pPr>
              <w:spacing w:after="0"/>
              <w:rPr>
                <w:sz w:val="12"/>
                <w:szCs w:val="12"/>
                <w:color w:val="auto"/>
              </w:rPr>
            </w:pPr>
          </w:p>
        </w:tc>
      </w:tr>
      <w:tr>
        <w:trPr>
          <w:trHeight w:val="170"/>
        </w:trPr>
        <w:tc>
          <w:tcPr>
            <w:tcW w:w="2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Year to date gross charge-offs</w:t>
            </w:r>
          </w:p>
        </w:tc>
        <w:tc>
          <w:tcPr>
            <w:tcW w:w="320" w:type="dxa"/>
            <w:vAlign w:val="bottom"/>
            <w:shd w:val="clear" w:color="auto" w:fill="CCEEFF"/>
          </w:tcPr>
          <w:p>
            <w:pPr>
              <w:jc w:val="right"/>
              <w:ind w:right="157"/>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CEEFF"/>
          </w:tcPr>
          <w:p>
            <w:pPr>
              <w:jc w:val="right"/>
              <w:ind w:right="177"/>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CEEFF"/>
          </w:tcPr>
          <w:p>
            <w:pPr>
              <w:jc w:val="right"/>
              <w:ind w:right="177"/>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shd w:val="clear" w:color="auto" w:fill="CCEEFF"/>
          </w:tcPr>
          <w:p>
            <w:pPr>
              <w:jc w:val="right"/>
              <w:ind w:right="197"/>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CEEFF"/>
          </w:tcPr>
          <w:p>
            <w:pPr>
              <w:jc w:val="right"/>
              <w:ind w:right="177"/>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CEEFF"/>
          </w:tcPr>
          <w:p>
            <w:pPr>
              <w:jc w:val="right"/>
              <w:ind w:right="177"/>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CEEFF"/>
          </w:tcPr>
          <w:p>
            <w:pPr>
              <w:jc w:val="right"/>
              <w:ind w:right="177"/>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shd w:val="clear" w:color="auto" w:fill="CCEEFF"/>
          </w:tcPr>
          <w:p>
            <w:pPr>
              <w:jc w:val="right"/>
              <w:ind w:right="137"/>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48"/>
        </w:trPr>
        <w:tc>
          <w:tcPr>
            <w:tcW w:w="2320" w:type="dxa"/>
            <w:vAlign w:val="bottom"/>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r>
      <w:tr>
        <w:trPr>
          <w:trHeight w:val="176"/>
        </w:trPr>
        <w:tc>
          <w:tcPr>
            <w:tcW w:w="2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Commercial &amp; industrial</w:t>
            </w:r>
          </w:p>
        </w:tc>
        <w:tc>
          <w:tcPr>
            <w:tcW w:w="3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r>
      <w:tr>
        <w:trPr>
          <w:trHeight w:val="170"/>
        </w:trPr>
        <w:tc>
          <w:tcPr>
            <w:tcW w:w="232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Pass</w:t>
            </w:r>
          </w:p>
        </w:tc>
        <w:tc>
          <w:tcPr>
            <w:tcW w:w="320" w:type="dxa"/>
            <w:vAlign w:val="bottom"/>
          </w:tcPr>
          <w:p>
            <w:pPr>
              <w:jc w:val="right"/>
              <w:ind w:right="157"/>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29,111</w:t>
            </w:r>
          </w:p>
        </w:tc>
        <w:tc>
          <w:tcPr>
            <w:tcW w:w="100" w:type="dxa"/>
            <w:vAlign w:val="bottom"/>
          </w:tcPr>
          <w:p>
            <w:pPr>
              <w:spacing w:after="0"/>
              <w:rPr>
                <w:sz w:val="14"/>
                <w:szCs w:val="14"/>
                <w:color w:val="auto"/>
              </w:rPr>
            </w:pPr>
          </w:p>
        </w:tc>
        <w:tc>
          <w:tcPr>
            <w:tcW w:w="320" w:type="dxa"/>
            <w:vAlign w:val="bottom"/>
          </w:tcPr>
          <w:p>
            <w:pPr>
              <w:jc w:val="right"/>
              <w:ind w:right="177"/>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15,204</w:t>
            </w:r>
          </w:p>
        </w:tc>
        <w:tc>
          <w:tcPr>
            <w:tcW w:w="100" w:type="dxa"/>
            <w:vAlign w:val="bottom"/>
          </w:tcPr>
          <w:p>
            <w:pPr>
              <w:spacing w:after="0"/>
              <w:rPr>
                <w:sz w:val="14"/>
                <w:szCs w:val="14"/>
                <w:color w:val="auto"/>
              </w:rPr>
            </w:pPr>
          </w:p>
        </w:tc>
        <w:tc>
          <w:tcPr>
            <w:tcW w:w="320" w:type="dxa"/>
            <w:vAlign w:val="bottom"/>
          </w:tcPr>
          <w:p>
            <w:pPr>
              <w:jc w:val="right"/>
              <w:ind w:right="177"/>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4,344</w:t>
            </w:r>
          </w:p>
        </w:tc>
        <w:tc>
          <w:tcPr>
            <w:tcW w:w="100" w:type="dxa"/>
            <w:vAlign w:val="bottom"/>
          </w:tcPr>
          <w:p>
            <w:pPr>
              <w:spacing w:after="0"/>
              <w:rPr>
                <w:sz w:val="14"/>
                <w:szCs w:val="14"/>
                <w:color w:val="auto"/>
              </w:rPr>
            </w:pPr>
          </w:p>
        </w:tc>
        <w:tc>
          <w:tcPr>
            <w:tcW w:w="340" w:type="dxa"/>
            <w:vAlign w:val="bottom"/>
          </w:tcPr>
          <w:p>
            <w:pPr>
              <w:jc w:val="right"/>
              <w:ind w:right="197"/>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162</w:t>
            </w:r>
          </w:p>
        </w:tc>
        <w:tc>
          <w:tcPr>
            <w:tcW w:w="100" w:type="dxa"/>
            <w:vAlign w:val="bottom"/>
          </w:tcPr>
          <w:p>
            <w:pPr>
              <w:spacing w:after="0"/>
              <w:rPr>
                <w:sz w:val="14"/>
                <w:szCs w:val="14"/>
                <w:color w:val="auto"/>
              </w:rPr>
            </w:pPr>
          </w:p>
        </w:tc>
        <w:tc>
          <w:tcPr>
            <w:tcW w:w="320" w:type="dxa"/>
            <w:vAlign w:val="bottom"/>
          </w:tcPr>
          <w:p>
            <w:pPr>
              <w:jc w:val="right"/>
              <w:ind w:right="177"/>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w:t>
            </w:r>
          </w:p>
        </w:tc>
        <w:tc>
          <w:tcPr>
            <w:tcW w:w="100" w:type="dxa"/>
            <w:vAlign w:val="bottom"/>
          </w:tcPr>
          <w:p>
            <w:pPr>
              <w:spacing w:after="0"/>
              <w:rPr>
                <w:sz w:val="14"/>
                <w:szCs w:val="14"/>
                <w:color w:val="auto"/>
              </w:rPr>
            </w:pPr>
          </w:p>
        </w:tc>
        <w:tc>
          <w:tcPr>
            <w:tcW w:w="320" w:type="dxa"/>
            <w:vAlign w:val="bottom"/>
          </w:tcPr>
          <w:p>
            <w:pPr>
              <w:jc w:val="right"/>
              <w:ind w:right="177"/>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1,335</w:t>
            </w:r>
          </w:p>
        </w:tc>
        <w:tc>
          <w:tcPr>
            <w:tcW w:w="100" w:type="dxa"/>
            <w:vAlign w:val="bottom"/>
          </w:tcPr>
          <w:p>
            <w:pPr>
              <w:spacing w:after="0"/>
              <w:rPr>
                <w:sz w:val="14"/>
                <w:szCs w:val="14"/>
                <w:color w:val="auto"/>
              </w:rPr>
            </w:pPr>
          </w:p>
        </w:tc>
        <w:tc>
          <w:tcPr>
            <w:tcW w:w="320" w:type="dxa"/>
            <w:vAlign w:val="bottom"/>
          </w:tcPr>
          <w:p>
            <w:pPr>
              <w:jc w:val="right"/>
              <w:ind w:right="177"/>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16,854</w:t>
            </w:r>
          </w:p>
        </w:tc>
        <w:tc>
          <w:tcPr>
            <w:tcW w:w="100" w:type="dxa"/>
            <w:vAlign w:val="bottom"/>
          </w:tcPr>
          <w:p>
            <w:pPr>
              <w:spacing w:after="0"/>
              <w:rPr>
                <w:sz w:val="14"/>
                <w:szCs w:val="14"/>
                <w:color w:val="auto"/>
              </w:rPr>
            </w:pPr>
          </w:p>
        </w:tc>
        <w:tc>
          <w:tcPr>
            <w:tcW w:w="280" w:type="dxa"/>
            <w:vAlign w:val="bottom"/>
          </w:tcPr>
          <w:p>
            <w:pPr>
              <w:jc w:val="right"/>
              <w:ind w:right="137"/>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67,025</w:t>
            </w:r>
          </w:p>
        </w:tc>
      </w:tr>
      <w:tr>
        <w:trPr>
          <w:trHeight w:val="181"/>
        </w:trPr>
        <w:tc>
          <w:tcPr>
            <w:tcW w:w="2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Special Mention</w:t>
            </w:r>
          </w:p>
        </w:tc>
        <w:tc>
          <w:tcPr>
            <w:tcW w:w="32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70"/>
        </w:trPr>
        <w:tc>
          <w:tcPr>
            <w:tcW w:w="232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Substandard</w:t>
            </w:r>
          </w:p>
        </w:tc>
        <w:tc>
          <w:tcPr>
            <w:tcW w:w="320" w:type="dxa"/>
            <w:vAlign w:val="bottom"/>
          </w:tcPr>
          <w:p>
            <w:pPr>
              <w:spacing w:after="0"/>
              <w:rPr>
                <w:sz w:val="14"/>
                <w:szCs w:val="14"/>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spacing w:after="0"/>
              <w:rPr>
                <w:sz w:val="14"/>
                <w:szCs w:val="14"/>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822</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spacing w:after="0"/>
              <w:rPr>
                <w:sz w:val="14"/>
                <w:szCs w:val="14"/>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spacing w:after="0"/>
              <w:rPr>
                <w:sz w:val="14"/>
                <w:szCs w:val="14"/>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spacing w:after="0"/>
              <w:rPr>
                <w:sz w:val="14"/>
                <w:szCs w:val="14"/>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822</w:t>
            </w:r>
          </w:p>
        </w:tc>
      </w:tr>
      <w:tr>
        <w:trPr>
          <w:trHeight w:val="181"/>
        </w:trPr>
        <w:tc>
          <w:tcPr>
            <w:tcW w:w="2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Doubtful</w:t>
            </w:r>
          </w:p>
        </w:tc>
        <w:tc>
          <w:tcPr>
            <w:tcW w:w="32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70"/>
        </w:trPr>
        <w:tc>
          <w:tcPr>
            <w:tcW w:w="232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Loss</w:t>
            </w:r>
          </w:p>
        </w:tc>
        <w:tc>
          <w:tcPr>
            <w:tcW w:w="320" w:type="dxa"/>
            <w:vAlign w:val="bottom"/>
          </w:tcPr>
          <w:p>
            <w:pPr>
              <w:spacing w:after="0"/>
              <w:rPr>
                <w:sz w:val="14"/>
                <w:szCs w:val="14"/>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spacing w:after="0"/>
              <w:rPr>
                <w:sz w:val="14"/>
                <w:szCs w:val="14"/>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spacing w:after="0"/>
              <w:rPr>
                <w:sz w:val="14"/>
                <w:szCs w:val="14"/>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tcPr>
          <w:p>
            <w:pPr>
              <w:spacing w:after="0"/>
              <w:rPr>
                <w:sz w:val="14"/>
                <w:szCs w:val="14"/>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spacing w:after="0"/>
              <w:rPr>
                <w:sz w:val="14"/>
                <w:szCs w:val="14"/>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spacing w:after="0"/>
              <w:rPr>
                <w:sz w:val="14"/>
                <w:szCs w:val="14"/>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spacing w:after="0"/>
              <w:rPr>
                <w:sz w:val="14"/>
                <w:szCs w:val="14"/>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69"/>
        </w:trPr>
        <w:tc>
          <w:tcPr>
            <w:tcW w:w="23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Total</w:t>
            </w:r>
          </w:p>
        </w:tc>
        <w:tc>
          <w:tcPr>
            <w:tcW w:w="320" w:type="dxa"/>
            <w:vAlign w:val="bottom"/>
            <w:tcBorders>
              <w:top w:val="single" w:sz="8" w:color="auto"/>
              <w:bottom w:val="single" w:sz="8" w:color="auto"/>
            </w:tcBorders>
            <w:shd w:val="clear" w:color="auto" w:fill="CCEEFF"/>
          </w:tcPr>
          <w:p>
            <w:pPr>
              <w:jc w:val="right"/>
              <w:ind w:right="157"/>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29,111</w:t>
            </w:r>
          </w:p>
        </w:tc>
        <w:tc>
          <w:tcPr>
            <w:tcW w:w="10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auto"/>
              <w:bottom w:val="single" w:sz="8" w:color="auto"/>
            </w:tcBorders>
            <w:shd w:val="clear" w:color="auto" w:fill="CCEEFF"/>
          </w:tcPr>
          <w:p>
            <w:pPr>
              <w:jc w:val="right"/>
              <w:ind w:right="177"/>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15,204</w:t>
            </w:r>
          </w:p>
        </w:tc>
        <w:tc>
          <w:tcPr>
            <w:tcW w:w="10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auto"/>
              <w:bottom w:val="single" w:sz="8" w:color="auto"/>
            </w:tcBorders>
            <w:shd w:val="clear" w:color="auto" w:fill="CCEEFF"/>
          </w:tcPr>
          <w:p>
            <w:pPr>
              <w:jc w:val="right"/>
              <w:ind w:right="177"/>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5,166</w:t>
            </w:r>
          </w:p>
        </w:tc>
        <w:tc>
          <w:tcPr>
            <w:tcW w:w="100" w:type="dxa"/>
            <w:vAlign w:val="bottom"/>
            <w:tcBorders>
              <w:top w:val="single" w:sz="8" w:color="CCEEFF"/>
            </w:tcBorders>
            <w:shd w:val="clear" w:color="auto" w:fill="CCEEFF"/>
          </w:tcPr>
          <w:p>
            <w:pPr>
              <w:spacing w:after="0"/>
              <w:rPr>
                <w:sz w:val="14"/>
                <w:szCs w:val="14"/>
                <w:color w:val="auto"/>
              </w:rPr>
            </w:pPr>
          </w:p>
        </w:tc>
        <w:tc>
          <w:tcPr>
            <w:tcW w:w="340" w:type="dxa"/>
            <w:vAlign w:val="bottom"/>
            <w:tcBorders>
              <w:top w:val="single" w:sz="8" w:color="auto"/>
              <w:bottom w:val="single" w:sz="8" w:color="auto"/>
            </w:tcBorders>
            <w:shd w:val="clear" w:color="auto" w:fill="CCEEFF"/>
          </w:tcPr>
          <w:p>
            <w:pPr>
              <w:jc w:val="right"/>
              <w:ind w:right="197"/>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162</w:t>
            </w:r>
          </w:p>
        </w:tc>
        <w:tc>
          <w:tcPr>
            <w:tcW w:w="10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auto"/>
              <w:bottom w:val="single" w:sz="8" w:color="auto"/>
            </w:tcBorders>
            <w:shd w:val="clear" w:color="auto" w:fill="CCEEFF"/>
          </w:tcPr>
          <w:p>
            <w:pPr>
              <w:jc w:val="right"/>
              <w:ind w:right="177"/>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w:t>
            </w:r>
          </w:p>
        </w:tc>
        <w:tc>
          <w:tcPr>
            <w:tcW w:w="10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auto"/>
              <w:bottom w:val="single" w:sz="8" w:color="auto"/>
            </w:tcBorders>
            <w:shd w:val="clear" w:color="auto" w:fill="CCEEFF"/>
          </w:tcPr>
          <w:p>
            <w:pPr>
              <w:jc w:val="right"/>
              <w:ind w:right="177"/>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1,335</w:t>
            </w:r>
          </w:p>
        </w:tc>
        <w:tc>
          <w:tcPr>
            <w:tcW w:w="10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auto"/>
              <w:bottom w:val="single" w:sz="8" w:color="auto"/>
            </w:tcBorders>
            <w:shd w:val="clear" w:color="auto" w:fill="CCEEFF"/>
          </w:tcPr>
          <w:p>
            <w:pPr>
              <w:jc w:val="right"/>
              <w:ind w:right="177"/>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16,854</w:t>
            </w:r>
          </w:p>
        </w:tc>
        <w:tc>
          <w:tcPr>
            <w:tcW w:w="10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auto"/>
              <w:bottom w:val="single" w:sz="8" w:color="auto"/>
            </w:tcBorders>
            <w:shd w:val="clear" w:color="auto" w:fill="CCEEFF"/>
          </w:tcPr>
          <w:p>
            <w:pPr>
              <w:jc w:val="right"/>
              <w:ind w:right="137"/>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67,847</w:t>
            </w:r>
          </w:p>
        </w:tc>
      </w:tr>
      <w:tr>
        <w:trPr>
          <w:trHeight w:val="148"/>
        </w:trPr>
        <w:tc>
          <w:tcPr>
            <w:tcW w:w="23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40" w:type="dxa"/>
            <w:vAlign w:val="bottom"/>
          </w:tcPr>
          <w:p>
            <w:pPr>
              <w:spacing w:after="0"/>
              <w:rPr>
                <w:sz w:val="12"/>
                <w:szCs w:val="12"/>
                <w:color w:val="auto"/>
              </w:rPr>
            </w:pPr>
          </w:p>
        </w:tc>
      </w:tr>
      <w:tr>
        <w:trPr>
          <w:trHeight w:val="170"/>
        </w:trPr>
        <w:tc>
          <w:tcPr>
            <w:tcW w:w="2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Year to date gross charge-offs</w:t>
            </w:r>
          </w:p>
        </w:tc>
        <w:tc>
          <w:tcPr>
            <w:tcW w:w="320" w:type="dxa"/>
            <w:vAlign w:val="bottom"/>
            <w:shd w:val="clear" w:color="auto" w:fill="CCEEFF"/>
          </w:tcPr>
          <w:p>
            <w:pPr>
              <w:jc w:val="right"/>
              <w:ind w:right="157"/>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CEEFF"/>
          </w:tcPr>
          <w:p>
            <w:pPr>
              <w:jc w:val="right"/>
              <w:ind w:right="177"/>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CEEFF"/>
          </w:tcPr>
          <w:p>
            <w:pPr>
              <w:jc w:val="right"/>
              <w:ind w:right="177"/>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shd w:val="clear" w:color="auto" w:fill="CCEEFF"/>
          </w:tcPr>
          <w:p>
            <w:pPr>
              <w:jc w:val="right"/>
              <w:ind w:right="197"/>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jc w:val="right"/>
              <w:ind w:right="177"/>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CEEFF"/>
          </w:tcPr>
          <w:p>
            <w:pPr>
              <w:jc w:val="right"/>
              <w:ind w:right="177"/>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CEEFF"/>
          </w:tcPr>
          <w:p>
            <w:pPr>
              <w:jc w:val="right"/>
              <w:ind w:right="177"/>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shd w:val="clear" w:color="auto" w:fill="CCEEFF"/>
          </w:tcPr>
          <w:p>
            <w:pPr>
              <w:jc w:val="right"/>
              <w:ind w:right="137"/>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w:t>
            </w:r>
          </w:p>
        </w:tc>
      </w:tr>
      <w:tr>
        <w:trPr>
          <w:trHeight w:val="148"/>
        </w:trPr>
        <w:tc>
          <w:tcPr>
            <w:tcW w:w="2320" w:type="dxa"/>
            <w:vAlign w:val="bottom"/>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r>
      <w:tr>
        <w:trPr>
          <w:trHeight w:val="175"/>
        </w:trPr>
        <w:tc>
          <w:tcPr>
            <w:tcW w:w="2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Single family residential (1-4 units)</w:t>
            </w:r>
          </w:p>
        </w:tc>
        <w:tc>
          <w:tcPr>
            <w:tcW w:w="3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r>
      <w:tr>
        <w:trPr>
          <w:trHeight w:val="170"/>
        </w:trPr>
        <w:tc>
          <w:tcPr>
            <w:tcW w:w="232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Pass</w:t>
            </w:r>
          </w:p>
        </w:tc>
        <w:tc>
          <w:tcPr>
            <w:tcW w:w="320" w:type="dxa"/>
            <w:vAlign w:val="bottom"/>
          </w:tcPr>
          <w:p>
            <w:pPr>
              <w:jc w:val="right"/>
              <w:ind w:right="157"/>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78,222</w:t>
            </w:r>
          </w:p>
        </w:tc>
        <w:tc>
          <w:tcPr>
            <w:tcW w:w="100" w:type="dxa"/>
            <w:vAlign w:val="bottom"/>
          </w:tcPr>
          <w:p>
            <w:pPr>
              <w:spacing w:after="0"/>
              <w:rPr>
                <w:sz w:val="14"/>
                <w:szCs w:val="14"/>
                <w:color w:val="auto"/>
              </w:rPr>
            </w:pPr>
          </w:p>
        </w:tc>
        <w:tc>
          <w:tcPr>
            <w:tcW w:w="320" w:type="dxa"/>
            <w:vAlign w:val="bottom"/>
          </w:tcPr>
          <w:p>
            <w:pPr>
              <w:jc w:val="right"/>
              <w:ind w:right="177"/>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122,067</w:t>
            </w:r>
          </w:p>
        </w:tc>
        <w:tc>
          <w:tcPr>
            <w:tcW w:w="100" w:type="dxa"/>
            <w:vAlign w:val="bottom"/>
          </w:tcPr>
          <w:p>
            <w:pPr>
              <w:spacing w:after="0"/>
              <w:rPr>
                <w:sz w:val="14"/>
                <w:szCs w:val="14"/>
                <w:color w:val="auto"/>
              </w:rPr>
            </w:pPr>
          </w:p>
        </w:tc>
        <w:tc>
          <w:tcPr>
            <w:tcW w:w="320" w:type="dxa"/>
            <w:vAlign w:val="bottom"/>
          </w:tcPr>
          <w:p>
            <w:pPr>
              <w:jc w:val="right"/>
              <w:ind w:right="177"/>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60,202</w:t>
            </w:r>
          </w:p>
        </w:tc>
        <w:tc>
          <w:tcPr>
            <w:tcW w:w="100" w:type="dxa"/>
            <w:vAlign w:val="bottom"/>
          </w:tcPr>
          <w:p>
            <w:pPr>
              <w:spacing w:after="0"/>
              <w:rPr>
                <w:sz w:val="14"/>
                <w:szCs w:val="14"/>
                <w:color w:val="auto"/>
              </w:rPr>
            </w:pPr>
          </w:p>
        </w:tc>
        <w:tc>
          <w:tcPr>
            <w:tcW w:w="340" w:type="dxa"/>
            <w:vAlign w:val="bottom"/>
          </w:tcPr>
          <w:p>
            <w:pPr>
              <w:jc w:val="right"/>
              <w:ind w:right="197"/>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32,158</w:t>
            </w:r>
          </w:p>
        </w:tc>
        <w:tc>
          <w:tcPr>
            <w:tcW w:w="100" w:type="dxa"/>
            <w:vAlign w:val="bottom"/>
          </w:tcPr>
          <w:p>
            <w:pPr>
              <w:spacing w:after="0"/>
              <w:rPr>
                <w:sz w:val="14"/>
                <w:szCs w:val="14"/>
                <w:color w:val="auto"/>
              </w:rPr>
            </w:pPr>
          </w:p>
        </w:tc>
        <w:tc>
          <w:tcPr>
            <w:tcW w:w="320" w:type="dxa"/>
            <w:vAlign w:val="bottom"/>
          </w:tcPr>
          <w:p>
            <w:pPr>
              <w:jc w:val="right"/>
              <w:ind w:right="177"/>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40,938</w:t>
            </w:r>
          </w:p>
        </w:tc>
        <w:tc>
          <w:tcPr>
            <w:tcW w:w="100" w:type="dxa"/>
            <w:vAlign w:val="bottom"/>
          </w:tcPr>
          <w:p>
            <w:pPr>
              <w:spacing w:after="0"/>
              <w:rPr>
                <w:sz w:val="14"/>
                <w:szCs w:val="14"/>
                <w:color w:val="auto"/>
              </w:rPr>
            </w:pPr>
          </w:p>
        </w:tc>
        <w:tc>
          <w:tcPr>
            <w:tcW w:w="320" w:type="dxa"/>
            <w:vAlign w:val="bottom"/>
          </w:tcPr>
          <w:p>
            <w:pPr>
              <w:jc w:val="right"/>
              <w:ind w:right="177"/>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137,376</w:t>
            </w:r>
          </w:p>
        </w:tc>
        <w:tc>
          <w:tcPr>
            <w:tcW w:w="100" w:type="dxa"/>
            <w:vAlign w:val="bottom"/>
          </w:tcPr>
          <w:p>
            <w:pPr>
              <w:spacing w:after="0"/>
              <w:rPr>
                <w:sz w:val="14"/>
                <w:szCs w:val="14"/>
                <w:color w:val="auto"/>
              </w:rPr>
            </w:pPr>
          </w:p>
        </w:tc>
        <w:tc>
          <w:tcPr>
            <w:tcW w:w="320" w:type="dxa"/>
            <w:vAlign w:val="bottom"/>
          </w:tcPr>
          <w:p>
            <w:pPr>
              <w:jc w:val="right"/>
              <w:ind w:right="177"/>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54,273</w:t>
            </w:r>
          </w:p>
        </w:tc>
        <w:tc>
          <w:tcPr>
            <w:tcW w:w="100" w:type="dxa"/>
            <w:vAlign w:val="bottom"/>
          </w:tcPr>
          <w:p>
            <w:pPr>
              <w:spacing w:after="0"/>
              <w:rPr>
                <w:sz w:val="14"/>
                <w:szCs w:val="14"/>
                <w:color w:val="auto"/>
              </w:rPr>
            </w:pPr>
          </w:p>
        </w:tc>
        <w:tc>
          <w:tcPr>
            <w:tcW w:w="280" w:type="dxa"/>
            <w:vAlign w:val="bottom"/>
          </w:tcPr>
          <w:p>
            <w:pPr>
              <w:jc w:val="right"/>
              <w:ind w:right="137"/>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525,236</w:t>
            </w:r>
          </w:p>
        </w:tc>
      </w:tr>
      <w:tr>
        <w:trPr>
          <w:trHeight w:val="181"/>
        </w:trPr>
        <w:tc>
          <w:tcPr>
            <w:tcW w:w="2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Special Mention</w:t>
            </w:r>
          </w:p>
        </w:tc>
        <w:tc>
          <w:tcPr>
            <w:tcW w:w="32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70"/>
        </w:trPr>
        <w:tc>
          <w:tcPr>
            <w:tcW w:w="232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Substandard</w:t>
            </w:r>
          </w:p>
        </w:tc>
        <w:tc>
          <w:tcPr>
            <w:tcW w:w="320" w:type="dxa"/>
            <w:vAlign w:val="bottom"/>
          </w:tcPr>
          <w:p>
            <w:pPr>
              <w:spacing w:after="0"/>
              <w:rPr>
                <w:sz w:val="14"/>
                <w:szCs w:val="14"/>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spacing w:after="0"/>
              <w:rPr>
                <w:sz w:val="14"/>
                <w:szCs w:val="14"/>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291</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243</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2,171</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39</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2,744</w:t>
            </w:r>
          </w:p>
        </w:tc>
      </w:tr>
      <w:tr>
        <w:trPr>
          <w:trHeight w:val="181"/>
        </w:trPr>
        <w:tc>
          <w:tcPr>
            <w:tcW w:w="2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Doubtful</w:t>
            </w:r>
          </w:p>
        </w:tc>
        <w:tc>
          <w:tcPr>
            <w:tcW w:w="32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70"/>
        </w:trPr>
        <w:tc>
          <w:tcPr>
            <w:tcW w:w="232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Loss</w:t>
            </w:r>
          </w:p>
        </w:tc>
        <w:tc>
          <w:tcPr>
            <w:tcW w:w="320" w:type="dxa"/>
            <w:vAlign w:val="bottom"/>
          </w:tcPr>
          <w:p>
            <w:pPr>
              <w:spacing w:after="0"/>
              <w:rPr>
                <w:sz w:val="14"/>
                <w:szCs w:val="14"/>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spacing w:after="0"/>
              <w:rPr>
                <w:sz w:val="14"/>
                <w:szCs w:val="14"/>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spacing w:after="0"/>
              <w:rPr>
                <w:sz w:val="14"/>
                <w:szCs w:val="14"/>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tcPr>
          <w:p>
            <w:pPr>
              <w:spacing w:after="0"/>
              <w:rPr>
                <w:sz w:val="14"/>
                <w:szCs w:val="14"/>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spacing w:after="0"/>
              <w:rPr>
                <w:sz w:val="14"/>
                <w:szCs w:val="14"/>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spacing w:after="0"/>
              <w:rPr>
                <w:sz w:val="14"/>
                <w:szCs w:val="14"/>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spacing w:after="0"/>
              <w:rPr>
                <w:sz w:val="14"/>
                <w:szCs w:val="14"/>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69"/>
        </w:trPr>
        <w:tc>
          <w:tcPr>
            <w:tcW w:w="23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Total</w:t>
            </w:r>
          </w:p>
        </w:tc>
        <w:tc>
          <w:tcPr>
            <w:tcW w:w="320" w:type="dxa"/>
            <w:vAlign w:val="bottom"/>
            <w:tcBorders>
              <w:top w:val="single" w:sz="8" w:color="auto"/>
              <w:bottom w:val="single" w:sz="8" w:color="auto"/>
            </w:tcBorders>
            <w:shd w:val="clear" w:color="auto" w:fill="CCEEFF"/>
          </w:tcPr>
          <w:p>
            <w:pPr>
              <w:jc w:val="right"/>
              <w:ind w:right="157"/>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78,222</w:t>
            </w:r>
          </w:p>
        </w:tc>
        <w:tc>
          <w:tcPr>
            <w:tcW w:w="10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auto"/>
              <w:bottom w:val="single" w:sz="8" w:color="auto"/>
            </w:tcBorders>
            <w:shd w:val="clear" w:color="auto" w:fill="CCEEFF"/>
          </w:tcPr>
          <w:p>
            <w:pPr>
              <w:jc w:val="right"/>
              <w:ind w:right="177"/>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122,067</w:t>
            </w:r>
          </w:p>
        </w:tc>
        <w:tc>
          <w:tcPr>
            <w:tcW w:w="10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auto"/>
              <w:bottom w:val="single" w:sz="8" w:color="auto"/>
            </w:tcBorders>
            <w:shd w:val="clear" w:color="auto" w:fill="CCEEFF"/>
          </w:tcPr>
          <w:p>
            <w:pPr>
              <w:jc w:val="right"/>
              <w:ind w:right="177"/>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60,493</w:t>
            </w:r>
          </w:p>
        </w:tc>
        <w:tc>
          <w:tcPr>
            <w:tcW w:w="100" w:type="dxa"/>
            <w:vAlign w:val="bottom"/>
            <w:tcBorders>
              <w:top w:val="single" w:sz="8" w:color="CCEEFF"/>
            </w:tcBorders>
            <w:shd w:val="clear" w:color="auto" w:fill="CCEEFF"/>
          </w:tcPr>
          <w:p>
            <w:pPr>
              <w:spacing w:after="0"/>
              <w:rPr>
                <w:sz w:val="14"/>
                <w:szCs w:val="14"/>
                <w:color w:val="auto"/>
              </w:rPr>
            </w:pPr>
          </w:p>
        </w:tc>
        <w:tc>
          <w:tcPr>
            <w:tcW w:w="340" w:type="dxa"/>
            <w:vAlign w:val="bottom"/>
            <w:tcBorders>
              <w:top w:val="single" w:sz="8" w:color="auto"/>
              <w:bottom w:val="single" w:sz="8" w:color="auto"/>
            </w:tcBorders>
            <w:shd w:val="clear" w:color="auto" w:fill="CCEEFF"/>
          </w:tcPr>
          <w:p>
            <w:pPr>
              <w:jc w:val="right"/>
              <w:ind w:right="197"/>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32,401</w:t>
            </w:r>
          </w:p>
        </w:tc>
        <w:tc>
          <w:tcPr>
            <w:tcW w:w="10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auto"/>
              <w:bottom w:val="single" w:sz="8" w:color="auto"/>
            </w:tcBorders>
            <w:shd w:val="clear" w:color="auto" w:fill="CCEEFF"/>
          </w:tcPr>
          <w:p>
            <w:pPr>
              <w:jc w:val="right"/>
              <w:ind w:right="177"/>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40,938</w:t>
            </w:r>
          </w:p>
        </w:tc>
        <w:tc>
          <w:tcPr>
            <w:tcW w:w="10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auto"/>
              <w:bottom w:val="single" w:sz="8" w:color="auto"/>
            </w:tcBorders>
            <w:shd w:val="clear" w:color="auto" w:fill="CCEEFF"/>
          </w:tcPr>
          <w:p>
            <w:pPr>
              <w:jc w:val="right"/>
              <w:ind w:right="177"/>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139,547</w:t>
            </w:r>
          </w:p>
        </w:tc>
        <w:tc>
          <w:tcPr>
            <w:tcW w:w="10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auto"/>
              <w:bottom w:val="single" w:sz="8" w:color="auto"/>
            </w:tcBorders>
            <w:shd w:val="clear" w:color="auto" w:fill="CCEEFF"/>
          </w:tcPr>
          <w:p>
            <w:pPr>
              <w:jc w:val="right"/>
              <w:ind w:right="177"/>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54,312</w:t>
            </w:r>
          </w:p>
        </w:tc>
        <w:tc>
          <w:tcPr>
            <w:tcW w:w="10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auto"/>
              <w:bottom w:val="single" w:sz="8" w:color="auto"/>
            </w:tcBorders>
            <w:shd w:val="clear" w:color="auto" w:fill="CCEEFF"/>
          </w:tcPr>
          <w:p>
            <w:pPr>
              <w:jc w:val="right"/>
              <w:ind w:right="137"/>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527,980</w:t>
            </w:r>
          </w:p>
        </w:tc>
      </w:tr>
      <w:tr>
        <w:trPr>
          <w:trHeight w:val="148"/>
        </w:trPr>
        <w:tc>
          <w:tcPr>
            <w:tcW w:w="23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40" w:type="dxa"/>
            <w:vAlign w:val="bottom"/>
          </w:tcPr>
          <w:p>
            <w:pPr>
              <w:spacing w:after="0"/>
              <w:rPr>
                <w:sz w:val="12"/>
                <w:szCs w:val="12"/>
                <w:color w:val="auto"/>
              </w:rPr>
            </w:pPr>
          </w:p>
        </w:tc>
      </w:tr>
      <w:tr>
        <w:trPr>
          <w:trHeight w:val="170"/>
        </w:trPr>
        <w:tc>
          <w:tcPr>
            <w:tcW w:w="2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Year to date gross charge-offs</w:t>
            </w:r>
          </w:p>
        </w:tc>
        <w:tc>
          <w:tcPr>
            <w:tcW w:w="320" w:type="dxa"/>
            <w:vAlign w:val="bottom"/>
            <w:shd w:val="clear" w:color="auto" w:fill="CCEEFF"/>
          </w:tcPr>
          <w:p>
            <w:pPr>
              <w:jc w:val="right"/>
              <w:ind w:right="157"/>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CEEFF"/>
          </w:tcPr>
          <w:p>
            <w:pPr>
              <w:jc w:val="right"/>
              <w:ind w:right="177"/>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CEEFF"/>
          </w:tcPr>
          <w:p>
            <w:pPr>
              <w:jc w:val="right"/>
              <w:ind w:right="177"/>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shd w:val="clear" w:color="auto" w:fill="CCEEFF"/>
          </w:tcPr>
          <w:p>
            <w:pPr>
              <w:jc w:val="right"/>
              <w:ind w:right="197"/>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CEEFF"/>
          </w:tcPr>
          <w:p>
            <w:pPr>
              <w:jc w:val="right"/>
              <w:ind w:right="177"/>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CEEFF"/>
          </w:tcPr>
          <w:p>
            <w:pPr>
              <w:jc w:val="right"/>
              <w:ind w:right="177"/>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CEEFF"/>
          </w:tcPr>
          <w:p>
            <w:pPr>
              <w:jc w:val="right"/>
              <w:ind w:right="177"/>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shd w:val="clear" w:color="auto" w:fill="CCEEFF"/>
          </w:tcPr>
          <w:p>
            <w:pPr>
              <w:jc w:val="right"/>
              <w:ind w:right="137"/>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48"/>
        </w:trPr>
        <w:tc>
          <w:tcPr>
            <w:tcW w:w="2320" w:type="dxa"/>
            <w:vAlign w:val="bottom"/>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r>
      <w:tr>
        <w:trPr>
          <w:trHeight w:val="176"/>
        </w:trPr>
        <w:tc>
          <w:tcPr>
            <w:tcW w:w="2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Consumer non-real estate and other</w:t>
            </w:r>
          </w:p>
        </w:tc>
        <w:tc>
          <w:tcPr>
            <w:tcW w:w="3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r>
      <w:tr>
        <w:trPr>
          <w:trHeight w:val="170"/>
        </w:trPr>
        <w:tc>
          <w:tcPr>
            <w:tcW w:w="232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Pass</w:t>
            </w:r>
          </w:p>
        </w:tc>
        <w:tc>
          <w:tcPr>
            <w:tcW w:w="320" w:type="dxa"/>
            <w:vAlign w:val="bottom"/>
          </w:tcPr>
          <w:p>
            <w:pPr>
              <w:jc w:val="right"/>
              <w:ind w:right="157"/>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334</w:t>
            </w:r>
          </w:p>
        </w:tc>
        <w:tc>
          <w:tcPr>
            <w:tcW w:w="100" w:type="dxa"/>
            <w:vAlign w:val="bottom"/>
          </w:tcPr>
          <w:p>
            <w:pPr>
              <w:spacing w:after="0"/>
              <w:rPr>
                <w:sz w:val="14"/>
                <w:szCs w:val="14"/>
                <w:color w:val="auto"/>
              </w:rPr>
            </w:pPr>
          </w:p>
        </w:tc>
        <w:tc>
          <w:tcPr>
            <w:tcW w:w="320" w:type="dxa"/>
            <w:vAlign w:val="bottom"/>
          </w:tcPr>
          <w:p>
            <w:pPr>
              <w:jc w:val="right"/>
              <w:ind w:right="177"/>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150</w:t>
            </w:r>
          </w:p>
        </w:tc>
        <w:tc>
          <w:tcPr>
            <w:tcW w:w="100" w:type="dxa"/>
            <w:vAlign w:val="bottom"/>
          </w:tcPr>
          <w:p>
            <w:pPr>
              <w:spacing w:after="0"/>
              <w:rPr>
                <w:sz w:val="14"/>
                <w:szCs w:val="14"/>
                <w:color w:val="auto"/>
              </w:rPr>
            </w:pPr>
          </w:p>
        </w:tc>
        <w:tc>
          <w:tcPr>
            <w:tcW w:w="320" w:type="dxa"/>
            <w:vAlign w:val="bottom"/>
          </w:tcPr>
          <w:p>
            <w:pPr>
              <w:jc w:val="right"/>
              <w:ind w:right="177"/>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43</w:t>
            </w:r>
          </w:p>
        </w:tc>
        <w:tc>
          <w:tcPr>
            <w:tcW w:w="100" w:type="dxa"/>
            <w:vAlign w:val="bottom"/>
          </w:tcPr>
          <w:p>
            <w:pPr>
              <w:spacing w:after="0"/>
              <w:rPr>
                <w:sz w:val="14"/>
                <w:szCs w:val="14"/>
                <w:color w:val="auto"/>
              </w:rPr>
            </w:pPr>
          </w:p>
        </w:tc>
        <w:tc>
          <w:tcPr>
            <w:tcW w:w="340" w:type="dxa"/>
            <w:vAlign w:val="bottom"/>
          </w:tcPr>
          <w:p>
            <w:pPr>
              <w:jc w:val="right"/>
              <w:ind w:right="197"/>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151</w:t>
            </w:r>
          </w:p>
        </w:tc>
        <w:tc>
          <w:tcPr>
            <w:tcW w:w="100" w:type="dxa"/>
            <w:vAlign w:val="bottom"/>
          </w:tcPr>
          <w:p>
            <w:pPr>
              <w:spacing w:after="0"/>
              <w:rPr>
                <w:sz w:val="14"/>
                <w:szCs w:val="14"/>
                <w:color w:val="auto"/>
              </w:rPr>
            </w:pPr>
          </w:p>
        </w:tc>
        <w:tc>
          <w:tcPr>
            <w:tcW w:w="320" w:type="dxa"/>
            <w:vAlign w:val="bottom"/>
          </w:tcPr>
          <w:p>
            <w:pPr>
              <w:jc w:val="right"/>
              <w:ind w:right="177"/>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386</w:t>
            </w:r>
          </w:p>
        </w:tc>
        <w:tc>
          <w:tcPr>
            <w:tcW w:w="100" w:type="dxa"/>
            <w:vAlign w:val="bottom"/>
          </w:tcPr>
          <w:p>
            <w:pPr>
              <w:spacing w:after="0"/>
              <w:rPr>
                <w:sz w:val="14"/>
                <w:szCs w:val="14"/>
                <w:color w:val="auto"/>
              </w:rPr>
            </w:pPr>
          </w:p>
        </w:tc>
        <w:tc>
          <w:tcPr>
            <w:tcW w:w="320" w:type="dxa"/>
            <w:vAlign w:val="bottom"/>
          </w:tcPr>
          <w:p>
            <w:pPr>
              <w:jc w:val="right"/>
              <w:ind w:right="177"/>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325</w:t>
            </w:r>
          </w:p>
        </w:tc>
        <w:tc>
          <w:tcPr>
            <w:tcW w:w="100" w:type="dxa"/>
            <w:vAlign w:val="bottom"/>
          </w:tcPr>
          <w:p>
            <w:pPr>
              <w:spacing w:after="0"/>
              <w:rPr>
                <w:sz w:val="14"/>
                <w:szCs w:val="14"/>
                <w:color w:val="auto"/>
              </w:rPr>
            </w:pPr>
          </w:p>
        </w:tc>
        <w:tc>
          <w:tcPr>
            <w:tcW w:w="320" w:type="dxa"/>
            <w:vAlign w:val="bottom"/>
          </w:tcPr>
          <w:p>
            <w:pPr>
              <w:jc w:val="right"/>
              <w:ind w:right="177"/>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984</w:t>
            </w:r>
          </w:p>
        </w:tc>
        <w:tc>
          <w:tcPr>
            <w:tcW w:w="100" w:type="dxa"/>
            <w:vAlign w:val="bottom"/>
          </w:tcPr>
          <w:p>
            <w:pPr>
              <w:spacing w:after="0"/>
              <w:rPr>
                <w:sz w:val="14"/>
                <w:szCs w:val="14"/>
                <w:color w:val="auto"/>
              </w:rPr>
            </w:pPr>
          </w:p>
        </w:tc>
        <w:tc>
          <w:tcPr>
            <w:tcW w:w="280" w:type="dxa"/>
            <w:vAlign w:val="bottom"/>
          </w:tcPr>
          <w:p>
            <w:pPr>
              <w:jc w:val="right"/>
              <w:ind w:right="137"/>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2,373</w:t>
            </w:r>
          </w:p>
        </w:tc>
      </w:tr>
      <w:tr>
        <w:trPr>
          <w:trHeight w:val="181"/>
        </w:trPr>
        <w:tc>
          <w:tcPr>
            <w:tcW w:w="2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Special Mention</w:t>
            </w:r>
          </w:p>
        </w:tc>
        <w:tc>
          <w:tcPr>
            <w:tcW w:w="32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70"/>
        </w:trPr>
        <w:tc>
          <w:tcPr>
            <w:tcW w:w="232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Substandard</w:t>
            </w:r>
          </w:p>
        </w:tc>
        <w:tc>
          <w:tcPr>
            <w:tcW w:w="320" w:type="dxa"/>
            <w:vAlign w:val="bottom"/>
          </w:tcPr>
          <w:p>
            <w:pPr>
              <w:spacing w:after="0"/>
              <w:rPr>
                <w:sz w:val="14"/>
                <w:szCs w:val="14"/>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spacing w:after="0"/>
              <w:rPr>
                <w:sz w:val="14"/>
                <w:szCs w:val="14"/>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spacing w:after="0"/>
              <w:rPr>
                <w:sz w:val="14"/>
                <w:szCs w:val="14"/>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tcPr>
          <w:p>
            <w:pPr>
              <w:spacing w:after="0"/>
              <w:rPr>
                <w:sz w:val="14"/>
                <w:szCs w:val="14"/>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spacing w:after="0"/>
              <w:rPr>
                <w:sz w:val="14"/>
                <w:szCs w:val="14"/>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spacing w:after="0"/>
              <w:rPr>
                <w:sz w:val="14"/>
                <w:szCs w:val="14"/>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spacing w:after="0"/>
              <w:rPr>
                <w:sz w:val="14"/>
                <w:szCs w:val="14"/>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81"/>
        </w:trPr>
        <w:tc>
          <w:tcPr>
            <w:tcW w:w="2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Doubtful</w:t>
            </w:r>
          </w:p>
        </w:tc>
        <w:tc>
          <w:tcPr>
            <w:tcW w:w="32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70"/>
        </w:trPr>
        <w:tc>
          <w:tcPr>
            <w:tcW w:w="232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Loss</w:t>
            </w:r>
          </w:p>
        </w:tc>
        <w:tc>
          <w:tcPr>
            <w:tcW w:w="320" w:type="dxa"/>
            <w:vAlign w:val="bottom"/>
          </w:tcPr>
          <w:p>
            <w:pPr>
              <w:spacing w:after="0"/>
              <w:rPr>
                <w:sz w:val="14"/>
                <w:szCs w:val="14"/>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spacing w:after="0"/>
              <w:rPr>
                <w:sz w:val="14"/>
                <w:szCs w:val="14"/>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spacing w:after="0"/>
              <w:rPr>
                <w:sz w:val="14"/>
                <w:szCs w:val="14"/>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tcPr>
          <w:p>
            <w:pPr>
              <w:spacing w:after="0"/>
              <w:rPr>
                <w:sz w:val="14"/>
                <w:szCs w:val="14"/>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spacing w:after="0"/>
              <w:rPr>
                <w:sz w:val="14"/>
                <w:szCs w:val="14"/>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spacing w:after="0"/>
              <w:rPr>
                <w:sz w:val="14"/>
                <w:szCs w:val="14"/>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spacing w:after="0"/>
              <w:rPr>
                <w:sz w:val="14"/>
                <w:szCs w:val="14"/>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69"/>
        </w:trPr>
        <w:tc>
          <w:tcPr>
            <w:tcW w:w="23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Total</w:t>
            </w:r>
          </w:p>
        </w:tc>
        <w:tc>
          <w:tcPr>
            <w:tcW w:w="320" w:type="dxa"/>
            <w:vAlign w:val="bottom"/>
            <w:tcBorders>
              <w:top w:val="single" w:sz="8" w:color="auto"/>
              <w:bottom w:val="single" w:sz="8" w:color="auto"/>
            </w:tcBorders>
            <w:shd w:val="clear" w:color="auto" w:fill="CCEEFF"/>
          </w:tcPr>
          <w:p>
            <w:pPr>
              <w:jc w:val="right"/>
              <w:ind w:right="157"/>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334</w:t>
            </w:r>
          </w:p>
        </w:tc>
        <w:tc>
          <w:tcPr>
            <w:tcW w:w="10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auto"/>
              <w:bottom w:val="single" w:sz="8" w:color="auto"/>
            </w:tcBorders>
            <w:shd w:val="clear" w:color="auto" w:fill="CCEEFF"/>
          </w:tcPr>
          <w:p>
            <w:pPr>
              <w:jc w:val="right"/>
              <w:ind w:right="177"/>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150</w:t>
            </w:r>
          </w:p>
        </w:tc>
        <w:tc>
          <w:tcPr>
            <w:tcW w:w="10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auto"/>
              <w:bottom w:val="single" w:sz="8" w:color="auto"/>
            </w:tcBorders>
            <w:shd w:val="clear" w:color="auto" w:fill="CCEEFF"/>
          </w:tcPr>
          <w:p>
            <w:pPr>
              <w:jc w:val="right"/>
              <w:ind w:right="177"/>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43</w:t>
            </w:r>
          </w:p>
        </w:tc>
        <w:tc>
          <w:tcPr>
            <w:tcW w:w="100" w:type="dxa"/>
            <w:vAlign w:val="bottom"/>
            <w:tcBorders>
              <w:top w:val="single" w:sz="8" w:color="CCEEFF"/>
            </w:tcBorders>
            <w:shd w:val="clear" w:color="auto" w:fill="CCEEFF"/>
          </w:tcPr>
          <w:p>
            <w:pPr>
              <w:spacing w:after="0"/>
              <w:rPr>
                <w:sz w:val="14"/>
                <w:szCs w:val="14"/>
                <w:color w:val="auto"/>
              </w:rPr>
            </w:pPr>
          </w:p>
        </w:tc>
        <w:tc>
          <w:tcPr>
            <w:tcW w:w="340" w:type="dxa"/>
            <w:vAlign w:val="bottom"/>
            <w:tcBorders>
              <w:top w:val="single" w:sz="8" w:color="auto"/>
              <w:bottom w:val="single" w:sz="8" w:color="auto"/>
            </w:tcBorders>
            <w:shd w:val="clear" w:color="auto" w:fill="CCEEFF"/>
          </w:tcPr>
          <w:p>
            <w:pPr>
              <w:jc w:val="right"/>
              <w:ind w:right="197"/>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151</w:t>
            </w:r>
          </w:p>
        </w:tc>
        <w:tc>
          <w:tcPr>
            <w:tcW w:w="10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auto"/>
              <w:bottom w:val="single" w:sz="8" w:color="auto"/>
            </w:tcBorders>
            <w:shd w:val="clear" w:color="auto" w:fill="CCEEFF"/>
          </w:tcPr>
          <w:p>
            <w:pPr>
              <w:jc w:val="right"/>
              <w:ind w:right="177"/>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386</w:t>
            </w:r>
          </w:p>
        </w:tc>
        <w:tc>
          <w:tcPr>
            <w:tcW w:w="10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auto"/>
              <w:bottom w:val="single" w:sz="8" w:color="auto"/>
            </w:tcBorders>
            <w:shd w:val="clear" w:color="auto" w:fill="CCEEFF"/>
          </w:tcPr>
          <w:p>
            <w:pPr>
              <w:jc w:val="right"/>
              <w:ind w:right="177"/>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325</w:t>
            </w:r>
          </w:p>
        </w:tc>
        <w:tc>
          <w:tcPr>
            <w:tcW w:w="10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auto"/>
              <w:bottom w:val="single" w:sz="8" w:color="auto"/>
            </w:tcBorders>
            <w:shd w:val="clear" w:color="auto" w:fill="CCEEFF"/>
          </w:tcPr>
          <w:p>
            <w:pPr>
              <w:jc w:val="right"/>
              <w:ind w:right="177"/>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984</w:t>
            </w:r>
          </w:p>
        </w:tc>
        <w:tc>
          <w:tcPr>
            <w:tcW w:w="10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auto"/>
              <w:bottom w:val="single" w:sz="8" w:color="auto"/>
            </w:tcBorders>
            <w:shd w:val="clear" w:color="auto" w:fill="CCEEFF"/>
          </w:tcPr>
          <w:p>
            <w:pPr>
              <w:jc w:val="right"/>
              <w:ind w:right="137"/>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2,373</w:t>
            </w:r>
          </w:p>
        </w:tc>
      </w:tr>
      <w:tr>
        <w:trPr>
          <w:trHeight w:val="148"/>
        </w:trPr>
        <w:tc>
          <w:tcPr>
            <w:tcW w:w="23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40" w:type="dxa"/>
            <w:vAlign w:val="bottom"/>
          </w:tcPr>
          <w:p>
            <w:pPr>
              <w:spacing w:after="0"/>
              <w:rPr>
                <w:sz w:val="12"/>
                <w:szCs w:val="12"/>
                <w:color w:val="auto"/>
              </w:rPr>
            </w:pPr>
          </w:p>
        </w:tc>
      </w:tr>
      <w:tr>
        <w:trPr>
          <w:trHeight w:val="170"/>
        </w:trPr>
        <w:tc>
          <w:tcPr>
            <w:tcW w:w="2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Year to date gross charge-offs</w:t>
            </w:r>
          </w:p>
        </w:tc>
        <w:tc>
          <w:tcPr>
            <w:tcW w:w="320" w:type="dxa"/>
            <w:vAlign w:val="bottom"/>
            <w:shd w:val="clear" w:color="auto" w:fill="CCEEFF"/>
          </w:tcPr>
          <w:p>
            <w:pPr>
              <w:jc w:val="right"/>
              <w:ind w:right="157"/>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CEEFF"/>
          </w:tcPr>
          <w:p>
            <w:pPr>
              <w:jc w:val="right"/>
              <w:ind w:right="177"/>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165</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jc w:val="right"/>
              <w:ind w:right="177"/>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shd w:val="clear" w:color="auto" w:fill="CCEEFF"/>
          </w:tcPr>
          <w:p>
            <w:pPr>
              <w:jc w:val="right"/>
              <w:ind w:right="197"/>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CEEFF"/>
          </w:tcPr>
          <w:p>
            <w:pPr>
              <w:jc w:val="right"/>
              <w:ind w:right="177"/>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CEEFF"/>
          </w:tcPr>
          <w:p>
            <w:pPr>
              <w:jc w:val="right"/>
              <w:ind w:right="177"/>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CEEFF"/>
          </w:tcPr>
          <w:p>
            <w:pPr>
              <w:jc w:val="right"/>
              <w:ind w:right="177"/>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shd w:val="clear" w:color="auto" w:fill="CCEEFF"/>
          </w:tcPr>
          <w:p>
            <w:pPr>
              <w:jc w:val="right"/>
              <w:ind w:right="137"/>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165</w:t>
            </w:r>
          </w:p>
        </w:tc>
      </w:tr>
      <w:tr>
        <w:trPr>
          <w:trHeight w:val="188"/>
        </w:trPr>
        <w:tc>
          <w:tcPr>
            <w:tcW w:w="2320" w:type="dxa"/>
            <w:vAlign w:val="bottom"/>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spacing w:after="0"/>
              <w:rPr>
                <w:sz w:val="16"/>
                <w:szCs w:val="16"/>
                <w:color w:val="auto"/>
              </w:rPr>
            </w:pPr>
          </w:p>
        </w:tc>
      </w:tr>
      <w:tr>
        <w:trPr>
          <w:trHeight w:val="170"/>
        </w:trPr>
        <w:tc>
          <w:tcPr>
            <w:tcW w:w="2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Totals</w:t>
            </w:r>
          </w:p>
        </w:tc>
        <w:tc>
          <w:tcPr>
            <w:tcW w:w="320" w:type="dxa"/>
            <w:vAlign w:val="bottom"/>
            <w:tcBorders>
              <w:bottom w:val="single" w:sz="8" w:color="auto"/>
            </w:tcBorders>
            <w:shd w:val="clear" w:color="auto" w:fill="CCEEFF"/>
          </w:tcPr>
          <w:p>
            <w:pPr>
              <w:jc w:val="right"/>
              <w:ind w:right="157"/>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321,368</w:t>
            </w:r>
          </w:p>
        </w:tc>
        <w:tc>
          <w:tcPr>
            <w:tcW w:w="10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jc w:val="right"/>
              <w:ind w:right="177"/>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483,436</w:t>
            </w:r>
          </w:p>
        </w:tc>
        <w:tc>
          <w:tcPr>
            <w:tcW w:w="10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jc w:val="right"/>
              <w:ind w:right="177"/>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305,178</w:t>
            </w:r>
          </w:p>
        </w:tc>
        <w:tc>
          <w:tcPr>
            <w:tcW w:w="100" w:type="dxa"/>
            <w:vAlign w:val="bottom"/>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jc w:val="right"/>
              <w:ind w:right="197"/>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69,608</w:t>
            </w:r>
          </w:p>
        </w:tc>
        <w:tc>
          <w:tcPr>
            <w:tcW w:w="10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jc w:val="right"/>
              <w:ind w:right="177"/>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134,601</w:t>
            </w:r>
          </w:p>
        </w:tc>
        <w:tc>
          <w:tcPr>
            <w:tcW w:w="10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jc w:val="right"/>
              <w:ind w:right="177"/>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656,867</w:t>
            </w:r>
          </w:p>
        </w:tc>
        <w:tc>
          <w:tcPr>
            <w:tcW w:w="10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jc w:val="right"/>
              <w:ind w:right="177"/>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116,698</w:t>
            </w:r>
          </w:p>
        </w:tc>
        <w:tc>
          <w:tcPr>
            <w:tcW w:w="100" w:type="dxa"/>
            <w:vAlign w:val="bottom"/>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jc w:val="right"/>
              <w:ind w:right="137"/>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2,087,756</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Allowance for Credit Losses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present information about collateral-dependent loans that were individually evaluated for purposes of determining the ACL as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30, 2024, and December 31, 2023 (in thousands):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6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4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60" w:type="dxa"/>
            <w:vAlign w:val="bottom"/>
            <w:gridSpan w:val="3"/>
            <w:vMerge w:val="restart"/>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With Allowance</w:t>
            </w: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gridSpan w:val="2"/>
          </w:tcPr>
          <w:p>
            <w:pPr>
              <w:jc w:val="center"/>
              <w:ind w:right="180"/>
              <w:spacing w:after="0" w:line="131" w:lineRule="exact"/>
              <w:rPr>
                <w:sz w:val="20"/>
                <w:szCs w:val="20"/>
                <w:color w:val="auto"/>
              </w:rPr>
            </w:pPr>
            <w:r>
              <w:rPr>
                <w:rFonts w:ascii="Times New Roman" w:cs="Times New Roman" w:eastAsia="Times New Roman" w:hAnsi="Times New Roman"/>
                <w:sz w:val="14"/>
                <w:szCs w:val="14"/>
                <w:b w:val="1"/>
                <w:bCs w:val="1"/>
                <w:color w:val="auto"/>
              </w:rPr>
              <w:t>With No Related</w:t>
            </w:r>
          </w:p>
        </w:tc>
        <w:tc>
          <w:tcPr>
            <w:tcW w:w="120" w:type="dxa"/>
            <w:vAlign w:val="bottom"/>
          </w:tcPr>
          <w:p>
            <w:pPr>
              <w:spacing w:after="0"/>
              <w:rPr>
                <w:sz w:val="11"/>
                <w:szCs w:val="11"/>
                <w:color w:val="auto"/>
              </w:rPr>
            </w:pPr>
          </w:p>
        </w:tc>
        <w:tc>
          <w:tcPr>
            <w:tcW w:w="1700" w:type="dxa"/>
            <w:vAlign w:val="bottom"/>
            <w:gridSpan w:val="3"/>
            <w:vMerge w:val="restart"/>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5"/>
        </w:trPr>
        <w:tc>
          <w:tcPr>
            <w:tcW w:w="4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60" w:type="dxa"/>
            <w:vAlign w:val="bottom"/>
            <w:gridSpan w:val="3"/>
            <w:vMerge w:val="continue"/>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Allowance</w:t>
            </w:r>
          </w:p>
        </w:tc>
        <w:tc>
          <w:tcPr>
            <w:tcW w:w="120" w:type="dxa"/>
            <w:vAlign w:val="bottom"/>
          </w:tcPr>
          <w:p>
            <w:pPr>
              <w:spacing w:after="0"/>
              <w:rPr>
                <w:sz w:val="16"/>
                <w:szCs w:val="16"/>
                <w:color w:val="auto"/>
              </w:rPr>
            </w:pPr>
          </w:p>
        </w:tc>
        <w:tc>
          <w:tcPr>
            <w:tcW w:w="1700" w:type="dxa"/>
            <w:vAlign w:val="bottom"/>
            <w:gridSpan w:val="3"/>
            <w:vMerge w:val="continue"/>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468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124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Related Allowance</w:t>
            </w:r>
          </w:p>
        </w:tc>
        <w:tc>
          <w:tcPr>
            <w:tcW w:w="8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124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Related Allowance</w:t>
            </w:r>
          </w:p>
        </w:tc>
        <w:tc>
          <w:tcPr>
            <w:tcW w:w="0" w:type="dxa"/>
            <w:vAlign w:val="bottom"/>
          </w:tcPr>
          <w:p>
            <w:pPr>
              <w:spacing w:after="0"/>
              <w:rPr>
                <w:sz w:val="1"/>
                <w:szCs w:val="1"/>
                <w:color w:val="auto"/>
              </w:rPr>
            </w:pPr>
          </w:p>
        </w:tc>
      </w:tr>
      <w:tr>
        <w:trPr>
          <w:trHeight w:val="189"/>
        </w:trPr>
        <w:tc>
          <w:tcPr>
            <w:tcW w:w="46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100" w:type="dxa"/>
            <w:vAlign w:val="bottom"/>
            <w:tcBorders>
              <w:top w:val="single" w:sz="8" w:color="auto"/>
            </w:tcBorders>
            <w:shd w:val="clear" w:color="auto" w:fill="CCEEFF"/>
          </w:tcPr>
          <w:p>
            <w:pPr>
              <w:spacing w:after="0"/>
              <w:rPr>
                <w:sz w:val="16"/>
                <w:szCs w:val="16"/>
                <w:color w:val="auto"/>
              </w:rPr>
            </w:pPr>
          </w:p>
        </w:tc>
        <w:tc>
          <w:tcPr>
            <w:tcW w:w="11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11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11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48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46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Commercial real estate</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8,260</w:t>
            </w:r>
          </w:p>
        </w:tc>
        <w:tc>
          <w:tcPr>
            <w:tcW w:w="100" w:type="dxa"/>
            <w:vAlign w:val="bottom"/>
          </w:tcPr>
          <w:p>
            <w:pPr>
              <w:spacing w:after="0"/>
              <w:rPr>
                <w:sz w:val="16"/>
                <w:szCs w:val="16"/>
                <w:color w:val="auto"/>
              </w:rPr>
            </w:pPr>
          </w:p>
        </w:tc>
        <w:tc>
          <w:tcPr>
            <w:tcW w:w="640" w:type="dxa"/>
            <w:vAlign w:val="bottom"/>
          </w:tcPr>
          <w:p>
            <w:pPr>
              <w:jc w:val="right"/>
              <w:ind w:right="468"/>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5,282</w:t>
            </w:r>
          </w:p>
        </w:tc>
        <w:tc>
          <w:tcPr>
            <w:tcW w:w="8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9,294</w:t>
            </w:r>
          </w:p>
        </w:tc>
        <w:tc>
          <w:tcPr>
            <w:tcW w:w="1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17,554</w:t>
            </w:r>
          </w:p>
        </w:tc>
        <w:tc>
          <w:tcPr>
            <w:tcW w:w="100" w:type="dxa"/>
            <w:vAlign w:val="bottom"/>
          </w:tcPr>
          <w:p>
            <w:pPr>
              <w:spacing w:after="0"/>
              <w:rPr>
                <w:sz w:val="16"/>
                <w:szCs w:val="16"/>
                <w:color w:val="auto"/>
              </w:rPr>
            </w:pPr>
          </w:p>
        </w:tc>
        <w:tc>
          <w:tcPr>
            <w:tcW w:w="480" w:type="dxa"/>
            <w:vAlign w:val="bottom"/>
          </w:tcPr>
          <w:p>
            <w:pPr>
              <w:jc w:val="right"/>
              <w:ind w:right="328"/>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5,282</w:t>
            </w:r>
          </w:p>
        </w:tc>
        <w:tc>
          <w:tcPr>
            <w:tcW w:w="0" w:type="dxa"/>
            <w:vAlign w:val="bottom"/>
          </w:tcPr>
          <w:p>
            <w:pPr>
              <w:spacing w:after="0"/>
              <w:rPr>
                <w:sz w:val="1"/>
                <w:szCs w:val="1"/>
                <w:color w:val="auto"/>
              </w:rPr>
            </w:pPr>
          </w:p>
        </w:tc>
      </w:tr>
      <w:tr>
        <w:trPr>
          <w:trHeight w:val="210"/>
        </w:trPr>
        <w:tc>
          <w:tcPr>
            <w:tcW w:w="46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Owner-occupied commercial real estate</w:t>
            </w: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321</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244</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2,472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2,793</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244</w:t>
            </w:r>
          </w:p>
        </w:tc>
        <w:tc>
          <w:tcPr>
            <w:tcW w:w="0" w:type="dxa"/>
            <w:vAlign w:val="bottom"/>
          </w:tcPr>
          <w:p>
            <w:pPr>
              <w:spacing w:after="0"/>
              <w:rPr>
                <w:sz w:val="1"/>
                <w:szCs w:val="1"/>
                <w:color w:val="auto"/>
              </w:rPr>
            </w:pPr>
          </w:p>
        </w:tc>
      </w:tr>
      <w:tr>
        <w:trPr>
          <w:trHeight w:val="195"/>
        </w:trPr>
        <w:tc>
          <w:tcPr>
            <w:tcW w:w="468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Acquisition, construction &amp; development</w:t>
            </w:r>
          </w:p>
        </w:tc>
        <w:tc>
          <w:tcPr>
            <w:tcW w:w="10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644</w:t>
            </w: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411</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644,000</w:t>
            </w: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411</w:t>
            </w:r>
          </w:p>
        </w:tc>
        <w:tc>
          <w:tcPr>
            <w:tcW w:w="0" w:type="dxa"/>
            <w:vAlign w:val="bottom"/>
          </w:tcPr>
          <w:p>
            <w:pPr>
              <w:spacing w:after="0"/>
              <w:rPr>
                <w:sz w:val="1"/>
                <w:szCs w:val="1"/>
                <w:color w:val="auto"/>
              </w:rPr>
            </w:pPr>
          </w:p>
        </w:tc>
      </w:tr>
      <w:tr>
        <w:trPr>
          <w:trHeight w:val="210"/>
        </w:trPr>
        <w:tc>
          <w:tcPr>
            <w:tcW w:w="46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Commercial &amp; industrial</w:t>
            </w: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756</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756</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2,298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3,054</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756</w:t>
            </w:r>
          </w:p>
        </w:tc>
        <w:tc>
          <w:tcPr>
            <w:tcW w:w="0" w:type="dxa"/>
            <w:vAlign w:val="bottom"/>
          </w:tcPr>
          <w:p>
            <w:pPr>
              <w:spacing w:after="0"/>
              <w:rPr>
                <w:sz w:val="1"/>
                <w:szCs w:val="1"/>
                <w:color w:val="auto"/>
              </w:rPr>
            </w:pPr>
          </w:p>
        </w:tc>
      </w:tr>
      <w:tr>
        <w:trPr>
          <w:trHeight w:val="195"/>
        </w:trPr>
        <w:tc>
          <w:tcPr>
            <w:tcW w:w="468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Single family residential (1-4 units)</w:t>
            </w:r>
          </w:p>
        </w:tc>
        <w:tc>
          <w:tcPr>
            <w:tcW w:w="100" w:type="dxa"/>
            <w:vAlign w:val="bottom"/>
          </w:tcPr>
          <w:p>
            <w:pPr>
              <w:spacing w:after="0"/>
              <w:rPr>
                <w:sz w:val="16"/>
                <w:szCs w:val="16"/>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spacing w:after="0"/>
              <w:rPr>
                <w:sz w:val="16"/>
                <w:szCs w:val="16"/>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3,183</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3,183</w:t>
            </w: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46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Consumer non-real estate and other</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9"/>
        </w:trPr>
        <w:tc>
          <w:tcPr>
            <w:tcW w:w="4680" w:type="dxa"/>
            <w:vAlign w:val="bottom"/>
          </w:tcPr>
          <w:p>
            <w:pPr>
              <w:jc w:val="center"/>
              <w:ind w:right="3388"/>
              <w:spacing w:after="0"/>
              <w:rPr>
                <w:sz w:val="20"/>
                <w:szCs w:val="20"/>
                <w:color w:val="auto"/>
              </w:rPr>
            </w:pPr>
            <w:r>
              <w:rPr>
                <w:rFonts w:ascii="Times New Roman" w:cs="Times New Roman" w:eastAsia="Times New Roman" w:hAnsi="Times New Roman"/>
                <w:sz w:val="14"/>
                <w:szCs w:val="14"/>
                <w:color w:val="auto"/>
              </w:rPr>
              <w:t>Total</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9,981</w:t>
            </w:r>
          </w:p>
        </w:tc>
        <w:tc>
          <w:tcPr>
            <w:tcW w:w="100" w:type="dxa"/>
            <w:vAlign w:val="bottom"/>
          </w:tcPr>
          <w:p>
            <w:pPr>
              <w:spacing w:after="0"/>
              <w:rPr>
                <w:sz w:val="16"/>
                <w:szCs w:val="16"/>
                <w:color w:val="auto"/>
              </w:rPr>
            </w:pPr>
          </w:p>
        </w:tc>
        <w:tc>
          <w:tcPr>
            <w:tcW w:w="640" w:type="dxa"/>
            <w:vAlign w:val="bottom"/>
            <w:tcBorders>
              <w:top w:val="single" w:sz="8" w:color="auto"/>
              <w:bottom w:val="single" w:sz="8" w:color="auto"/>
            </w:tcBorders>
          </w:tcPr>
          <w:p>
            <w:pPr>
              <w:jc w:val="right"/>
              <w:ind w:right="468"/>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6,693</w:t>
            </w:r>
          </w:p>
        </w:tc>
        <w:tc>
          <w:tcPr>
            <w:tcW w:w="8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17,247</w:t>
            </w:r>
          </w:p>
        </w:tc>
        <w:tc>
          <w:tcPr>
            <w:tcW w:w="10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27,228</w:t>
            </w:r>
          </w:p>
        </w:tc>
        <w:tc>
          <w:tcPr>
            <w:tcW w:w="100" w:type="dxa"/>
            <w:vAlign w:val="bottom"/>
          </w:tcPr>
          <w:p>
            <w:pPr>
              <w:spacing w:after="0"/>
              <w:rPr>
                <w:sz w:val="16"/>
                <w:szCs w:val="16"/>
                <w:color w:val="auto"/>
              </w:rPr>
            </w:pPr>
          </w:p>
        </w:tc>
        <w:tc>
          <w:tcPr>
            <w:tcW w:w="480" w:type="dxa"/>
            <w:vAlign w:val="bottom"/>
            <w:tcBorders>
              <w:top w:val="single" w:sz="8" w:color="auto"/>
              <w:bottom w:val="single" w:sz="8" w:color="auto"/>
            </w:tcBorders>
          </w:tcPr>
          <w:p>
            <w:pPr>
              <w:jc w:val="right"/>
              <w:ind w:right="328"/>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6,693</w:t>
            </w:r>
          </w:p>
        </w:tc>
        <w:tc>
          <w:tcPr>
            <w:tcW w:w="0" w:type="dxa"/>
            <w:vAlign w:val="bottom"/>
          </w:tcPr>
          <w:p>
            <w:pPr>
              <w:spacing w:after="0"/>
              <w:rPr>
                <w:sz w:val="1"/>
                <w:szCs w:val="1"/>
                <w:color w:val="auto"/>
              </w:rPr>
            </w:pPr>
          </w:p>
        </w:tc>
      </w:tr>
      <w:tr>
        <w:trPr>
          <w:trHeight w:val="463"/>
        </w:trPr>
        <w:tc>
          <w:tcPr>
            <w:tcW w:w="4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40" w:type="dxa"/>
            <w:vAlign w:val="bottom"/>
            <w:gridSpan w:val="3"/>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46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4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60" w:type="dxa"/>
            <w:vAlign w:val="bottom"/>
            <w:gridSpan w:val="3"/>
            <w:vMerge w:val="restart"/>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With Allowance</w:t>
            </w: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gridSpan w:val="2"/>
          </w:tcPr>
          <w:p>
            <w:pPr>
              <w:jc w:val="center"/>
              <w:ind w:right="180"/>
              <w:spacing w:after="0" w:line="129" w:lineRule="exact"/>
              <w:rPr>
                <w:sz w:val="20"/>
                <w:szCs w:val="20"/>
                <w:color w:val="auto"/>
              </w:rPr>
            </w:pPr>
            <w:r>
              <w:rPr>
                <w:rFonts w:ascii="Times New Roman" w:cs="Times New Roman" w:eastAsia="Times New Roman" w:hAnsi="Times New Roman"/>
                <w:sz w:val="14"/>
                <w:szCs w:val="14"/>
                <w:b w:val="1"/>
                <w:bCs w:val="1"/>
                <w:color w:val="auto"/>
              </w:rPr>
              <w:t>With No Related</w:t>
            </w:r>
          </w:p>
        </w:tc>
        <w:tc>
          <w:tcPr>
            <w:tcW w:w="120" w:type="dxa"/>
            <w:vAlign w:val="bottom"/>
          </w:tcPr>
          <w:p>
            <w:pPr>
              <w:spacing w:after="0"/>
              <w:rPr>
                <w:sz w:val="11"/>
                <w:szCs w:val="11"/>
                <w:color w:val="auto"/>
              </w:rPr>
            </w:pPr>
          </w:p>
        </w:tc>
        <w:tc>
          <w:tcPr>
            <w:tcW w:w="1700" w:type="dxa"/>
            <w:vAlign w:val="bottom"/>
            <w:gridSpan w:val="3"/>
            <w:vMerge w:val="restart"/>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6"/>
        </w:trPr>
        <w:tc>
          <w:tcPr>
            <w:tcW w:w="4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60" w:type="dxa"/>
            <w:vAlign w:val="bottom"/>
            <w:gridSpan w:val="3"/>
            <w:vMerge w:val="continue"/>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Allowance</w:t>
            </w:r>
          </w:p>
        </w:tc>
        <w:tc>
          <w:tcPr>
            <w:tcW w:w="120" w:type="dxa"/>
            <w:vAlign w:val="bottom"/>
          </w:tcPr>
          <w:p>
            <w:pPr>
              <w:spacing w:after="0"/>
              <w:rPr>
                <w:sz w:val="17"/>
                <w:szCs w:val="17"/>
                <w:color w:val="auto"/>
              </w:rPr>
            </w:pPr>
          </w:p>
        </w:tc>
        <w:tc>
          <w:tcPr>
            <w:tcW w:w="1700" w:type="dxa"/>
            <w:vAlign w:val="bottom"/>
            <w:gridSpan w:val="3"/>
            <w:vMerge w:val="continue"/>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68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124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Related Allowance</w:t>
            </w:r>
          </w:p>
        </w:tc>
        <w:tc>
          <w:tcPr>
            <w:tcW w:w="8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1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124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Related Allowance</w:t>
            </w:r>
          </w:p>
        </w:tc>
        <w:tc>
          <w:tcPr>
            <w:tcW w:w="0" w:type="dxa"/>
            <w:vAlign w:val="bottom"/>
          </w:tcPr>
          <w:p>
            <w:pPr>
              <w:spacing w:after="0"/>
              <w:rPr>
                <w:sz w:val="1"/>
                <w:szCs w:val="1"/>
                <w:color w:val="auto"/>
              </w:rPr>
            </w:pPr>
          </w:p>
        </w:tc>
      </w:tr>
      <w:tr>
        <w:trPr>
          <w:trHeight w:val="189"/>
        </w:trPr>
        <w:tc>
          <w:tcPr>
            <w:tcW w:w="4680" w:type="dxa"/>
            <w:vAlign w:val="bottom"/>
            <w:tcBorders>
              <w:top w:val="single" w:sz="8" w:color="CCEEFF"/>
            </w:tcBorders>
            <w:shd w:val="clear" w:color="auto" w:fill="CCEEFF"/>
          </w:tcPr>
          <w:p>
            <w:pPr>
              <w:jc w:val="center"/>
              <w:ind w:right="3408"/>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00" w:type="dxa"/>
            <w:vAlign w:val="bottom"/>
            <w:tcBorders>
              <w:top w:val="single" w:sz="8" w:color="auto"/>
            </w:tcBorders>
            <w:shd w:val="clear" w:color="auto" w:fill="CCEEFF"/>
          </w:tcPr>
          <w:p>
            <w:pPr>
              <w:spacing w:after="0"/>
              <w:rPr>
                <w:sz w:val="16"/>
                <w:szCs w:val="16"/>
                <w:color w:val="auto"/>
              </w:rPr>
            </w:pPr>
          </w:p>
        </w:tc>
        <w:tc>
          <w:tcPr>
            <w:tcW w:w="11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11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11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48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46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Commercial real estate</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right"/>
              <w:ind w:right="46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Pr>
          <w:p>
            <w:pPr>
              <w:jc w:val="right"/>
              <w:ind w:right="328"/>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46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Owner-occupied commercial real estate</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5"/>
        </w:trPr>
        <w:tc>
          <w:tcPr>
            <w:tcW w:w="468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Acquisition, construction &amp; development</w:t>
            </w:r>
          </w:p>
        </w:tc>
        <w:tc>
          <w:tcPr>
            <w:tcW w:w="100" w:type="dxa"/>
            <w:vAlign w:val="bottom"/>
          </w:tcPr>
          <w:p>
            <w:pPr>
              <w:spacing w:after="0"/>
              <w:rPr>
                <w:sz w:val="16"/>
                <w:szCs w:val="16"/>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spacing w:after="0"/>
              <w:rPr>
                <w:sz w:val="16"/>
                <w:szCs w:val="16"/>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46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Commercial &amp; industrial</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5"/>
        </w:trPr>
        <w:tc>
          <w:tcPr>
            <w:tcW w:w="468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Single family residential (1-4 units)</w:t>
            </w:r>
          </w:p>
        </w:tc>
        <w:tc>
          <w:tcPr>
            <w:tcW w:w="100" w:type="dxa"/>
            <w:vAlign w:val="bottom"/>
          </w:tcPr>
          <w:p>
            <w:pPr>
              <w:spacing w:after="0"/>
              <w:rPr>
                <w:sz w:val="16"/>
                <w:szCs w:val="16"/>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spacing w:after="0"/>
              <w:rPr>
                <w:sz w:val="16"/>
                <w:szCs w:val="16"/>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2,744</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2,744</w:t>
            </w: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46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Consumer non-real estate and other</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9"/>
        </w:trPr>
        <w:tc>
          <w:tcPr>
            <w:tcW w:w="4680" w:type="dxa"/>
            <w:vAlign w:val="bottom"/>
          </w:tcPr>
          <w:p>
            <w:pPr>
              <w:jc w:val="center"/>
              <w:ind w:right="3388"/>
              <w:spacing w:after="0"/>
              <w:rPr>
                <w:sz w:val="20"/>
                <w:szCs w:val="20"/>
                <w:color w:val="auto"/>
              </w:rPr>
            </w:pPr>
            <w:r>
              <w:rPr>
                <w:rFonts w:ascii="Times New Roman" w:cs="Times New Roman" w:eastAsia="Times New Roman" w:hAnsi="Times New Roman"/>
                <w:sz w:val="14"/>
                <w:szCs w:val="14"/>
                <w:color w:val="auto"/>
              </w:rPr>
              <w:t>Total</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640" w:type="dxa"/>
            <w:vAlign w:val="bottom"/>
            <w:tcBorders>
              <w:top w:val="single" w:sz="8" w:color="auto"/>
              <w:bottom w:val="single" w:sz="8" w:color="auto"/>
            </w:tcBorders>
          </w:tcPr>
          <w:p>
            <w:pPr>
              <w:jc w:val="right"/>
              <w:ind w:right="468"/>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3,744</w:t>
            </w:r>
          </w:p>
        </w:tc>
        <w:tc>
          <w:tcPr>
            <w:tcW w:w="10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3,744</w:t>
            </w:r>
          </w:p>
        </w:tc>
        <w:tc>
          <w:tcPr>
            <w:tcW w:w="100" w:type="dxa"/>
            <w:vAlign w:val="bottom"/>
          </w:tcPr>
          <w:p>
            <w:pPr>
              <w:spacing w:after="0"/>
              <w:rPr>
                <w:sz w:val="16"/>
                <w:szCs w:val="16"/>
                <w:color w:val="auto"/>
              </w:rPr>
            </w:pPr>
          </w:p>
        </w:tc>
        <w:tc>
          <w:tcPr>
            <w:tcW w:w="480" w:type="dxa"/>
            <w:vAlign w:val="bottom"/>
            <w:tcBorders>
              <w:top w:val="single" w:sz="8" w:color="auto"/>
              <w:bottom w:val="single" w:sz="8" w:color="auto"/>
            </w:tcBorders>
          </w:tcPr>
          <w:p>
            <w:pPr>
              <w:jc w:val="right"/>
              <w:ind w:right="328"/>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bl>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Purchased Credit Deteriorated Loans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has purchased loans for which there was, at acquisition, evidence of more than insignificant deterioration of credit quality since origination.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carrying amount of those loans, at acquisition, is as follows (in thousands):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5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80" w:type="dxa"/>
            <w:vAlign w:val="bottom"/>
          </w:tcPr>
          <w:p>
            <w:pPr>
              <w:jc w:val="right"/>
              <w:ind w:right="508"/>
              <w:spacing w:after="0"/>
              <w:rPr>
                <w:sz w:val="20"/>
                <w:szCs w:val="20"/>
                <w:color w:val="auto"/>
              </w:rPr>
            </w:pPr>
            <w:r>
              <w:rPr>
                <w:rFonts w:ascii="Times New Roman" w:cs="Times New Roman" w:eastAsia="Times New Roman" w:hAnsi="Times New Roman"/>
                <w:sz w:val="14"/>
                <w:szCs w:val="14"/>
                <w:b w:val="1"/>
                <w:bCs w:val="1"/>
                <w:color w:val="auto"/>
              </w:rPr>
              <w:t>Amounts</w:t>
            </w:r>
          </w:p>
        </w:tc>
      </w:tr>
      <w:tr>
        <w:trPr>
          <w:trHeight w:val="23"/>
        </w:trPr>
        <w:tc>
          <w:tcPr>
            <w:tcW w:w="95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196"/>
        </w:trPr>
        <w:tc>
          <w:tcPr>
            <w:tcW w:w="9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Purchase price of loans at acquisition</w:t>
            </w:r>
          </w:p>
        </w:tc>
        <w:tc>
          <w:tcPr>
            <w:tcW w:w="320" w:type="dxa"/>
            <w:vAlign w:val="bottom"/>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380,795</w:t>
            </w:r>
          </w:p>
        </w:tc>
      </w:tr>
      <w:tr>
        <w:trPr>
          <w:trHeight w:val="195"/>
        </w:trPr>
        <w:tc>
          <w:tcPr>
            <w:tcW w:w="95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Allowance for credit losses at acquisition</w:t>
            </w:r>
          </w:p>
        </w:tc>
        <w:tc>
          <w:tcPr>
            <w:tcW w:w="32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23,910</w:t>
            </w:r>
          </w:p>
        </w:tc>
      </w:tr>
      <w:tr>
        <w:trPr>
          <w:trHeight w:val="203"/>
        </w:trPr>
        <w:tc>
          <w:tcPr>
            <w:tcW w:w="9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Non-credit discount/(premium) at acquisition</w:t>
            </w:r>
          </w:p>
        </w:tc>
        <w:tc>
          <w:tcPr>
            <w:tcW w:w="320" w:type="dxa"/>
            <w:vAlign w:val="bottom"/>
            <w:tcBorders>
              <w:bottom w:val="single" w:sz="8" w:color="auto"/>
            </w:tcBorders>
            <w:shd w:val="clear" w:color="auto" w:fill="CCEEFF"/>
          </w:tcPr>
          <w:p>
            <w:pPr>
              <w:spacing w:after="0"/>
              <w:rPr>
                <w:sz w:val="17"/>
                <w:szCs w:val="17"/>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37,640</w:t>
            </w:r>
          </w:p>
        </w:tc>
      </w:tr>
      <w:tr>
        <w:trPr>
          <w:trHeight w:val="256"/>
        </w:trPr>
        <w:tc>
          <w:tcPr>
            <w:tcW w:w="95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380" w:type="dxa"/>
            <w:vAlign w:val="bottom"/>
          </w:tcPr>
          <w:p>
            <w:pPr>
              <w:spacing w:after="0"/>
              <w:rPr>
                <w:sz w:val="22"/>
                <w:szCs w:val="22"/>
                <w:color w:val="auto"/>
              </w:rPr>
            </w:pPr>
          </w:p>
        </w:tc>
      </w:tr>
      <w:tr>
        <w:trPr>
          <w:trHeight w:val="196"/>
        </w:trPr>
        <w:tc>
          <w:tcPr>
            <w:tcW w:w="9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Par value of acquired loans at acquisition</w:t>
            </w:r>
          </w:p>
        </w:tc>
        <w:tc>
          <w:tcPr>
            <w:tcW w:w="320" w:type="dxa"/>
            <w:vAlign w:val="bottom"/>
            <w:tcBorders>
              <w:bottom w:val="single" w:sz="8" w:color="auto"/>
            </w:tcBorders>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442,344</w:t>
            </w: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Loan Modifications</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January 1, 2023, the Company adopted ASU 2022-02 on a modified retrospective basis. ASU 2022-02 eliminates the troubled debt restructuring (“TDR”) accounting model and requires that the Company evaluate, based on the accounting for loan modifications, whether the borrower is experiencing financial difficulty, and the modification results in a more-than-insignificant direct change in the contractual cash flows and represents a new loan or a continuation of an existing loan. This change required all loan modifications to be accounted for under the general loan modification guidance in ASC 310-20, Receivables — Nonrefundable Fees and Other Costs, and subjects entities to new disclosure requirements on loan modifications to borrowers experiencing financial difficulty.</w:t>
      </w:r>
    </w:p>
    <w:p>
      <w:pPr>
        <w:spacing w:after="0" w:line="13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may modify loans to borrowers experiencing financial difficulty by providing principal forgiveness, term extension, interest rate reduction, or an other-than-insignificant payment delay. When principal forgiveness is provided, the amount of forgiveness is charged off against the ACL. The Company may also provide multiple types of modifications on</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Allowance for Credit Losses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an individual loan. For the three and six months ended June 30, 2024, and for the year ended, December 31, 2023, the Company did not extend any modifications to borrowers experiencing financial difficulty that had a more-than-insignificant direct change in the contractual cash flows of the loan.</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Real Estate Owned</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Real estate owned activity was as follows (in thousands):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7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320" w:type="dxa"/>
            <w:vAlign w:val="bottom"/>
            <w:gridSpan w:val="2"/>
          </w:tcPr>
          <w:p>
            <w:pPr>
              <w:ind w:left="380"/>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300" w:type="dxa"/>
            <w:vAlign w:val="bottom"/>
          </w:tcPr>
          <w:p>
            <w:pPr>
              <w:spacing w:after="0"/>
              <w:rPr>
                <w:sz w:val="16"/>
                <w:szCs w:val="16"/>
                <w:color w:val="auto"/>
              </w:rPr>
            </w:pPr>
          </w:p>
        </w:tc>
        <w:tc>
          <w:tcPr>
            <w:tcW w:w="1400" w:type="dxa"/>
            <w:vAlign w:val="bottom"/>
          </w:tcPr>
          <w:p>
            <w:pPr>
              <w:ind w:left="220"/>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23"/>
        </w:trPr>
        <w:tc>
          <w:tcPr>
            <w:tcW w:w="774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196"/>
        </w:trPr>
        <w:tc>
          <w:tcPr>
            <w:tcW w:w="7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Beginning balance</w:t>
            </w:r>
          </w:p>
        </w:tc>
        <w:tc>
          <w:tcPr>
            <w:tcW w:w="480" w:type="dxa"/>
            <w:vAlign w:val="bottom"/>
            <w:shd w:val="clear" w:color="auto" w:fill="CCEEFF"/>
          </w:tcPr>
          <w:p>
            <w:pPr>
              <w:jc w:val="right"/>
              <w:ind w:right="308"/>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400" w:type="dxa"/>
            <w:vAlign w:val="bottom"/>
            <w:shd w:val="clear" w:color="auto" w:fill="CCEEFF"/>
          </w:tcPr>
          <w:p>
            <w:pPr>
              <w:ind w:left="1200"/>
              <w:spacing w:after="0"/>
              <w:rPr>
                <w:sz w:val="20"/>
                <w:szCs w:val="20"/>
                <w:color w:val="auto"/>
              </w:rPr>
            </w:pPr>
            <w:r>
              <w:rPr>
                <w:rFonts w:ascii="Times New Roman" w:cs="Times New Roman" w:eastAsia="Times New Roman" w:hAnsi="Times New Roman"/>
                <w:sz w:val="14"/>
                <w:szCs w:val="14"/>
                <w:color w:val="auto"/>
              </w:rPr>
              <w:t>—</w:t>
            </w:r>
          </w:p>
        </w:tc>
      </w:tr>
      <w:tr>
        <w:trPr>
          <w:trHeight w:val="195"/>
        </w:trPr>
        <w:tc>
          <w:tcPr>
            <w:tcW w:w="77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Loans acquired/transferred to real estate owned</w:t>
            </w:r>
          </w:p>
        </w:tc>
        <w:tc>
          <w:tcPr>
            <w:tcW w:w="48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3,432</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00" w:type="dxa"/>
            <w:vAlign w:val="bottom"/>
          </w:tcPr>
          <w:p>
            <w:pPr>
              <w:ind w:left="1200"/>
              <w:spacing w:after="0"/>
              <w:rPr>
                <w:sz w:val="20"/>
                <w:szCs w:val="20"/>
                <w:color w:val="auto"/>
              </w:rPr>
            </w:pPr>
            <w:r>
              <w:rPr>
                <w:rFonts w:ascii="Times New Roman" w:cs="Times New Roman" w:eastAsia="Times New Roman" w:hAnsi="Times New Roman"/>
                <w:sz w:val="14"/>
                <w:szCs w:val="14"/>
                <w:color w:val="auto"/>
              </w:rPr>
              <w:t>—</w:t>
            </w:r>
          </w:p>
        </w:tc>
      </w:tr>
      <w:tr>
        <w:trPr>
          <w:trHeight w:val="210"/>
        </w:trPr>
        <w:tc>
          <w:tcPr>
            <w:tcW w:w="7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Capital expenditures</w:t>
            </w:r>
          </w:p>
        </w:tc>
        <w:tc>
          <w:tcPr>
            <w:tcW w:w="4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8"/>
                <w:szCs w:val="18"/>
                <w:color w:val="auto"/>
              </w:rPr>
            </w:pPr>
          </w:p>
        </w:tc>
        <w:tc>
          <w:tcPr>
            <w:tcW w:w="1400" w:type="dxa"/>
            <w:vAlign w:val="bottom"/>
            <w:shd w:val="clear" w:color="auto" w:fill="CCEEFF"/>
          </w:tcPr>
          <w:p>
            <w:pPr>
              <w:ind w:left="1200"/>
              <w:spacing w:after="0"/>
              <w:rPr>
                <w:sz w:val="20"/>
                <w:szCs w:val="20"/>
                <w:color w:val="auto"/>
              </w:rPr>
            </w:pPr>
            <w:r>
              <w:rPr>
                <w:rFonts w:ascii="Times New Roman" w:cs="Times New Roman" w:eastAsia="Times New Roman" w:hAnsi="Times New Roman"/>
                <w:sz w:val="14"/>
                <w:szCs w:val="14"/>
                <w:color w:val="auto"/>
              </w:rPr>
              <w:t>—</w:t>
            </w:r>
          </w:p>
        </w:tc>
      </w:tr>
      <w:tr>
        <w:trPr>
          <w:trHeight w:val="195"/>
        </w:trPr>
        <w:tc>
          <w:tcPr>
            <w:tcW w:w="77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Direct write-downs</w:t>
            </w:r>
          </w:p>
        </w:tc>
        <w:tc>
          <w:tcPr>
            <w:tcW w:w="480" w:type="dxa"/>
            <w:vAlign w:val="bottom"/>
          </w:tcPr>
          <w:p>
            <w:pPr>
              <w:spacing w:after="0"/>
              <w:rPr>
                <w:sz w:val="16"/>
                <w:szCs w:val="16"/>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6"/>
                <w:szCs w:val="16"/>
                <w:color w:val="auto"/>
              </w:rPr>
            </w:pPr>
          </w:p>
        </w:tc>
        <w:tc>
          <w:tcPr>
            <w:tcW w:w="1400" w:type="dxa"/>
            <w:vAlign w:val="bottom"/>
          </w:tcPr>
          <w:p>
            <w:pPr>
              <w:ind w:left="1200"/>
              <w:spacing w:after="0"/>
              <w:rPr>
                <w:sz w:val="20"/>
                <w:szCs w:val="20"/>
                <w:color w:val="auto"/>
              </w:rPr>
            </w:pPr>
            <w:r>
              <w:rPr>
                <w:rFonts w:ascii="Times New Roman" w:cs="Times New Roman" w:eastAsia="Times New Roman" w:hAnsi="Times New Roman"/>
                <w:sz w:val="14"/>
                <w:szCs w:val="14"/>
                <w:color w:val="auto"/>
              </w:rPr>
              <w:t>—</w:t>
            </w:r>
          </w:p>
        </w:tc>
      </w:tr>
      <w:tr>
        <w:trPr>
          <w:trHeight w:val="203"/>
        </w:trPr>
        <w:tc>
          <w:tcPr>
            <w:tcW w:w="7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Sales of real estate owned</w:t>
            </w:r>
          </w:p>
        </w:tc>
        <w:tc>
          <w:tcPr>
            <w:tcW w:w="48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w:t>
            </w:r>
          </w:p>
        </w:tc>
        <w:tc>
          <w:tcPr>
            <w:tcW w:w="10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400" w:type="dxa"/>
            <w:vAlign w:val="bottom"/>
            <w:tcBorders>
              <w:bottom w:val="single" w:sz="8" w:color="auto"/>
            </w:tcBorders>
            <w:shd w:val="clear" w:color="auto" w:fill="CCEEFF"/>
          </w:tcPr>
          <w:p>
            <w:pPr>
              <w:ind w:left="1200"/>
              <w:spacing w:after="0"/>
              <w:rPr>
                <w:sz w:val="20"/>
                <w:szCs w:val="20"/>
                <w:color w:val="auto"/>
              </w:rPr>
            </w:pPr>
            <w:r>
              <w:rPr>
                <w:rFonts w:ascii="Times New Roman" w:cs="Times New Roman" w:eastAsia="Times New Roman" w:hAnsi="Times New Roman"/>
                <w:sz w:val="14"/>
                <w:szCs w:val="14"/>
                <w:color w:val="auto"/>
              </w:rPr>
              <w:t>—</w:t>
            </w:r>
          </w:p>
        </w:tc>
      </w:tr>
      <w:tr>
        <w:trPr>
          <w:trHeight w:val="257"/>
        </w:trPr>
        <w:tc>
          <w:tcPr>
            <w:tcW w:w="77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400" w:type="dxa"/>
            <w:vAlign w:val="bottom"/>
          </w:tcPr>
          <w:p>
            <w:pPr>
              <w:spacing w:after="0"/>
              <w:rPr>
                <w:sz w:val="22"/>
                <w:szCs w:val="22"/>
                <w:color w:val="auto"/>
              </w:rPr>
            </w:pPr>
          </w:p>
        </w:tc>
      </w:tr>
      <w:tr>
        <w:trPr>
          <w:trHeight w:val="196"/>
        </w:trPr>
        <w:tc>
          <w:tcPr>
            <w:tcW w:w="7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End of period balance</w:t>
            </w:r>
          </w:p>
        </w:tc>
        <w:tc>
          <w:tcPr>
            <w:tcW w:w="480" w:type="dxa"/>
            <w:vAlign w:val="bottom"/>
            <w:tcBorders>
              <w:bottom w:val="single" w:sz="8" w:color="auto"/>
            </w:tcBorders>
            <w:shd w:val="clear" w:color="auto" w:fill="CCEEFF"/>
          </w:tcPr>
          <w:p>
            <w:pPr>
              <w:jc w:val="right"/>
              <w:ind w:right="308"/>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3,334</w:t>
            </w:r>
          </w:p>
        </w:tc>
        <w:tc>
          <w:tcPr>
            <w:tcW w:w="10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400" w:type="dxa"/>
            <w:vAlign w:val="bottom"/>
            <w:tcBorders>
              <w:bottom w:val="single" w:sz="8" w:color="auto"/>
            </w:tcBorders>
            <w:shd w:val="clear" w:color="auto" w:fill="CCEEFF"/>
          </w:tcPr>
          <w:p>
            <w:pPr>
              <w:ind w:left="1200"/>
              <w:spacing w:after="0"/>
              <w:rPr>
                <w:sz w:val="20"/>
                <w:szCs w:val="20"/>
                <w:color w:val="auto"/>
              </w:rPr>
            </w:pPr>
            <w:r>
              <w:rPr>
                <w:rFonts w:ascii="Times New Roman" w:cs="Times New Roman" w:eastAsia="Times New Roman" w:hAnsi="Times New Roman"/>
                <w:sz w:val="14"/>
                <w:szCs w:val="14"/>
                <w:color w:val="auto"/>
              </w:rPr>
              <w:t>—</w:t>
            </w: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Deposits</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aggregate amount of time deposits that meet or exceed the FDIC Insurance Limit of $250,000, was approximately $247.1 million and $92.3 million on June 30, 2024, and December 31, 2023, respectively. Brokered time deposits, which are fully insured, totaled $403.7 million and $389.0 million as of June 30, 2024, and December 31, 2023, respectively. Time deposits through the Certificate of Deposit Account Registry Service (“CDARS”) program totaled $41.0 million at June 30, 2024, compared to $24.2 million at December 31, 2023.</w:t>
      </w:r>
    </w:p>
    <w:p>
      <w:pPr>
        <w:spacing w:after="0" w:line="12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At June 30, 2024, the scheduled maturities of time deposits for the remaining six months ending June 30, 2024, and the following five years were as follows (in thousands):</w:t>
      </w:r>
    </w:p>
    <w:p>
      <w:pPr>
        <w:spacing w:after="0" w:line="14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As of June 30, 2024</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97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Remaining six months ending, December 31, 2024</w:t>
            </w:r>
          </w:p>
        </w:tc>
        <w:tc>
          <w:tcPr>
            <w:tcW w:w="400" w:type="dxa"/>
            <w:vAlign w:val="bottom"/>
            <w:tcBorders>
              <w:top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750,178</w:t>
            </w:r>
          </w:p>
        </w:tc>
      </w:tr>
      <w:tr>
        <w:trPr>
          <w:trHeight w:val="230"/>
        </w:trPr>
        <w:tc>
          <w:tcPr>
            <w:tcW w:w="9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4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325,278</w:t>
            </w:r>
          </w:p>
        </w:tc>
      </w:tr>
      <w:tr>
        <w:trPr>
          <w:trHeight w:val="229"/>
        </w:trPr>
        <w:tc>
          <w:tcPr>
            <w:tcW w:w="9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4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109,174</w:t>
            </w:r>
          </w:p>
        </w:tc>
      </w:tr>
      <w:tr>
        <w:trPr>
          <w:trHeight w:val="230"/>
        </w:trPr>
        <w:tc>
          <w:tcPr>
            <w:tcW w:w="9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4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60,035</w:t>
            </w:r>
          </w:p>
        </w:tc>
      </w:tr>
      <w:tr>
        <w:trPr>
          <w:trHeight w:val="230"/>
        </w:trPr>
        <w:tc>
          <w:tcPr>
            <w:tcW w:w="9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4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85,608</w:t>
            </w:r>
          </w:p>
        </w:tc>
      </w:tr>
      <w:tr>
        <w:trPr>
          <w:trHeight w:val="230"/>
        </w:trPr>
        <w:tc>
          <w:tcPr>
            <w:tcW w:w="9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4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4,105</w:t>
            </w:r>
          </w:p>
        </w:tc>
      </w:tr>
      <w:tr>
        <w:trPr>
          <w:trHeight w:val="229"/>
        </w:trPr>
        <w:tc>
          <w:tcPr>
            <w:tcW w:w="9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4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4,065</w:t>
            </w:r>
          </w:p>
        </w:tc>
      </w:tr>
      <w:tr>
        <w:trPr>
          <w:trHeight w:val="223"/>
        </w:trPr>
        <w:tc>
          <w:tcPr>
            <w:tcW w:w="9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4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1,338,443</w:t>
            </w:r>
          </w:p>
        </w:tc>
      </w:tr>
    </w:tbl>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At June 30, 2024, and December 31, 2023, amounts included in time deposits for individual retirement accounts totaled $123.6 million and $28.5 million, respectively.</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Overdrafts of $5.0 million and $110 thousand were reclassified to loans as of June 30, 2024, and the year ended December 31, 2023, respectively.</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Borrowed Funds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Short-term borrowings</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The Company had borrowings of $285.2 million and $272.0 million at June 30, 2024, and December 31, 2023, respectively. At June 30, 2024, the interest rate on this debt ranged from 4.87% to 5.46%. At December 31, 2023, the interest rate on this debt ranged from 4.38% to 5.57%. The average balance outstanding during the six months ending June 30, 2024, and the year ending December 31, 2023, was $334.8 million and $293.9 million, respectively. The Company has a finance lease liability that is not included in these balances - see </w:t>
      </w:r>
      <w:r>
        <w:rPr>
          <w:rFonts w:ascii="Times New Roman" w:cs="Times New Roman" w:eastAsia="Times New Roman" w:hAnsi="Times New Roman"/>
          <w:sz w:val="18"/>
          <w:szCs w:val="18"/>
          <w:u w:val="single" w:color="auto"/>
          <w:color w:val="0000FF"/>
        </w:rPr>
        <w:t>Note 7 - Leased Property</w:t>
      </w:r>
      <w:r>
        <w:rPr>
          <w:rFonts w:ascii="Times New Roman" w:cs="Times New Roman" w:eastAsia="Times New Roman" w:hAnsi="Times New Roman"/>
          <w:sz w:val="18"/>
          <w:szCs w:val="18"/>
          <w:color w:val="auto"/>
        </w:rPr>
        <w:t xml:space="preserve"> for a discussion of this liability that is included in the accrued interest and other liabilities line in the Consolidated Balance Sheets.</w:t>
      </w:r>
    </w:p>
    <w:p>
      <w:pPr>
        <w:spacing w:after="0" w:line="1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has available secured lines of credit with the Federal Reserve Bank of Richmond, such as the Borrower-In-Custody program, the FHLB of Atlanta, and unsecured federal funds lines of credit from correspondent banking</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Borrowed Funds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relationships. Through these sources, the Company has unused capacity of $2.2 billion in remaining borrowing capacity as of June 30, 2024. The advances on credit lines are secured by both securities and loans. The lendable collateral value of securities and loans pledged against available lines of credit as of June 30, 2024, and December 31, 2023, was $1.3 billion and $797.8 million, respectively. As of June 30, 2024, all of the Company’s borrowings will mature within one calendar year.</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contractual maturities of these borrowings, which all occur within one year of the reporting date, are as follows as of June 30, 2024, (in thousands):</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9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Due in 2024</w:t>
            </w:r>
          </w:p>
        </w:tc>
        <w:tc>
          <w:tcPr>
            <w:tcW w:w="4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265,161</w:t>
            </w:r>
          </w:p>
        </w:tc>
      </w:tr>
      <w:tr>
        <w:trPr>
          <w:trHeight w:val="230"/>
        </w:trPr>
        <w:tc>
          <w:tcPr>
            <w:tcW w:w="97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Due in 2025</w:t>
            </w:r>
          </w:p>
        </w:tc>
        <w:tc>
          <w:tcPr>
            <w:tcW w:w="4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20,000</w:t>
            </w:r>
          </w:p>
        </w:tc>
      </w:tr>
      <w:tr>
        <w:trPr>
          <w:trHeight w:val="223"/>
        </w:trPr>
        <w:tc>
          <w:tcPr>
            <w:tcW w:w="9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285,161</w:t>
            </w: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Long-term borrowings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Subordinated Debentures</w:t>
      </w:r>
    </w:p>
    <w:p>
      <w:pPr>
        <w:spacing w:after="0" w:line="17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As part of the Merger, Burke &amp; Herbert assumed $75 million of subordinated debentures, that were fair valued at $61.5 million with a $13.5 million discount being amortized into interest expense over the stated maturity. As of June 30, 2024, the net balance was $62.4 million. The subordinated debt qualifies as Tier 2 capital under Federal Reserve Board guidelines, until the debt is within 5 years of its maturity; thereafter, the amount qualifying as Tier 2 capital is reduced 20% each year until maturity. The subordinated debentures were issued in the fourth quarter of 2021. This subordinated debt bears interest at a fixed rate of 3.25% per year, from acquisition date to, but excluding, December 1, 2026, payable semi-annually in arrears. From and including, December 1, 2026 to, but excluding, the maturity date or earlier redemption date, the interest rate will reset quarterly at a variable rate equal to the then current three-month term Secured Overnight Financing Rate (“SOFR”), as published by the Federal Reserve Bank of New York, plus 230 basis points, payable quarterly in arrears. This debt has a 10-year term, and generally, is not prepayable by us within the first 5 years from issuance, which was fourth quarter 2021.</w:t>
      </w:r>
    </w:p>
    <w:p>
      <w:pPr>
        <w:spacing w:after="0" w:line="13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Through the Merger, Burke &amp; Herbert also assumed $30 million of subordinated debentures that were fair valued at $30 million with a $0.2 million discount being amortized into interest expense over the stated maturity. As of June 30, 2024, the net balance was $30 million. The subordinated debt qualifies as Tier 2 capital under Federal Reserve Board guidelines, until the debt is within 5 years of its maturity; thereafter, the amount qualifying as Tier 2 capital is reduced by 20% each year until its maturity. The subordinated debentures were issued in the third quarter of 2020. This subordinated debt bears interest at a fixed rate of 5.00% per year from the date of assumption to, but excluding, September 30, 2025, payable quarterly in arrears. From and including September 30, 2025, to, but excluding, the maturity date or earlier redemption date, the interest rate will reset quarterly at a variable rate equal to the then current three-month term SOFR plus 487 basis points, payable quarterly in arrears. This debt has a 10-year term, and generally, is not prepayable by us within the first 5 years from issuance, which was third quarter 2020.</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Subordinated Debentures Owed to Unconsolidated Subsidiary Trusts</w:t>
      </w:r>
    </w:p>
    <w:p>
      <w:pPr>
        <w:spacing w:after="0" w:line="17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As part of the Merger, Burke &amp; Herbert became the sponsor for SFG Capital Trust I, SFG Capital Trust II, and SFG Capital Trust III. For each of these trusts, 100% of the common equity is owned by us. SFG Capital Trust I issued $3.5 million in capital securities and $109 thousand in common securities and invested the proceeds in $3.61 million of debentures, which were assumed by Burke &amp; Herbert in the Merger. SFG Capital Trust II issued $7.5 million in capital securities and $232 thousand in common securities and invested the proceeds in $7.73 million of debentures, which were assumed by Burke &amp; Herbert in the Merger. SFG Capital Trust III issued $8.0 million in capital securities and $248 thousand in common securities and invested the proceeds in $8.25 million of debentures, which were assumed by Burke &amp; Herbert in the Merger. Distributions on the capital securities issued by the trusts are payable quarterly at a variable rate equal to 3 month LIBOR plus 345 basis points for SFG Capital Trust I, 3 months of LIBOR plus 280 basis points for SFG Capital Trust II, and 3 month LIBOR plus 145 basis points for SFG Capital Trust III, and equals the interest rate earned on the debentures held by the trusts and is recorded as interest expense by us. The capital securities are subject to mandatory redemption in whole, or in part, upon repayment of the debentures. We have entered into agreements which, taken</w:t>
      </w: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Borrowed Funds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collectively, fully and unconditionally guarantee the capital securities subject to the terms of the guarantee. The debentures of each Capital Trust are redeemable by us quarterly.</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capital securities issued by SFG Capital Trust I, SFG Capital Trust II, and SFG Capital Trust III qualify as Tier 1 capital under the Federal Reserve guidelines. In accordance with these Guidelines, trust preferred securities are limited to 25% of Tier 1 capital elements, net of goodwill. The amount of trust preferred securities and certain other elements in excess of the limit can be included in Tier 2 capital.</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remaining maturities of subordinated debentures as of June 30, 2024, are as follows (in thousands):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3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24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Subordinated debentures</w:t>
            </w:r>
          </w:p>
        </w:tc>
        <w:tc>
          <w:tcPr>
            <w:tcW w:w="140" w:type="dxa"/>
            <w:vAlign w:val="bottom"/>
          </w:tcPr>
          <w:p>
            <w:pPr>
              <w:spacing w:after="0"/>
              <w:rPr>
                <w:sz w:val="13"/>
                <w:szCs w:val="13"/>
                <w:color w:val="auto"/>
              </w:rPr>
            </w:pPr>
          </w:p>
        </w:tc>
        <w:tc>
          <w:tcPr>
            <w:tcW w:w="2260" w:type="dxa"/>
            <w:vAlign w:val="bottom"/>
          </w:tcPr>
          <w:p>
            <w:pPr>
              <w:jc w:val="right"/>
              <w:ind w:right="81"/>
              <w:spacing w:after="0"/>
              <w:rPr>
                <w:sz w:val="20"/>
                <w:szCs w:val="20"/>
                <w:color w:val="auto"/>
              </w:rPr>
            </w:pPr>
            <w:r>
              <w:rPr>
                <w:rFonts w:ascii="Times New Roman" w:cs="Times New Roman" w:eastAsia="Times New Roman" w:hAnsi="Times New Roman"/>
                <w:sz w:val="14"/>
                <w:szCs w:val="14"/>
                <w:b w:val="1"/>
                <w:bCs w:val="1"/>
                <w:color w:val="auto"/>
              </w:rPr>
              <w:t>Subordinated debentures owed to</w:t>
            </w:r>
          </w:p>
        </w:tc>
        <w:tc>
          <w:tcPr>
            <w:tcW w:w="0" w:type="dxa"/>
            <w:vAlign w:val="bottom"/>
          </w:tcPr>
          <w:p>
            <w:pPr>
              <w:spacing w:after="0"/>
              <w:rPr>
                <w:sz w:val="1"/>
                <w:szCs w:val="1"/>
                <w:color w:val="auto"/>
              </w:rPr>
            </w:pPr>
          </w:p>
        </w:tc>
      </w:tr>
      <w:tr>
        <w:trPr>
          <w:trHeight w:val="195"/>
        </w:trPr>
        <w:tc>
          <w:tcPr>
            <w:tcW w:w="63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24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2260" w:type="dxa"/>
            <w:vAlign w:val="bottom"/>
          </w:tcPr>
          <w:p>
            <w:pPr>
              <w:jc w:val="right"/>
              <w:ind w:right="121"/>
              <w:spacing w:after="0"/>
              <w:rPr>
                <w:sz w:val="20"/>
                <w:szCs w:val="20"/>
                <w:color w:val="auto"/>
              </w:rPr>
            </w:pPr>
            <w:r>
              <w:rPr>
                <w:rFonts w:ascii="Times New Roman" w:cs="Times New Roman" w:eastAsia="Times New Roman" w:hAnsi="Times New Roman"/>
                <w:sz w:val="14"/>
                <w:szCs w:val="14"/>
                <w:b w:val="1"/>
                <w:bCs w:val="1"/>
                <w:color w:val="auto"/>
              </w:rPr>
              <w:t>unconsolidated subsidiary trusts</w:t>
            </w:r>
          </w:p>
        </w:tc>
        <w:tc>
          <w:tcPr>
            <w:tcW w:w="0" w:type="dxa"/>
            <w:vAlign w:val="bottom"/>
          </w:tcPr>
          <w:p>
            <w:pPr>
              <w:spacing w:after="0"/>
              <w:rPr>
                <w:sz w:val="1"/>
                <w:szCs w:val="1"/>
                <w:color w:val="auto"/>
              </w:rPr>
            </w:pPr>
          </w:p>
        </w:tc>
      </w:tr>
      <w:tr>
        <w:trPr>
          <w:trHeight w:val="214"/>
        </w:trPr>
        <w:tc>
          <w:tcPr>
            <w:tcW w:w="63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Remaining six months ending, December 31, 2024</w:t>
            </w:r>
          </w:p>
        </w:tc>
        <w:tc>
          <w:tcPr>
            <w:tcW w:w="260" w:type="dxa"/>
            <w:vAlign w:val="bottom"/>
            <w:tcBorders>
              <w:top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2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2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6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2025</w:t>
            </w:r>
          </w:p>
        </w:tc>
        <w:tc>
          <w:tcPr>
            <w:tcW w:w="260" w:type="dxa"/>
            <w:vAlign w:val="bottom"/>
          </w:tcPr>
          <w:p>
            <w:pPr>
              <w:spacing w:after="0"/>
              <w:rPr>
                <w:sz w:val="18"/>
                <w:szCs w:val="18"/>
                <w:color w:val="auto"/>
              </w:rPr>
            </w:pPr>
          </w:p>
        </w:tc>
        <w:tc>
          <w:tcPr>
            <w:tcW w:w="22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2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6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2026</w:t>
            </w:r>
          </w:p>
        </w:tc>
        <w:tc>
          <w:tcPr>
            <w:tcW w:w="260" w:type="dxa"/>
            <w:vAlign w:val="bottom"/>
            <w:shd w:val="clear" w:color="auto" w:fill="CCEEFF"/>
          </w:tcPr>
          <w:p>
            <w:pPr>
              <w:spacing w:after="0"/>
              <w:rPr>
                <w:sz w:val="19"/>
                <w:szCs w:val="19"/>
                <w:color w:val="auto"/>
              </w:rPr>
            </w:pPr>
          </w:p>
        </w:tc>
        <w:tc>
          <w:tcPr>
            <w:tcW w:w="2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2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6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2027</w:t>
            </w:r>
          </w:p>
        </w:tc>
        <w:tc>
          <w:tcPr>
            <w:tcW w:w="260" w:type="dxa"/>
            <w:vAlign w:val="bottom"/>
          </w:tcPr>
          <w:p>
            <w:pPr>
              <w:spacing w:after="0"/>
              <w:rPr>
                <w:sz w:val="18"/>
                <w:szCs w:val="18"/>
                <w:color w:val="auto"/>
              </w:rPr>
            </w:pPr>
          </w:p>
        </w:tc>
        <w:tc>
          <w:tcPr>
            <w:tcW w:w="22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2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6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2028</w:t>
            </w:r>
          </w:p>
        </w:tc>
        <w:tc>
          <w:tcPr>
            <w:tcW w:w="260" w:type="dxa"/>
            <w:vAlign w:val="bottom"/>
            <w:shd w:val="clear" w:color="auto" w:fill="CCEEFF"/>
          </w:tcPr>
          <w:p>
            <w:pPr>
              <w:spacing w:after="0"/>
              <w:rPr>
                <w:sz w:val="19"/>
                <w:szCs w:val="19"/>
                <w:color w:val="auto"/>
              </w:rPr>
            </w:pPr>
          </w:p>
        </w:tc>
        <w:tc>
          <w:tcPr>
            <w:tcW w:w="2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2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63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Thereafter</w:t>
            </w:r>
          </w:p>
        </w:tc>
        <w:tc>
          <w:tcPr>
            <w:tcW w:w="260" w:type="dxa"/>
            <w:vAlign w:val="bottom"/>
            <w:tcBorders>
              <w:bottom w:val="single" w:sz="8" w:color="auto"/>
            </w:tcBorders>
          </w:tcPr>
          <w:p>
            <w:pPr>
              <w:spacing w:after="0"/>
              <w:rPr>
                <w:sz w:val="18"/>
                <w:szCs w:val="18"/>
                <w:color w:val="auto"/>
              </w:rPr>
            </w:pPr>
          </w:p>
        </w:tc>
        <w:tc>
          <w:tcPr>
            <w:tcW w:w="2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105,000</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19,589</w:t>
            </w:r>
          </w:p>
        </w:tc>
        <w:tc>
          <w:tcPr>
            <w:tcW w:w="0" w:type="dxa"/>
            <w:vAlign w:val="bottom"/>
          </w:tcPr>
          <w:p>
            <w:pPr>
              <w:spacing w:after="0"/>
              <w:rPr>
                <w:sz w:val="1"/>
                <w:szCs w:val="1"/>
                <w:color w:val="auto"/>
              </w:rPr>
            </w:pPr>
          </w:p>
        </w:tc>
      </w:tr>
      <w:tr>
        <w:trPr>
          <w:trHeight w:val="209"/>
        </w:trPr>
        <w:tc>
          <w:tcPr>
            <w:tcW w:w="6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2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105,000</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2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19,589</w:t>
            </w:r>
          </w:p>
        </w:tc>
        <w:tc>
          <w:tcPr>
            <w:tcW w:w="0" w:type="dxa"/>
            <w:vAlign w:val="bottom"/>
          </w:tcPr>
          <w:p>
            <w:pPr>
              <w:spacing w:after="0"/>
              <w:rPr>
                <w:sz w:val="1"/>
                <w:szCs w:val="1"/>
                <w:color w:val="auto"/>
              </w:rPr>
            </w:pP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Leased Property</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Lessor Arrangements</w:t>
      </w:r>
    </w:p>
    <w:p>
      <w:pPr>
        <w:spacing w:after="0" w:line="17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enters into operating leases with customers to lease vacant space in certain owned premises that is not being used by the Company. These operating leases are typically payable in monthly installments with terms ranging from around two years to around sixteen years and may contain renewal options. The components of lease income, which was included in non-interest expense on the Consolidated Statements of Income, were as follows (in thousands):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0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780" w:type="dxa"/>
            <w:vAlign w:val="bottom"/>
            <w:gridSpan w:val="5"/>
          </w:tcPr>
          <w:p>
            <w:pPr>
              <w:ind w:left="24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360" w:type="dxa"/>
            <w:vAlign w:val="bottom"/>
          </w:tcPr>
          <w:p>
            <w:pPr>
              <w:spacing w:after="0"/>
              <w:rPr>
                <w:sz w:val="16"/>
                <w:szCs w:val="16"/>
                <w:color w:val="auto"/>
              </w:rPr>
            </w:pPr>
          </w:p>
        </w:tc>
        <w:tc>
          <w:tcPr>
            <w:tcW w:w="2120" w:type="dxa"/>
            <w:vAlign w:val="bottom"/>
            <w:gridSpan w:val="4"/>
          </w:tcPr>
          <w:p>
            <w:pPr>
              <w:jc w:val="right"/>
              <w:ind w:right="19"/>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580" w:type="dxa"/>
            <w:vAlign w:val="bottom"/>
          </w:tcPr>
          <w:p>
            <w:pPr>
              <w:spacing w:after="0"/>
              <w:rPr>
                <w:sz w:val="16"/>
                <w:szCs w:val="16"/>
                <w:color w:val="auto"/>
              </w:rPr>
            </w:pPr>
          </w:p>
        </w:tc>
      </w:tr>
      <w:tr>
        <w:trPr>
          <w:trHeight w:val="203"/>
        </w:trPr>
        <w:tc>
          <w:tcPr>
            <w:tcW w:w="50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ind w:left="24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jc w:val="right"/>
              <w:ind w:right="516"/>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0" w:type="dxa"/>
            <w:vAlign w:val="bottom"/>
          </w:tcPr>
          <w:p>
            <w:pPr>
              <w:jc w:val="right"/>
              <w:ind w:right="39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580" w:type="dxa"/>
            <w:vAlign w:val="bottom"/>
          </w:tcPr>
          <w:p>
            <w:pPr>
              <w:spacing w:after="0"/>
              <w:rPr>
                <w:sz w:val="17"/>
                <w:szCs w:val="17"/>
                <w:color w:val="auto"/>
              </w:rPr>
            </w:pPr>
          </w:p>
        </w:tc>
      </w:tr>
      <w:tr>
        <w:trPr>
          <w:trHeight w:val="23"/>
        </w:trPr>
        <w:tc>
          <w:tcPr>
            <w:tcW w:w="50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r>
      <w:tr>
        <w:trPr>
          <w:trHeight w:val="223"/>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income</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556</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575</w:t>
            </w:r>
          </w:p>
        </w:tc>
        <w:tc>
          <w:tcPr>
            <w:tcW w:w="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1,131</w:t>
            </w:r>
          </w:p>
        </w:tc>
        <w:tc>
          <w:tcPr>
            <w:tcW w:w="100" w:type="dxa"/>
            <w:vAlign w:val="bottom"/>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719"/>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1,150</w:t>
            </w:r>
          </w:p>
        </w:tc>
      </w:tr>
      <w:tr>
        <w:trPr>
          <w:trHeight w:val="223"/>
        </w:trPr>
        <w:tc>
          <w:tcPr>
            <w:tcW w:w="50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lease income</w:t>
            </w: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556</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575</w:t>
            </w:r>
          </w:p>
        </w:tc>
        <w:tc>
          <w:tcPr>
            <w:tcW w:w="8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1,131</w:t>
            </w:r>
          </w:p>
        </w:tc>
        <w:tc>
          <w:tcPr>
            <w:tcW w:w="100" w:type="dxa"/>
            <w:vAlign w:val="bottom"/>
          </w:tcPr>
          <w:p>
            <w:pPr>
              <w:spacing w:after="0"/>
              <w:rPr>
                <w:sz w:val="19"/>
                <w:szCs w:val="19"/>
                <w:color w:val="auto"/>
              </w:rPr>
            </w:pPr>
          </w:p>
        </w:tc>
        <w:tc>
          <w:tcPr>
            <w:tcW w:w="900" w:type="dxa"/>
            <w:vAlign w:val="bottom"/>
            <w:tcBorders>
              <w:bottom w:val="single" w:sz="8" w:color="auto"/>
            </w:tcBorders>
          </w:tcPr>
          <w:p>
            <w:pPr>
              <w:jc w:val="right"/>
              <w:ind w:right="719"/>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1,150</w:t>
            </w:r>
          </w:p>
        </w:tc>
      </w:tr>
      <w:tr>
        <w:trPr>
          <w:trHeight w:val="453"/>
        </w:trPr>
        <w:tc>
          <w:tcPr>
            <w:tcW w:w="818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The remaining maturities of operating lease receivables as of June 30, 2024, are as follows (in thousands):</w:t>
            </w:r>
          </w:p>
        </w:tc>
        <w:tc>
          <w:tcPr>
            <w:tcW w:w="3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368"/>
        </w:trPr>
        <w:tc>
          <w:tcPr>
            <w:tcW w:w="50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gridSpan w:val="2"/>
          </w:tcPr>
          <w:p>
            <w:pPr>
              <w:jc w:val="right"/>
              <w:ind w:right="230"/>
              <w:spacing w:after="0"/>
              <w:rPr>
                <w:sz w:val="20"/>
                <w:szCs w:val="20"/>
                <w:color w:val="auto"/>
              </w:rPr>
            </w:pPr>
            <w:r>
              <w:rPr>
                <w:rFonts w:ascii="Times New Roman" w:cs="Times New Roman" w:eastAsia="Times New Roman" w:hAnsi="Times New Roman"/>
                <w:sz w:val="14"/>
                <w:szCs w:val="14"/>
                <w:b w:val="1"/>
                <w:bCs w:val="1"/>
                <w:color w:val="auto"/>
              </w:rPr>
              <w:t>Operating Leases</w:t>
            </w:r>
          </w:p>
        </w:tc>
      </w:tr>
      <w:tr>
        <w:trPr>
          <w:trHeight w:val="23"/>
        </w:trPr>
        <w:tc>
          <w:tcPr>
            <w:tcW w:w="506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r>
      <w:tr>
        <w:trPr>
          <w:trHeight w:val="223"/>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Remaining six months ending, December 31, 2024</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1,083</w:t>
            </w:r>
          </w:p>
        </w:tc>
      </w:tr>
      <w:tr>
        <w:trPr>
          <w:trHeight w:val="230"/>
        </w:trPr>
        <w:tc>
          <w:tcPr>
            <w:tcW w:w="5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2,182</w:t>
            </w:r>
          </w:p>
        </w:tc>
      </w:tr>
      <w:tr>
        <w:trPr>
          <w:trHeight w:val="230"/>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1,936</w:t>
            </w:r>
          </w:p>
        </w:tc>
      </w:tr>
      <w:tr>
        <w:trPr>
          <w:trHeight w:val="230"/>
        </w:trPr>
        <w:tc>
          <w:tcPr>
            <w:tcW w:w="5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1,836</w:t>
            </w:r>
          </w:p>
        </w:tc>
      </w:tr>
      <w:tr>
        <w:trPr>
          <w:trHeight w:val="229"/>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1,862</w:t>
            </w:r>
          </w:p>
        </w:tc>
      </w:tr>
      <w:tr>
        <w:trPr>
          <w:trHeight w:val="230"/>
        </w:trPr>
        <w:tc>
          <w:tcPr>
            <w:tcW w:w="5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340" w:type="dxa"/>
            <w:vAlign w:val="bottom"/>
            <w:tcBorders>
              <w:bottom w:val="single" w:sz="8" w:color="CCEEFF"/>
            </w:tcBorders>
          </w:tcPr>
          <w:p>
            <w:pPr>
              <w:spacing w:after="0"/>
              <w:rPr>
                <w:sz w:val="19"/>
                <w:szCs w:val="19"/>
                <w:color w:val="auto"/>
              </w:rPr>
            </w:pPr>
          </w:p>
        </w:tc>
        <w:tc>
          <w:tcPr>
            <w:tcW w:w="11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CCEEFF"/>
            </w:tcBorders>
          </w:tcPr>
          <w:p>
            <w:pPr>
              <w:spacing w:after="0"/>
              <w:rPr>
                <w:sz w:val="19"/>
                <w:szCs w:val="19"/>
                <w:color w:val="auto"/>
              </w:rPr>
            </w:pPr>
          </w:p>
        </w:tc>
        <w:tc>
          <w:tcPr>
            <w:tcW w:w="11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CCEEFF"/>
            </w:tcBorders>
          </w:tcPr>
          <w:p>
            <w:pPr>
              <w:spacing w:after="0"/>
              <w:rPr>
                <w:sz w:val="19"/>
                <w:szCs w:val="19"/>
                <w:color w:val="auto"/>
              </w:rPr>
            </w:pPr>
          </w:p>
        </w:tc>
        <w:tc>
          <w:tcPr>
            <w:tcW w:w="10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4,732</w:t>
            </w:r>
          </w:p>
        </w:tc>
      </w:tr>
      <w:tr>
        <w:trPr>
          <w:trHeight w:val="223"/>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lease receivables</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13,631</w:t>
            </w:r>
          </w:p>
        </w:tc>
      </w:tr>
    </w:tbl>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Lessee Arrangements</w:t>
      </w:r>
    </w:p>
    <w:p>
      <w:pPr>
        <w:spacing w:after="0" w:line="17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has entered into leases for branches and office space. The leases are evaluated for whether the lease will be classified as either a finance or operating lease. Certain leases offer the option to extend the lease term, and the Company has included such extensions in its calculation of the lease liabilities to the extent the options are reasonably assured of being exercised. Including renewal options, the terms of the Company’s leases range from less than one year to around thirteen years. The lease agreements do not provide for residual value guarantees and have no restrictions or covenants that would impact dividends or require incurring additional financial obligations.</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Leased Property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Lease liabilities represent the Company’s obligation to make lease payments and are presented at each reporting date as the net present value of the remaining contractual cash flows. These cash flows are discounted at the Company’s incremental borrowing rate in effect at the commencement date of the lease. The right-of-use asset and lease liability are included in other assets and other liabilities, respectively, in the Consolidated Balance Sheets.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Right-of-use assets and liabilities by lease type, and the associated balance sheet classifications are as follows (in thousands):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300" w:type="dxa"/>
            <w:vAlign w:val="bottom"/>
            <w:gridSpan w:val="3"/>
          </w:tcPr>
          <w:p>
            <w:pPr>
              <w:ind w:left="300"/>
              <w:spacing w:after="0"/>
              <w:rPr>
                <w:sz w:val="20"/>
                <w:szCs w:val="20"/>
                <w:color w:val="auto"/>
              </w:rPr>
            </w:pPr>
            <w:r>
              <w:rPr>
                <w:rFonts w:ascii="Times New Roman" w:cs="Times New Roman" w:eastAsia="Times New Roman" w:hAnsi="Times New Roman"/>
                <w:sz w:val="14"/>
                <w:szCs w:val="14"/>
                <w:b w:val="1"/>
                <w:bCs w:val="1"/>
                <w:color w:val="auto"/>
              </w:rPr>
              <w:t>Balance Sheet Classification</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gridSpan w:val="2"/>
          </w:tcPr>
          <w:p>
            <w:pPr>
              <w:jc w:val="right"/>
              <w:ind w:right="150"/>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23"/>
        </w:trPr>
        <w:tc>
          <w:tcPr>
            <w:tcW w:w="510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r>
      <w:tr>
        <w:trPr>
          <w:trHeight w:val="210"/>
        </w:trPr>
        <w:tc>
          <w:tcPr>
            <w:tcW w:w="5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Right-of-use assets:</w:t>
            </w: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r>
      <w:tr>
        <w:trPr>
          <w:trHeight w:val="229"/>
        </w:trPr>
        <w:tc>
          <w:tcPr>
            <w:tcW w:w="51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Operating leases</w:t>
            </w:r>
          </w:p>
        </w:tc>
        <w:tc>
          <w:tcPr>
            <w:tcW w:w="340" w:type="dxa"/>
            <w:vAlign w:val="bottom"/>
          </w:tcPr>
          <w:p>
            <w:pPr>
              <w:spacing w:after="0"/>
              <w:rPr>
                <w:sz w:val="19"/>
                <w:szCs w:val="19"/>
                <w:color w:val="auto"/>
              </w:rPr>
            </w:pPr>
          </w:p>
        </w:tc>
        <w:tc>
          <w:tcPr>
            <w:tcW w:w="12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1080" w:type="dxa"/>
            <w:vAlign w:val="bottom"/>
          </w:tcPr>
          <w:p>
            <w:pPr>
              <w:spacing w:after="0"/>
              <w:rPr>
                <w:sz w:val="19"/>
                <w:szCs w:val="19"/>
                <w:color w:val="auto"/>
              </w:rPr>
            </w:pPr>
          </w:p>
        </w:tc>
        <w:tc>
          <w:tcPr>
            <w:tcW w:w="40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14,532</w:t>
            </w:r>
          </w:p>
        </w:tc>
        <w:tc>
          <w:tcPr>
            <w:tcW w:w="2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5,110</w:t>
            </w:r>
          </w:p>
        </w:tc>
      </w:tr>
      <w:tr>
        <w:trPr>
          <w:trHeight w:val="229"/>
        </w:trPr>
        <w:tc>
          <w:tcPr>
            <w:tcW w:w="51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Finance leases</w:t>
            </w:r>
          </w:p>
        </w:tc>
        <w:tc>
          <w:tcPr>
            <w:tcW w:w="3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3,455</w:t>
            </w:r>
          </w:p>
        </w:tc>
        <w:tc>
          <w:tcPr>
            <w:tcW w:w="6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3,590</w:t>
            </w:r>
          </w:p>
        </w:tc>
      </w:tr>
      <w:tr>
        <w:trPr>
          <w:trHeight w:val="223"/>
        </w:trPr>
        <w:tc>
          <w:tcPr>
            <w:tcW w:w="510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Total right-of-use assets</w:t>
            </w:r>
          </w:p>
        </w:tc>
        <w:tc>
          <w:tcPr>
            <w:tcW w:w="340" w:type="dxa"/>
            <w:vAlign w:val="bottom"/>
            <w:tcBorders>
              <w:bottom w:val="single" w:sz="8" w:color="CCEEFF"/>
            </w:tcBorders>
          </w:tcPr>
          <w:p>
            <w:pPr>
              <w:spacing w:after="0"/>
              <w:rPr>
                <w:sz w:val="19"/>
                <w:szCs w:val="19"/>
                <w:color w:val="auto"/>
              </w:rPr>
            </w:pPr>
          </w:p>
        </w:tc>
        <w:tc>
          <w:tcPr>
            <w:tcW w:w="11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0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8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17,987</w:t>
            </w: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8,700</w:t>
            </w:r>
          </w:p>
        </w:tc>
      </w:tr>
      <w:tr>
        <w:trPr>
          <w:trHeight w:val="209"/>
        </w:trPr>
        <w:tc>
          <w:tcPr>
            <w:tcW w:w="5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 liabilities:</w:t>
            </w: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r>
      <w:tr>
        <w:trPr>
          <w:trHeight w:val="230"/>
        </w:trPr>
        <w:tc>
          <w:tcPr>
            <w:tcW w:w="51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Operating leases</w:t>
            </w:r>
          </w:p>
        </w:tc>
        <w:tc>
          <w:tcPr>
            <w:tcW w:w="340" w:type="dxa"/>
            <w:vAlign w:val="bottom"/>
          </w:tcPr>
          <w:p>
            <w:pPr>
              <w:spacing w:after="0"/>
              <w:rPr>
                <w:sz w:val="19"/>
                <w:szCs w:val="19"/>
                <w:color w:val="auto"/>
              </w:rPr>
            </w:pPr>
          </w:p>
        </w:tc>
        <w:tc>
          <w:tcPr>
            <w:tcW w:w="12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liabilities</w:t>
            </w:r>
          </w:p>
        </w:tc>
        <w:tc>
          <w:tcPr>
            <w:tcW w:w="1080" w:type="dxa"/>
            <w:vAlign w:val="bottom"/>
          </w:tcPr>
          <w:p>
            <w:pPr>
              <w:spacing w:after="0"/>
              <w:rPr>
                <w:sz w:val="19"/>
                <w:szCs w:val="19"/>
                <w:color w:val="auto"/>
              </w:rPr>
            </w:pPr>
          </w:p>
        </w:tc>
        <w:tc>
          <w:tcPr>
            <w:tcW w:w="40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15,094</w:t>
            </w:r>
          </w:p>
        </w:tc>
        <w:tc>
          <w:tcPr>
            <w:tcW w:w="2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5,327</w:t>
            </w:r>
          </w:p>
        </w:tc>
      </w:tr>
      <w:tr>
        <w:trPr>
          <w:trHeight w:val="229"/>
        </w:trPr>
        <w:tc>
          <w:tcPr>
            <w:tcW w:w="51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Finance leases</w:t>
            </w:r>
          </w:p>
        </w:tc>
        <w:tc>
          <w:tcPr>
            <w:tcW w:w="3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liabilities</w:t>
            </w: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3,729</w:t>
            </w:r>
          </w:p>
        </w:tc>
        <w:tc>
          <w:tcPr>
            <w:tcW w:w="6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3,840</w:t>
            </w:r>
          </w:p>
        </w:tc>
      </w:tr>
      <w:tr>
        <w:trPr>
          <w:trHeight w:val="223"/>
        </w:trPr>
        <w:tc>
          <w:tcPr>
            <w:tcW w:w="51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lease liabilities</w:t>
            </w: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8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18,823</w:t>
            </w:r>
          </w:p>
        </w:tc>
        <w:tc>
          <w:tcPr>
            <w:tcW w:w="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9,167</w:t>
            </w:r>
          </w:p>
        </w:tc>
      </w:tr>
      <w:tr>
        <w:trPr>
          <w:trHeight w:val="466"/>
        </w:trPr>
        <w:tc>
          <w:tcPr>
            <w:tcW w:w="5100" w:type="dxa"/>
            <w:vAlign w:val="bottom"/>
          </w:tcPr>
          <w:p>
            <w:pPr>
              <w:spacing w:after="0"/>
              <w:rPr>
                <w:sz w:val="20"/>
                <w:szCs w:val="20"/>
                <w:color w:val="auto"/>
              </w:rPr>
            </w:pPr>
            <w:r>
              <w:rPr>
                <w:rFonts w:ascii="Times New Roman" w:cs="Times New Roman" w:eastAsia="Times New Roman" w:hAnsi="Times New Roman"/>
                <w:sz w:val="18"/>
                <w:szCs w:val="18"/>
                <w:color w:val="auto"/>
              </w:rPr>
              <w:t>The components of total lease cost were as follows (in thousands):</w:t>
            </w: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368"/>
        </w:trPr>
        <w:tc>
          <w:tcPr>
            <w:tcW w:w="5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300" w:type="dxa"/>
            <w:vAlign w:val="bottom"/>
            <w:gridSpan w:val="3"/>
          </w:tcPr>
          <w:p>
            <w:pPr>
              <w:ind w:left="24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120" w:type="dxa"/>
            <w:vAlign w:val="bottom"/>
            <w:gridSpan w:val="6"/>
          </w:tcPr>
          <w:p>
            <w:pPr>
              <w:jc w:val="right"/>
              <w:ind w:right="39"/>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540" w:type="dxa"/>
            <w:vAlign w:val="bottom"/>
          </w:tcPr>
          <w:p>
            <w:pPr>
              <w:spacing w:after="0"/>
              <w:rPr>
                <w:sz w:val="24"/>
                <w:szCs w:val="24"/>
                <w:color w:val="auto"/>
              </w:rPr>
            </w:pPr>
          </w:p>
        </w:tc>
      </w:tr>
      <w:tr>
        <w:trPr>
          <w:trHeight w:val="203"/>
        </w:trPr>
        <w:tc>
          <w:tcPr>
            <w:tcW w:w="5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ind w:left="24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7"/>
                <w:szCs w:val="17"/>
                <w:color w:val="auto"/>
              </w:rPr>
            </w:pPr>
          </w:p>
        </w:tc>
        <w:tc>
          <w:tcPr>
            <w:tcW w:w="1080" w:type="dxa"/>
            <w:vAlign w:val="bottom"/>
          </w:tcPr>
          <w:p>
            <w:pPr>
              <w:jc w:val="right"/>
              <w:ind w:right="116"/>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40" w:type="dxa"/>
            <w:vAlign w:val="bottom"/>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2024</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540" w:type="dxa"/>
            <w:vAlign w:val="bottom"/>
          </w:tcPr>
          <w:p>
            <w:pPr>
              <w:spacing w:after="0"/>
              <w:rPr>
                <w:sz w:val="17"/>
                <w:szCs w:val="17"/>
                <w:color w:val="auto"/>
              </w:rPr>
            </w:pPr>
          </w:p>
        </w:tc>
      </w:tr>
      <w:tr>
        <w:trPr>
          <w:trHeight w:val="23"/>
        </w:trPr>
        <w:tc>
          <w:tcPr>
            <w:tcW w:w="5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r>
      <w:tr>
        <w:trPr>
          <w:trHeight w:val="209"/>
        </w:trPr>
        <w:tc>
          <w:tcPr>
            <w:tcW w:w="5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Finance lease cost</w:t>
            </w: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r>
      <w:tr>
        <w:trPr>
          <w:trHeight w:val="229"/>
        </w:trPr>
        <w:tc>
          <w:tcPr>
            <w:tcW w:w="51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Right-of-use asset amortization</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00" w:type="dxa"/>
            <w:vAlign w:val="bottom"/>
          </w:tcPr>
          <w:p>
            <w:pPr>
              <w:spacing w:after="0"/>
              <w:rPr>
                <w:sz w:val="19"/>
                <w:szCs w:val="19"/>
                <w:color w:val="auto"/>
              </w:rPr>
            </w:pPr>
          </w:p>
        </w:tc>
        <w:tc>
          <w:tcPr>
            <w:tcW w:w="1080" w:type="dxa"/>
            <w:vAlign w:val="bottom"/>
          </w:tcPr>
          <w:p>
            <w:pPr>
              <w:jc w:val="right"/>
              <w:ind w:right="876"/>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80" w:type="dxa"/>
            <w:vAlign w:val="bottom"/>
          </w:tcPr>
          <w:p>
            <w:pPr>
              <w:spacing w:after="0"/>
              <w:rPr>
                <w:sz w:val="19"/>
                <w:szCs w:val="19"/>
                <w:color w:val="auto"/>
              </w:rPr>
            </w:pPr>
          </w:p>
        </w:tc>
        <w:tc>
          <w:tcPr>
            <w:tcW w:w="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100" w:type="dxa"/>
            <w:vAlign w:val="bottom"/>
          </w:tcPr>
          <w:p>
            <w:pPr>
              <w:spacing w:after="0"/>
              <w:rPr>
                <w:sz w:val="19"/>
                <w:szCs w:val="19"/>
                <w:color w:val="auto"/>
              </w:rPr>
            </w:pPr>
          </w:p>
        </w:tc>
        <w:tc>
          <w:tcPr>
            <w:tcW w:w="920" w:type="dxa"/>
            <w:vAlign w:val="bottom"/>
          </w:tcPr>
          <w:p>
            <w:pPr>
              <w:jc w:val="right"/>
              <w:ind w:right="719"/>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w:t>
            </w:r>
          </w:p>
        </w:tc>
      </w:tr>
      <w:tr>
        <w:trPr>
          <w:trHeight w:val="230"/>
        </w:trPr>
        <w:tc>
          <w:tcPr>
            <w:tcW w:w="51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Interest expense</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2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56</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30"/>
        </w:trPr>
        <w:tc>
          <w:tcPr>
            <w:tcW w:w="5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Operating lease cost</w:t>
            </w: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717</w:t>
            </w:r>
          </w:p>
        </w:tc>
        <w:tc>
          <w:tcPr>
            <w:tcW w:w="100" w:type="dxa"/>
            <w:vAlign w:val="bottom"/>
            <w:tcBorders>
              <w:bottom w:val="single" w:sz="8" w:color="CCEEFF"/>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839</w:t>
            </w: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rPr>
              <w:t>1,287</w:t>
            </w:r>
          </w:p>
        </w:tc>
        <w:tc>
          <w:tcPr>
            <w:tcW w:w="100" w:type="dxa"/>
            <w:vAlign w:val="bottom"/>
            <w:tcBorders>
              <w:bottom w:val="single" w:sz="8" w:color="CCEEFF"/>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1,667</w:t>
            </w:r>
          </w:p>
        </w:tc>
      </w:tr>
      <w:tr>
        <w:trPr>
          <w:trHeight w:val="223"/>
        </w:trPr>
        <w:tc>
          <w:tcPr>
            <w:tcW w:w="51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lease cost</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816</w:t>
            </w:r>
          </w:p>
        </w:tc>
        <w:tc>
          <w:tcPr>
            <w:tcW w:w="100" w:type="dxa"/>
            <w:vAlign w:val="bottom"/>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876"/>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905</w:t>
            </w:r>
          </w:p>
        </w:tc>
        <w:tc>
          <w:tcPr>
            <w:tcW w:w="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1,486</w:t>
            </w:r>
          </w:p>
        </w:tc>
        <w:tc>
          <w:tcPr>
            <w:tcW w:w="100" w:type="dxa"/>
            <w:vAlign w:val="bottom"/>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719"/>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1,799</w:t>
            </w:r>
          </w:p>
        </w:tc>
      </w:tr>
    </w:tbl>
    <w:p>
      <w:pPr>
        <w:spacing w:after="0" w:line="225"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The Company’s future undiscounted lease payments for finance and operating leases with initial terms of one year or more as of June 30, 2024, are as follows (in thousands):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600" w:type="dxa"/>
            <w:vAlign w:val="bottom"/>
          </w:tcPr>
          <w:p>
            <w:pPr>
              <w:spacing w:after="0"/>
              <w:rPr>
                <w:sz w:val="16"/>
                <w:szCs w:val="16"/>
                <w:color w:val="auto"/>
              </w:rPr>
            </w:pPr>
          </w:p>
        </w:tc>
        <w:tc>
          <w:tcPr>
            <w:tcW w:w="3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Operating Leases</w:t>
            </w:r>
          </w:p>
        </w:tc>
        <w:tc>
          <w:tcPr>
            <w:tcW w:w="180" w:type="dxa"/>
            <w:vAlign w:val="bottom"/>
          </w:tcPr>
          <w:p>
            <w:pPr>
              <w:spacing w:after="0"/>
              <w:rPr>
                <w:sz w:val="16"/>
                <w:szCs w:val="16"/>
                <w:color w:val="auto"/>
              </w:rPr>
            </w:pPr>
          </w:p>
        </w:tc>
        <w:tc>
          <w:tcPr>
            <w:tcW w:w="1300" w:type="dxa"/>
            <w:vAlign w:val="bottom"/>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Finance Leases</w:t>
            </w:r>
          </w:p>
        </w:tc>
      </w:tr>
      <w:tr>
        <w:trPr>
          <w:trHeight w:val="23"/>
        </w:trPr>
        <w:tc>
          <w:tcPr>
            <w:tcW w:w="4600" w:type="dxa"/>
            <w:vAlign w:val="bottom"/>
            <w:tcBorders>
              <w:bottom w:val="single" w:sz="8" w:color="CCEEFF"/>
            </w:tcBorders>
          </w:tcPr>
          <w:p>
            <w:pPr>
              <w:spacing w:after="0"/>
              <w:rPr>
                <w:sz w:val="2"/>
                <w:szCs w:val="2"/>
                <w:color w:val="auto"/>
              </w:rPr>
            </w:pPr>
          </w:p>
        </w:tc>
        <w:tc>
          <w:tcPr>
            <w:tcW w:w="35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23"/>
        </w:trPr>
        <w:tc>
          <w:tcPr>
            <w:tcW w:w="4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Remaining six months ending, December 31, 2024</w:t>
            </w:r>
          </w:p>
        </w:tc>
        <w:tc>
          <w:tcPr>
            <w:tcW w:w="35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w:t>
            </w:r>
          </w:p>
        </w:tc>
      </w:tr>
      <w:tr>
        <w:trPr>
          <w:trHeight w:val="230"/>
        </w:trPr>
        <w:tc>
          <w:tcPr>
            <w:tcW w:w="4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3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w:t>
            </w:r>
          </w:p>
        </w:tc>
      </w:tr>
      <w:tr>
        <w:trPr>
          <w:trHeight w:val="230"/>
        </w:trPr>
        <w:tc>
          <w:tcPr>
            <w:tcW w:w="4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35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w:t>
            </w:r>
          </w:p>
        </w:tc>
      </w:tr>
      <w:tr>
        <w:trPr>
          <w:trHeight w:val="230"/>
        </w:trPr>
        <w:tc>
          <w:tcPr>
            <w:tcW w:w="4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3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w:t>
            </w:r>
          </w:p>
        </w:tc>
      </w:tr>
      <w:tr>
        <w:trPr>
          <w:trHeight w:val="229"/>
        </w:trPr>
        <w:tc>
          <w:tcPr>
            <w:tcW w:w="4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35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w:t>
            </w:r>
          </w:p>
        </w:tc>
      </w:tr>
      <w:tr>
        <w:trPr>
          <w:trHeight w:val="230"/>
        </w:trPr>
        <w:tc>
          <w:tcPr>
            <w:tcW w:w="4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35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6,543</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2,810</w:t>
            </w:r>
          </w:p>
        </w:tc>
      </w:tr>
      <w:tr>
        <w:trPr>
          <w:trHeight w:val="223"/>
        </w:trPr>
        <w:tc>
          <w:tcPr>
            <w:tcW w:w="4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undiscounted lease payments</w:t>
            </w:r>
          </w:p>
        </w:tc>
        <w:tc>
          <w:tcPr>
            <w:tcW w:w="35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18,627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4,528</w:t>
            </w:r>
          </w:p>
        </w:tc>
      </w:tr>
      <w:tr>
        <w:trPr>
          <w:trHeight w:val="230"/>
        </w:trPr>
        <w:tc>
          <w:tcPr>
            <w:tcW w:w="4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discount</w:t>
            </w:r>
          </w:p>
        </w:tc>
        <w:tc>
          <w:tcPr>
            <w:tcW w:w="35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(3,533)</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(799)</w:t>
            </w:r>
          </w:p>
        </w:tc>
      </w:tr>
      <w:tr>
        <w:trPr>
          <w:trHeight w:val="223"/>
        </w:trPr>
        <w:tc>
          <w:tcPr>
            <w:tcW w:w="4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lease liabilities</w:t>
            </w:r>
          </w:p>
        </w:tc>
        <w:tc>
          <w:tcPr>
            <w:tcW w:w="35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15,094</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3,729</w:t>
            </w:r>
          </w:p>
        </w:tc>
      </w:tr>
      <w:tr>
        <w:trPr>
          <w:trHeight w:val="898"/>
        </w:trPr>
        <w:tc>
          <w:tcPr>
            <w:tcW w:w="4600" w:type="dxa"/>
            <w:vAlign w:val="bottom"/>
          </w:tcPr>
          <w:p>
            <w:pPr>
              <w:spacing w:after="0"/>
              <w:rPr>
                <w:sz w:val="24"/>
                <w:szCs w:val="24"/>
                <w:color w:val="auto"/>
              </w:rPr>
            </w:pPr>
          </w:p>
        </w:tc>
        <w:tc>
          <w:tcPr>
            <w:tcW w:w="3580" w:type="dxa"/>
            <w:vAlign w:val="bottom"/>
          </w:tcPr>
          <w:p>
            <w:pPr>
              <w:jc w:val="right"/>
              <w:ind w:right="2370"/>
              <w:spacing w:after="0"/>
              <w:rPr>
                <w:sz w:val="20"/>
                <w:szCs w:val="20"/>
                <w:color w:val="auto"/>
              </w:rPr>
            </w:pPr>
            <w:r>
              <w:rPr>
                <w:rFonts w:ascii="Times New Roman" w:cs="Times New Roman" w:eastAsia="Times New Roman" w:hAnsi="Times New Roman"/>
                <w:sz w:val="18"/>
                <w:szCs w:val="18"/>
                <w:color w:val="auto"/>
              </w:rPr>
              <w:t>26</w:t>
            </w: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77"/>
        </w:trPr>
        <w:tc>
          <w:tcPr>
            <w:tcW w:w="4600" w:type="dxa"/>
            <w:vAlign w:val="bottom"/>
            <w:tcBorders>
              <w:bottom w:val="single" w:sz="8" w:color="9A9A9A"/>
            </w:tcBorders>
          </w:tcPr>
          <w:p>
            <w:pPr>
              <w:spacing w:after="0"/>
              <w:rPr>
                <w:sz w:val="24"/>
                <w:szCs w:val="24"/>
                <w:color w:val="auto"/>
              </w:rPr>
            </w:pPr>
          </w:p>
        </w:tc>
        <w:tc>
          <w:tcPr>
            <w:tcW w:w="35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3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3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Leased Property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additional information about the Company’s leases as of June 30, 2024, and December 31, 2023.</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5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Supplemental lease information (dollars in thousands)</w:t>
            </w:r>
          </w:p>
        </w:tc>
        <w:tc>
          <w:tcPr>
            <w:tcW w:w="300" w:type="dxa"/>
            <w:vAlign w:val="bottom"/>
          </w:tcPr>
          <w:p>
            <w:pPr>
              <w:spacing w:after="0"/>
              <w:rPr>
                <w:sz w:val="16"/>
                <w:szCs w:val="16"/>
                <w:color w:val="auto"/>
              </w:rPr>
            </w:pPr>
          </w:p>
        </w:tc>
        <w:tc>
          <w:tcPr>
            <w:tcW w:w="162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200" w:type="dxa"/>
            <w:vAlign w:val="bottom"/>
          </w:tcPr>
          <w:p>
            <w:pPr>
              <w:spacing w:after="0"/>
              <w:rPr>
                <w:sz w:val="16"/>
                <w:szCs w:val="16"/>
                <w:color w:val="auto"/>
              </w:rPr>
            </w:pPr>
          </w:p>
        </w:tc>
        <w:tc>
          <w:tcPr>
            <w:tcW w:w="1600" w:type="dxa"/>
            <w:vAlign w:val="bottom"/>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23"/>
        </w:trPr>
        <w:tc>
          <w:tcPr>
            <w:tcW w:w="74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23"/>
        </w:trPr>
        <w:tc>
          <w:tcPr>
            <w:tcW w:w="7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Finance lease weighted average remaining lease term (years)</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12.66</w:t>
            </w:r>
          </w:p>
        </w:tc>
      </w:tr>
      <w:tr>
        <w:trPr>
          <w:trHeight w:val="229"/>
        </w:trPr>
        <w:tc>
          <w:tcPr>
            <w:tcW w:w="75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Finance lease weighted average discount rate</w:t>
            </w:r>
          </w:p>
        </w:tc>
        <w:tc>
          <w:tcPr>
            <w:tcW w:w="3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3.06 %</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2.96 %</w:t>
            </w:r>
          </w:p>
        </w:tc>
      </w:tr>
      <w:tr>
        <w:trPr>
          <w:trHeight w:val="230"/>
        </w:trPr>
        <w:tc>
          <w:tcPr>
            <w:tcW w:w="75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weighted average remaining lease term (years)</w:t>
            </w:r>
          </w:p>
        </w:tc>
        <w:tc>
          <w:tcPr>
            <w:tcW w:w="3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w:t>
            </w:r>
          </w:p>
        </w:tc>
      </w:tr>
      <w:tr>
        <w:trPr>
          <w:trHeight w:val="229"/>
        </w:trPr>
        <w:tc>
          <w:tcPr>
            <w:tcW w:w="75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Operating lease weighted average discount rate</w:t>
            </w:r>
          </w:p>
        </w:tc>
        <w:tc>
          <w:tcPr>
            <w:tcW w:w="3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4.59 %</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3.33 %</w:t>
            </w:r>
          </w:p>
        </w:tc>
      </w:tr>
      <w:tr>
        <w:trPr>
          <w:trHeight w:val="270"/>
        </w:trPr>
        <w:tc>
          <w:tcPr>
            <w:tcW w:w="74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520" w:type="dxa"/>
            <w:vAlign w:val="bottom"/>
            <w:shd w:val="clear" w:color="auto" w:fill="CCEEFF"/>
          </w:tcPr>
          <w:p>
            <w:pPr>
              <w:spacing w:after="0"/>
              <w:rPr>
                <w:sz w:val="23"/>
                <w:szCs w:val="23"/>
                <w:color w:val="auto"/>
              </w:rPr>
            </w:pPr>
          </w:p>
        </w:tc>
        <w:tc>
          <w:tcPr>
            <w:tcW w:w="1900" w:type="dxa"/>
            <w:vAlign w:val="bottom"/>
            <w:gridSpan w:val="3"/>
            <w:shd w:val="clear" w:color="auto" w:fill="CCEEFF"/>
          </w:tcPr>
          <w:p>
            <w:pPr>
              <w:spacing w:after="0"/>
              <w:rPr>
                <w:sz w:val="23"/>
                <w:szCs w:val="23"/>
                <w:color w:val="auto"/>
              </w:rPr>
            </w:pPr>
          </w:p>
        </w:tc>
      </w:tr>
      <w:tr>
        <w:trPr>
          <w:trHeight w:val="196"/>
        </w:trPr>
        <w:tc>
          <w:tcPr>
            <w:tcW w:w="7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420" w:type="dxa"/>
            <w:vAlign w:val="bottom"/>
            <w:gridSpan w:val="4"/>
          </w:tcPr>
          <w:p>
            <w:pPr>
              <w:jc w:val="right"/>
              <w:ind w:right="933"/>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236"/>
        </w:trPr>
        <w:tc>
          <w:tcPr>
            <w:tcW w:w="75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paid for amounts included in the measurement of lease liabilities</w:t>
            </w:r>
          </w:p>
        </w:tc>
        <w:tc>
          <w:tcPr>
            <w:tcW w:w="300" w:type="dxa"/>
            <w:vAlign w:val="bottom"/>
            <w:tcBorders>
              <w:bottom w:val="single" w:sz="8" w:color="auto"/>
            </w:tcBorders>
            <w:shd w:val="clear" w:color="auto" w:fill="CCEEFF"/>
          </w:tcPr>
          <w:p>
            <w:pPr>
              <w:spacing w:after="0"/>
              <w:rPr>
                <w:sz w:val="20"/>
                <w:szCs w:val="20"/>
                <w:color w:val="auto"/>
              </w:rPr>
            </w:pPr>
          </w:p>
        </w:tc>
        <w:tc>
          <w:tcPr>
            <w:tcW w:w="1520" w:type="dxa"/>
            <w:vAlign w:val="bottom"/>
            <w:tcBorders>
              <w:bottom w:val="single" w:sz="8" w:color="auto"/>
            </w:tcBorders>
            <w:shd w:val="clear" w:color="auto" w:fill="CCEEFF"/>
          </w:tcPr>
          <w:p>
            <w:pPr>
              <w:jc w:val="right"/>
              <w:ind w:right="67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1600" w:type="dxa"/>
            <w:vAlign w:val="bottom"/>
            <w:tcBorders>
              <w:bottom w:val="single" w:sz="8" w:color="auto"/>
            </w:tcBorders>
            <w:shd w:val="clear" w:color="auto" w:fill="CCEEFF"/>
          </w:tcPr>
          <w:p>
            <w:pPr>
              <w:jc w:val="right"/>
              <w:ind w:right="673"/>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3"/>
        </w:trPr>
        <w:tc>
          <w:tcPr>
            <w:tcW w:w="752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Operating cash flows from operating leases</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1,350</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1,739</w:t>
            </w:r>
          </w:p>
        </w:tc>
      </w:tr>
      <w:tr>
        <w:trPr>
          <w:trHeight w:val="229"/>
        </w:trPr>
        <w:tc>
          <w:tcPr>
            <w:tcW w:w="752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Operating cash flows from finance leases</w:t>
            </w:r>
          </w:p>
        </w:tc>
        <w:tc>
          <w:tcPr>
            <w:tcW w:w="300" w:type="dxa"/>
            <w:vAlign w:val="bottom"/>
            <w:shd w:val="clear" w:color="auto" w:fill="CCEEFF"/>
          </w:tcPr>
          <w:p>
            <w:pPr>
              <w:spacing w:after="0"/>
              <w:rPr>
                <w:sz w:val="19"/>
                <w:szCs w:val="19"/>
                <w:color w:val="auto"/>
              </w:rPr>
            </w:pPr>
          </w:p>
        </w:tc>
        <w:tc>
          <w:tcPr>
            <w:tcW w:w="152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56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0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30</w:t>
            </w:r>
          </w:p>
        </w:tc>
      </w:tr>
      <w:tr>
        <w:trPr>
          <w:trHeight w:val="230"/>
        </w:trPr>
        <w:tc>
          <w:tcPr>
            <w:tcW w:w="752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Financing cash flows from finance leases</w:t>
            </w:r>
          </w:p>
        </w:tc>
        <w:tc>
          <w:tcPr>
            <w:tcW w:w="300" w:type="dxa"/>
            <w:vAlign w:val="bottom"/>
          </w:tcPr>
          <w:p>
            <w:pPr>
              <w:spacing w:after="0"/>
              <w:rPr>
                <w:sz w:val="19"/>
                <w:szCs w:val="19"/>
                <w:color w:val="auto"/>
              </w:rPr>
            </w:pPr>
          </w:p>
        </w:tc>
        <w:tc>
          <w:tcPr>
            <w:tcW w:w="152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107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80</w:t>
            </w:r>
          </w:p>
        </w:tc>
      </w:tr>
      <w:tr>
        <w:trPr>
          <w:trHeight w:val="229"/>
        </w:trPr>
        <w:tc>
          <w:tcPr>
            <w:tcW w:w="75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Right-of-use assets obtained in exchange for new finance lease liabilities</w:t>
            </w:r>
          </w:p>
        </w:tc>
        <w:tc>
          <w:tcPr>
            <w:tcW w:w="300" w:type="dxa"/>
            <w:vAlign w:val="bottom"/>
            <w:shd w:val="clear" w:color="auto" w:fill="CCEEFF"/>
          </w:tcPr>
          <w:p>
            <w:pPr>
              <w:spacing w:after="0"/>
              <w:rPr>
                <w:sz w:val="19"/>
                <w:szCs w:val="19"/>
                <w:color w:val="auto"/>
              </w:rPr>
            </w:pPr>
          </w:p>
        </w:tc>
        <w:tc>
          <w:tcPr>
            <w:tcW w:w="16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60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75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Right-of-use assets obtained in exchange for new operating lease liabilities</w:t>
            </w:r>
          </w:p>
        </w:tc>
        <w:tc>
          <w:tcPr>
            <w:tcW w:w="300" w:type="dxa"/>
            <w:vAlign w:val="bottom"/>
          </w:tcPr>
          <w:p>
            <w:pPr>
              <w:spacing w:after="0"/>
              <w:rPr>
                <w:sz w:val="20"/>
                <w:szCs w:val="20"/>
                <w:color w:val="auto"/>
              </w:rPr>
            </w:pPr>
          </w:p>
        </w:tc>
        <w:tc>
          <w:tcPr>
            <w:tcW w:w="152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10,362</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w:t>
            </w:r>
          </w:p>
        </w:tc>
      </w:tr>
    </w:tbl>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Regulatory Capital Matters</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Banks and financial holding companies are subject to regulatory capital requirements administered by federal banking agencies. Capital adequacy guidelines and, additionally for banks, “prompt corrective action” regulations involve quantitative measures of assets, liabilities, and certain off-balance sheet items calculated under regulatory accounting practices. Capital amounts and classifications are also subject to qualitative judgments by regulators. Failure to meet capital requirements can initiate regulatory action. The net unrealized gain or loss on AFS securities is not included in computing regulatory capital. Management believes as of June 30, 2024, the Company and the Bank meet all capital adequacy requirements to which they are subject.</w:t>
      </w:r>
    </w:p>
    <w:p>
      <w:pPr>
        <w:spacing w:after="0" w:line="1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“Prompt corrective action” regulations provide five classifications: “well capitalized”, “adequately capitalized”, “undercapitalized”, “significantly undercapitalized”, and “critically undercapitalized”, although these terms are not used to represent overall financial condition. If “adequately capitalized”, regulatory approval is required to accept brokered deposits. If “undercapitalized”, capital distributions are limited, as is asset growth and expansion, and capital restoration plans are required. As of June 30, 2024, and December 31, 2023, the most recent notification from the FDIC categorized the Bank as “well capitalized” under the regulatory framework for “prompt corrective action”.</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Regulatory Capital Matters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actual and required capital amounts and ratios for the Company and the Bank at June 30, 2024, and December 31, 2023 (in thousands except for ratios):</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60" w:type="dxa"/>
            <w:vAlign w:val="bottom"/>
            <w:gridSpan w:val="3"/>
            <w:vMerge w:val="restart"/>
          </w:tcPr>
          <w:p>
            <w:pPr>
              <w:ind w:left="900"/>
              <w:spacing w:after="0"/>
              <w:rPr>
                <w:sz w:val="20"/>
                <w:szCs w:val="20"/>
                <w:color w:val="auto"/>
              </w:rPr>
            </w:pPr>
            <w:r>
              <w:rPr>
                <w:rFonts w:ascii="Times New Roman" w:cs="Times New Roman" w:eastAsia="Times New Roman" w:hAnsi="Times New Roman"/>
                <w:sz w:val="14"/>
                <w:szCs w:val="14"/>
                <w:b w:val="1"/>
                <w:bCs w:val="1"/>
                <w:color w:val="auto"/>
              </w:rPr>
              <w:t>Actual</w:t>
            </w: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20" w:type="dxa"/>
            <w:vAlign w:val="bottom"/>
            <w:gridSpan w:val="5"/>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Minimum Required Capital - Basel III</w:t>
            </w:r>
          </w:p>
        </w:tc>
        <w:tc>
          <w:tcPr>
            <w:tcW w:w="220" w:type="dxa"/>
            <w:vAlign w:val="bottom"/>
          </w:tcPr>
          <w:p>
            <w:pPr>
              <w:spacing w:after="0"/>
              <w:rPr>
                <w:sz w:val="13"/>
                <w:szCs w:val="13"/>
                <w:color w:val="auto"/>
              </w:rPr>
            </w:pPr>
          </w:p>
        </w:tc>
        <w:tc>
          <w:tcPr>
            <w:tcW w:w="2320" w:type="dxa"/>
            <w:vAlign w:val="bottom"/>
            <w:gridSpan w:val="4"/>
          </w:tcPr>
          <w:p>
            <w:pPr>
              <w:jc w:val="center"/>
              <w:ind w:right="148"/>
              <w:spacing w:after="0"/>
              <w:rPr>
                <w:sz w:val="20"/>
                <w:szCs w:val="20"/>
                <w:color w:val="auto"/>
              </w:rPr>
            </w:pPr>
            <w:r>
              <w:rPr>
                <w:rFonts w:ascii="Times New Roman" w:cs="Times New Roman" w:eastAsia="Times New Roman" w:hAnsi="Times New Roman"/>
                <w:sz w:val="14"/>
                <w:szCs w:val="14"/>
                <w:b w:val="1"/>
                <w:bCs w:val="1"/>
                <w:color w:val="auto"/>
              </w:rPr>
              <w:t>Minimum Required to be Well</w:t>
            </w:r>
          </w:p>
        </w:tc>
        <w:tc>
          <w:tcPr>
            <w:tcW w:w="0" w:type="dxa"/>
            <w:vAlign w:val="bottom"/>
          </w:tcPr>
          <w:p>
            <w:pPr>
              <w:spacing w:after="0"/>
              <w:rPr>
                <w:sz w:val="1"/>
                <w:szCs w:val="1"/>
                <w:color w:val="auto"/>
              </w:rPr>
            </w:pPr>
          </w:p>
        </w:tc>
      </w:tr>
      <w:tr>
        <w:trPr>
          <w:trHeight w:val="195"/>
        </w:trPr>
        <w:tc>
          <w:tcPr>
            <w:tcW w:w="3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60" w:type="dxa"/>
            <w:vAlign w:val="bottom"/>
            <w:gridSpan w:val="3"/>
            <w:vMerge w:val="continue"/>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20" w:type="dxa"/>
            <w:vAlign w:val="bottom"/>
            <w:gridSpan w:val="5"/>
            <w:vMerge w:val="continue"/>
          </w:tcPr>
          <w:p>
            <w:pPr>
              <w:spacing w:after="0"/>
              <w:rPr>
                <w:sz w:val="16"/>
                <w:szCs w:val="16"/>
                <w:color w:val="auto"/>
              </w:rPr>
            </w:pPr>
          </w:p>
        </w:tc>
        <w:tc>
          <w:tcPr>
            <w:tcW w:w="220" w:type="dxa"/>
            <w:vAlign w:val="bottom"/>
          </w:tcPr>
          <w:p>
            <w:pPr>
              <w:spacing w:after="0"/>
              <w:rPr>
                <w:sz w:val="16"/>
                <w:szCs w:val="16"/>
                <w:color w:val="auto"/>
              </w:rPr>
            </w:pPr>
          </w:p>
        </w:tc>
        <w:tc>
          <w:tcPr>
            <w:tcW w:w="1480" w:type="dxa"/>
            <w:vAlign w:val="bottom"/>
            <w:gridSpan w:val="3"/>
          </w:tcPr>
          <w:p>
            <w:pPr>
              <w:jc w:val="center"/>
              <w:ind w:left="548"/>
              <w:spacing w:after="0"/>
              <w:rPr>
                <w:sz w:val="20"/>
                <w:szCs w:val="20"/>
                <w:color w:val="auto"/>
              </w:rPr>
            </w:pPr>
            <w:r>
              <w:rPr>
                <w:rFonts w:ascii="Times New Roman" w:cs="Times New Roman" w:eastAsia="Times New Roman" w:hAnsi="Times New Roman"/>
                <w:sz w:val="14"/>
                <w:szCs w:val="14"/>
                <w:b w:val="1"/>
                <w:bCs w:val="1"/>
                <w:color w:val="auto"/>
              </w:rPr>
              <w:t>Capitalized</w:t>
            </w: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3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460" w:type="dxa"/>
            <w:vAlign w:val="bottom"/>
            <w:tcBorders>
              <w:top w:val="single" w:sz="8" w:color="auto"/>
            </w:tcBorders>
            <w:gridSpan w:val="3"/>
          </w:tcPr>
          <w:p>
            <w:pPr>
              <w:ind w:left="1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960" w:type="dxa"/>
            <w:vAlign w:val="bottom"/>
            <w:tcBorders>
              <w:top w:val="single" w:sz="8" w:color="auto"/>
            </w:tcBorders>
          </w:tcPr>
          <w:p>
            <w:pPr>
              <w:jc w:val="right"/>
              <w:ind w:right="428"/>
              <w:spacing w:after="0"/>
              <w:rPr>
                <w:sz w:val="20"/>
                <w:szCs w:val="20"/>
                <w:color w:val="auto"/>
              </w:rPr>
            </w:pPr>
            <w:r>
              <w:rPr>
                <w:rFonts w:ascii="Times New Roman" w:cs="Times New Roman" w:eastAsia="Times New Roman" w:hAnsi="Times New Roman"/>
                <w:sz w:val="14"/>
                <w:szCs w:val="14"/>
                <w:b w:val="1"/>
                <w:bCs w:val="1"/>
                <w:color w:val="auto"/>
              </w:rPr>
              <w:t>Ratio</w:t>
            </w:r>
          </w:p>
        </w:tc>
        <w:tc>
          <w:tcPr>
            <w:tcW w:w="10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0" w:type="dxa"/>
            <w:vAlign w:val="bottom"/>
            <w:tcBorders>
              <w:top w:val="single" w:sz="8" w:color="auto"/>
            </w:tcBorders>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rPr>
              <w:t>Ratio</w:t>
            </w:r>
          </w:p>
        </w:tc>
        <w:tc>
          <w:tcPr>
            <w:tcW w:w="10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480" w:type="dxa"/>
            <w:vAlign w:val="bottom"/>
            <w:tcBorders>
              <w:top w:val="single" w:sz="8" w:color="auto"/>
            </w:tcBorders>
            <w:gridSpan w:val="3"/>
          </w:tcPr>
          <w:p>
            <w:pPr>
              <w:ind w:left="1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40" w:type="dxa"/>
            <w:vAlign w:val="bottom"/>
            <w:tcBorders>
              <w:top w:val="single" w:sz="8" w:color="auto"/>
            </w:tcBorders>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rPr>
              <w:t>Ratio</w:t>
            </w:r>
          </w:p>
        </w:tc>
        <w:tc>
          <w:tcPr>
            <w:tcW w:w="0" w:type="dxa"/>
            <w:vAlign w:val="bottom"/>
          </w:tcPr>
          <w:p>
            <w:pPr>
              <w:spacing w:after="0"/>
              <w:rPr>
                <w:sz w:val="1"/>
                <w:szCs w:val="1"/>
                <w:color w:val="auto"/>
              </w:rPr>
            </w:pPr>
          </w:p>
        </w:tc>
      </w:tr>
      <w:tr>
        <w:trPr>
          <w:trHeight w:val="183"/>
        </w:trPr>
        <w:tc>
          <w:tcPr>
            <w:tcW w:w="3240" w:type="dxa"/>
            <w:vAlign w:val="bottom"/>
            <w:tcBorders>
              <w:top w:val="single" w:sz="8" w:color="CCEEFF"/>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As of June 30, 2024</w:t>
            </w:r>
          </w:p>
        </w:tc>
        <w:tc>
          <w:tcPr>
            <w:tcW w:w="10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10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360" w:type="dxa"/>
            <w:vAlign w:val="bottom"/>
            <w:tcBorders>
              <w:top w:val="single" w:sz="8" w:color="auto"/>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10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2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102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380" w:type="dxa"/>
            <w:vAlign w:val="bottom"/>
            <w:tcBorders>
              <w:top w:val="single" w:sz="8" w:color="auto"/>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3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Capital to risk weighted assets</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324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Consolidated</w:t>
            </w:r>
          </w:p>
        </w:tc>
        <w:tc>
          <w:tcPr>
            <w:tcW w:w="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889,854</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13.91 %</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671,804</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 10.5%</w:t>
            </w:r>
          </w:p>
        </w:tc>
        <w:tc>
          <w:tcPr>
            <w:tcW w:w="2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639,813</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N/A</w:t>
            </w:r>
          </w:p>
        </w:tc>
        <w:tc>
          <w:tcPr>
            <w:tcW w:w="0" w:type="dxa"/>
            <w:vAlign w:val="bottom"/>
          </w:tcPr>
          <w:p>
            <w:pPr>
              <w:spacing w:after="0"/>
              <w:rPr>
                <w:sz w:val="1"/>
                <w:szCs w:val="1"/>
                <w:color w:val="auto"/>
              </w:rPr>
            </w:pPr>
          </w:p>
        </w:tc>
      </w:tr>
      <w:tr>
        <w:trPr>
          <w:trHeight w:val="195"/>
        </w:trPr>
        <w:tc>
          <w:tcPr>
            <w:tcW w:w="324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Burke &amp; Herbert Bank &amp; Trust</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864,853</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13.53</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671,181</w:t>
            </w:r>
          </w:p>
        </w:tc>
        <w:tc>
          <w:tcPr>
            <w:tcW w:w="100" w:type="dxa"/>
            <w:vAlign w:val="bottom"/>
          </w:tcPr>
          <w:p>
            <w:pPr>
              <w:spacing w:after="0"/>
              <w:rPr>
                <w:sz w:val="16"/>
                <w:szCs w:val="16"/>
                <w:color w:val="auto"/>
              </w:rPr>
            </w:pP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 10.5</w:t>
            </w:r>
          </w:p>
        </w:tc>
        <w:tc>
          <w:tcPr>
            <w:tcW w:w="220" w:type="dxa"/>
            <w:vAlign w:val="bottom"/>
          </w:tcPr>
          <w:p>
            <w:pPr>
              <w:spacing w:after="0"/>
              <w:rPr>
                <w:sz w:val="16"/>
                <w:szCs w:val="16"/>
                <w:color w:val="auto"/>
              </w:rPr>
            </w:pPr>
          </w:p>
        </w:tc>
        <w:tc>
          <w:tcPr>
            <w:tcW w:w="10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639,220</w:t>
            </w: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10.0</w:t>
            </w:r>
          </w:p>
        </w:tc>
        <w:tc>
          <w:tcPr>
            <w:tcW w:w="0" w:type="dxa"/>
            <w:vAlign w:val="bottom"/>
          </w:tcPr>
          <w:p>
            <w:pPr>
              <w:spacing w:after="0"/>
              <w:rPr>
                <w:sz w:val="1"/>
                <w:szCs w:val="1"/>
                <w:color w:val="auto"/>
              </w:rPr>
            </w:pPr>
          </w:p>
        </w:tc>
      </w:tr>
      <w:tr>
        <w:trPr>
          <w:trHeight w:val="210"/>
        </w:trPr>
        <w:tc>
          <w:tcPr>
            <w:tcW w:w="3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Tier 1 (Core) Capital to risk weighted assets</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324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Consolidated</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725,595</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11.34</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543,841</w:t>
            </w:r>
          </w:p>
        </w:tc>
        <w:tc>
          <w:tcPr>
            <w:tcW w:w="100" w:type="dxa"/>
            <w:vAlign w:val="bottom"/>
          </w:tcPr>
          <w:p>
            <w:pPr>
              <w:spacing w:after="0"/>
              <w:rPr>
                <w:sz w:val="16"/>
                <w:szCs w:val="16"/>
                <w:color w:val="auto"/>
              </w:rPr>
            </w:pP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 8.5</w:t>
            </w:r>
          </w:p>
        </w:tc>
        <w:tc>
          <w:tcPr>
            <w:tcW w:w="220" w:type="dxa"/>
            <w:vAlign w:val="bottom"/>
          </w:tcPr>
          <w:p>
            <w:pPr>
              <w:spacing w:after="0"/>
              <w:rPr>
                <w:sz w:val="16"/>
                <w:szCs w:val="16"/>
                <w:color w:val="auto"/>
              </w:rPr>
            </w:pPr>
          </w:p>
        </w:tc>
        <w:tc>
          <w:tcPr>
            <w:tcW w:w="10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511,850</w:t>
            </w: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N/A</w:t>
            </w:r>
          </w:p>
        </w:tc>
        <w:tc>
          <w:tcPr>
            <w:tcW w:w="0" w:type="dxa"/>
            <w:vAlign w:val="bottom"/>
          </w:tcPr>
          <w:p>
            <w:pPr>
              <w:spacing w:after="0"/>
              <w:rPr>
                <w:sz w:val="1"/>
                <w:szCs w:val="1"/>
                <w:color w:val="auto"/>
              </w:rPr>
            </w:pPr>
          </w:p>
        </w:tc>
      </w:tr>
      <w:tr>
        <w:trPr>
          <w:trHeight w:val="210"/>
        </w:trPr>
        <w:tc>
          <w:tcPr>
            <w:tcW w:w="324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Burke &amp; Herbert Bank &amp; Trust</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792,772</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12.40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543,337</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 8.5</w:t>
            </w: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511,376</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8.0</w:t>
            </w:r>
          </w:p>
        </w:tc>
        <w:tc>
          <w:tcPr>
            <w:tcW w:w="0" w:type="dxa"/>
            <w:vAlign w:val="bottom"/>
          </w:tcPr>
          <w:p>
            <w:pPr>
              <w:spacing w:after="0"/>
              <w:rPr>
                <w:sz w:val="1"/>
                <w:szCs w:val="1"/>
                <w:color w:val="auto"/>
              </w:rPr>
            </w:pPr>
          </w:p>
        </w:tc>
      </w:tr>
      <w:tr>
        <w:trPr>
          <w:trHeight w:val="195"/>
        </w:trPr>
        <w:tc>
          <w:tcPr>
            <w:tcW w:w="3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Common Tier 1 (CET 1) to risk-weighted assets</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324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Consolidated</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698,296</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10.91</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447,869</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 7.0</w:t>
            </w: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415,878</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N/A</w:t>
            </w:r>
          </w:p>
        </w:tc>
        <w:tc>
          <w:tcPr>
            <w:tcW w:w="0" w:type="dxa"/>
            <w:vAlign w:val="bottom"/>
          </w:tcPr>
          <w:p>
            <w:pPr>
              <w:spacing w:after="0"/>
              <w:rPr>
                <w:sz w:val="1"/>
                <w:szCs w:val="1"/>
                <w:color w:val="auto"/>
              </w:rPr>
            </w:pPr>
          </w:p>
        </w:tc>
      </w:tr>
      <w:tr>
        <w:trPr>
          <w:trHeight w:val="195"/>
        </w:trPr>
        <w:tc>
          <w:tcPr>
            <w:tcW w:w="324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Burke &amp; Herbert Bank &amp; Trust</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792,772</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12.40</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447,454</w:t>
            </w:r>
          </w:p>
        </w:tc>
        <w:tc>
          <w:tcPr>
            <w:tcW w:w="100" w:type="dxa"/>
            <w:vAlign w:val="bottom"/>
          </w:tcPr>
          <w:p>
            <w:pPr>
              <w:spacing w:after="0"/>
              <w:rPr>
                <w:sz w:val="16"/>
                <w:szCs w:val="16"/>
                <w:color w:val="auto"/>
              </w:rPr>
            </w:pP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 7.0</w:t>
            </w:r>
          </w:p>
        </w:tc>
        <w:tc>
          <w:tcPr>
            <w:tcW w:w="220" w:type="dxa"/>
            <w:vAlign w:val="bottom"/>
          </w:tcPr>
          <w:p>
            <w:pPr>
              <w:spacing w:after="0"/>
              <w:rPr>
                <w:sz w:val="16"/>
                <w:szCs w:val="16"/>
                <w:color w:val="auto"/>
              </w:rPr>
            </w:pPr>
          </w:p>
        </w:tc>
        <w:tc>
          <w:tcPr>
            <w:tcW w:w="10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415,493</w:t>
            </w: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6.5</w:t>
            </w:r>
          </w:p>
        </w:tc>
        <w:tc>
          <w:tcPr>
            <w:tcW w:w="0" w:type="dxa"/>
            <w:vAlign w:val="bottom"/>
          </w:tcPr>
          <w:p>
            <w:pPr>
              <w:spacing w:after="0"/>
              <w:rPr>
                <w:sz w:val="1"/>
                <w:szCs w:val="1"/>
                <w:color w:val="auto"/>
              </w:rPr>
            </w:pPr>
          </w:p>
        </w:tc>
      </w:tr>
      <w:tr>
        <w:trPr>
          <w:trHeight w:val="210"/>
        </w:trPr>
        <w:tc>
          <w:tcPr>
            <w:tcW w:w="3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Tier 1 (Core) Capital to average assets (leverage ratio)</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324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Consolidated</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725,595</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9.04</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320,911</w:t>
            </w:r>
          </w:p>
        </w:tc>
        <w:tc>
          <w:tcPr>
            <w:tcW w:w="100" w:type="dxa"/>
            <w:vAlign w:val="bottom"/>
          </w:tcPr>
          <w:p>
            <w:pPr>
              <w:spacing w:after="0"/>
              <w:rPr>
                <w:sz w:val="16"/>
                <w:szCs w:val="16"/>
                <w:color w:val="auto"/>
              </w:rPr>
            </w:pP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 4.0</w:t>
            </w:r>
          </w:p>
        </w:tc>
        <w:tc>
          <w:tcPr>
            <w:tcW w:w="220" w:type="dxa"/>
            <w:vAlign w:val="bottom"/>
          </w:tcPr>
          <w:p>
            <w:pPr>
              <w:spacing w:after="0"/>
              <w:rPr>
                <w:sz w:val="16"/>
                <w:szCs w:val="16"/>
                <w:color w:val="auto"/>
              </w:rPr>
            </w:pPr>
          </w:p>
        </w:tc>
        <w:tc>
          <w:tcPr>
            <w:tcW w:w="10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401,139</w:t>
            </w: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N/A</w:t>
            </w:r>
          </w:p>
        </w:tc>
        <w:tc>
          <w:tcPr>
            <w:tcW w:w="0" w:type="dxa"/>
            <w:vAlign w:val="bottom"/>
          </w:tcPr>
          <w:p>
            <w:pPr>
              <w:spacing w:after="0"/>
              <w:rPr>
                <w:sz w:val="1"/>
                <w:szCs w:val="1"/>
                <w:color w:val="auto"/>
              </w:rPr>
            </w:pPr>
          </w:p>
        </w:tc>
      </w:tr>
      <w:tr>
        <w:trPr>
          <w:trHeight w:val="210"/>
        </w:trPr>
        <w:tc>
          <w:tcPr>
            <w:tcW w:w="324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Burke &amp; Herbert Bank &amp; Trust</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792,772</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9.89</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320,638</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 4.0</w:t>
            </w: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400,798</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5.0</w:t>
            </w:r>
          </w:p>
        </w:tc>
        <w:tc>
          <w:tcPr>
            <w:tcW w:w="0" w:type="dxa"/>
            <w:vAlign w:val="bottom"/>
          </w:tcPr>
          <w:p>
            <w:pPr>
              <w:spacing w:after="0"/>
              <w:rPr>
                <w:sz w:val="1"/>
                <w:szCs w:val="1"/>
                <w:color w:val="auto"/>
              </w:rPr>
            </w:pPr>
          </w:p>
        </w:tc>
      </w:tr>
      <w:tr>
        <w:trPr>
          <w:trHeight w:val="270"/>
        </w:trPr>
        <w:tc>
          <w:tcPr>
            <w:tcW w:w="3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96"/>
        </w:trPr>
        <w:tc>
          <w:tcPr>
            <w:tcW w:w="32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As of December 31, 2023</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3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Capital to risk weighted assets</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324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Consolidated</w:t>
            </w:r>
          </w:p>
        </w:tc>
        <w:tc>
          <w:tcPr>
            <w:tcW w:w="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443,799</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17.88 %</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260,694</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 10.5%</w:t>
            </w:r>
          </w:p>
        </w:tc>
        <w:tc>
          <w:tcPr>
            <w:tcW w:w="2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248,280</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N/A</w:t>
            </w:r>
          </w:p>
        </w:tc>
        <w:tc>
          <w:tcPr>
            <w:tcW w:w="0" w:type="dxa"/>
            <w:vAlign w:val="bottom"/>
          </w:tcPr>
          <w:p>
            <w:pPr>
              <w:spacing w:after="0"/>
              <w:rPr>
                <w:sz w:val="1"/>
                <w:szCs w:val="1"/>
                <w:color w:val="auto"/>
              </w:rPr>
            </w:pPr>
          </w:p>
        </w:tc>
      </w:tr>
      <w:tr>
        <w:trPr>
          <w:trHeight w:val="195"/>
        </w:trPr>
        <w:tc>
          <w:tcPr>
            <w:tcW w:w="324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Burke &amp; Herbert Bank &amp; Trust</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442,414</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17.82</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260,626</w:t>
            </w:r>
          </w:p>
        </w:tc>
        <w:tc>
          <w:tcPr>
            <w:tcW w:w="100" w:type="dxa"/>
            <w:vAlign w:val="bottom"/>
          </w:tcPr>
          <w:p>
            <w:pPr>
              <w:spacing w:after="0"/>
              <w:rPr>
                <w:sz w:val="16"/>
                <w:szCs w:val="16"/>
                <w:color w:val="auto"/>
              </w:rPr>
            </w:pP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 10.5</w:t>
            </w:r>
          </w:p>
        </w:tc>
        <w:tc>
          <w:tcPr>
            <w:tcW w:w="220" w:type="dxa"/>
            <w:vAlign w:val="bottom"/>
          </w:tcPr>
          <w:p>
            <w:pPr>
              <w:spacing w:after="0"/>
              <w:rPr>
                <w:sz w:val="16"/>
                <w:szCs w:val="16"/>
                <w:color w:val="auto"/>
              </w:rPr>
            </w:pPr>
          </w:p>
        </w:tc>
        <w:tc>
          <w:tcPr>
            <w:tcW w:w="10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248,215</w:t>
            </w: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10.0</w:t>
            </w:r>
          </w:p>
        </w:tc>
        <w:tc>
          <w:tcPr>
            <w:tcW w:w="0" w:type="dxa"/>
            <w:vAlign w:val="bottom"/>
          </w:tcPr>
          <w:p>
            <w:pPr>
              <w:spacing w:after="0"/>
              <w:rPr>
                <w:sz w:val="1"/>
                <w:szCs w:val="1"/>
                <w:color w:val="auto"/>
              </w:rPr>
            </w:pPr>
          </w:p>
        </w:tc>
      </w:tr>
      <w:tr>
        <w:trPr>
          <w:trHeight w:val="210"/>
        </w:trPr>
        <w:tc>
          <w:tcPr>
            <w:tcW w:w="3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Tier 1 (Core) Capital to risk weighted assets</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324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Consolidated</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418,244</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16.85</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211,038</w:t>
            </w:r>
          </w:p>
        </w:tc>
        <w:tc>
          <w:tcPr>
            <w:tcW w:w="100" w:type="dxa"/>
            <w:vAlign w:val="bottom"/>
          </w:tcPr>
          <w:p>
            <w:pPr>
              <w:spacing w:after="0"/>
              <w:rPr>
                <w:sz w:val="16"/>
                <w:szCs w:val="16"/>
                <w:color w:val="auto"/>
              </w:rPr>
            </w:pP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 8.5</w:t>
            </w:r>
          </w:p>
        </w:tc>
        <w:tc>
          <w:tcPr>
            <w:tcW w:w="220" w:type="dxa"/>
            <w:vAlign w:val="bottom"/>
          </w:tcPr>
          <w:p>
            <w:pPr>
              <w:spacing w:after="0"/>
              <w:rPr>
                <w:sz w:val="16"/>
                <w:szCs w:val="16"/>
                <w:color w:val="auto"/>
              </w:rPr>
            </w:pPr>
          </w:p>
        </w:tc>
        <w:tc>
          <w:tcPr>
            <w:tcW w:w="10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198,624</w:t>
            </w: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N/A</w:t>
            </w:r>
          </w:p>
        </w:tc>
        <w:tc>
          <w:tcPr>
            <w:tcW w:w="0" w:type="dxa"/>
            <w:vAlign w:val="bottom"/>
          </w:tcPr>
          <w:p>
            <w:pPr>
              <w:spacing w:after="0"/>
              <w:rPr>
                <w:sz w:val="1"/>
                <w:szCs w:val="1"/>
                <w:color w:val="auto"/>
              </w:rPr>
            </w:pPr>
          </w:p>
        </w:tc>
      </w:tr>
      <w:tr>
        <w:trPr>
          <w:trHeight w:val="210"/>
        </w:trPr>
        <w:tc>
          <w:tcPr>
            <w:tcW w:w="324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Burke &amp; Herbert Bank &amp; Trust</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416,859</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16.79</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210,983</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 8.5</w:t>
            </w: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198,572</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8.0</w:t>
            </w:r>
          </w:p>
        </w:tc>
        <w:tc>
          <w:tcPr>
            <w:tcW w:w="0" w:type="dxa"/>
            <w:vAlign w:val="bottom"/>
          </w:tcPr>
          <w:p>
            <w:pPr>
              <w:spacing w:after="0"/>
              <w:rPr>
                <w:sz w:val="1"/>
                <w:szCs w:val="1"/>
                <w:color w:val="auto"/>
              </w:rPr>
            </w:pPr>
          </w:p>
        </w:tc>
      </w:tr>
      <w:tr>
        <w:trPr>
          <w:trHeight w:val="195"/>
        </w:trPr>
        <w:tc>
          <w:tcPr>
            <w:tcW w:w="3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Common Tier 1 (CET 1) to risk-weighted assets</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324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Consolidated</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418,244</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16.85</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173,796</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 7.0</w:t>
            </w: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161,382</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N/A</w:t>
            </w:r>
          </w:p>
        </w:tc>
        <w:tc>
          <w:tcPr>
            <w:tcW w:w="0" w:type="dxa"/>
            <w:vAlign w:val="bottom"/>
          </w:tcPr>
          <w:p>
            <w:pPr>
              <w:spacing w:after="0"/>
              <w:rPr>
                <w:sz w:val="1"/>
                <w:szCs w:val="1"/>
                <w:color w:val="auto"/>
              </w:rPr>
            </w:pPr>
          </w:p>
        </w:tc>
      </w:tr>
      <w:tr>
        <w:trPr>
          <w:trHeight w:val="195"/>
        </w:trPr>
        <w:tc>
          <w:tcPr>
            <w:tcW w:w="324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Burke &amp; Herbert Bank &amp; Trust</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416,859</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16.79</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173,751</w:t>
            </w:r>
          </w:p>
        </w:tc>
        <w:tc>
          <w:tcPr>
            <w:tcW w:w="100" w:type="dxa"/>
            <w:vAlign w:val="bottom"/>
          </w:tcPr>
          <w:p>
            <w:pPr>
              <w:spacing w:after="0"/>
              <w:rPr>
                <w:sz w:val="16"/>
                <w:szCs w:val="16"/>
                <w:color w:val="auto"/>
              </w:rPr>
            </w:pP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 7.0</w:t>
            </w:r>
          </w:p>
        </w:tc>
        <w:tc>
          <w:tcPr>
            <w:tcW w:w="220" w:type="dxa"/>
            <w:vAlign w:val="bottom"/>
          </w:tcPr>
          <w:p>
            <w:pPr>
              <w:spacing w:after="0"/>
              <w:rPr>
                <w:sz w:val="16"/>
                <w:szCs w:val="16"/>
                <w:color w:val="auto"/>
              </w:rPr>
            </w:pPr>
          </w:p>
        </w:tc>
        <w:tc>
          <w:tcPr>
            <w:tcW w:w="10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161,340</w:t>
            </w: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6.5</w:t>
            </w:r>
          </w:p>
        </w:tc>
        <w:tc>
          <w:tcPr>
            <w:tcW w:w="0" w:type="dxa"/>
            <w:vAlign w:val="bottom"/>
          </w:tcPr>
          <w:p>
            <w:pPr>
              <w:spacing w:after="0"/>
              <w:rPr>
                <w:sz w:val="1"/>
                <w:szCs w:val="1"/>
                <w:color w:val="auto"/>
              </w:rPr>
            </w:pPr>
          </w:p>
        </w:tc>
      </w:tr>
      <w:tr>
        <w:trPr>
          <w:trHeight w:val="210"/>
        </w:trPr>
        <w:tc>
          <w:tcPr>
            <w:tcW w:w="3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Tier 1 (Core) Capital to average assets (leverage ratio)</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324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Consolidated</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418,244</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11.31</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147,965</w:t>
            </w:r>
          </w:p>
        </w:tc>
        <w:tc>
          <w:tcPr>
            <w:tcW w:w="100" w:type="dxa"/>
            <w:vAlign w:val="bottom"/>
          </w:tcPr>
          <w:p>
            <w:pPr>
              <w:spacing w:after="0"/>
              <w:rPr>
                <w:sz w:val="16"/>
                <w:szCs w:val="16"/>
                <w:color w:val="auto"/>
              </w:rPr>
            </w:pP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 4.0</w:t>
            </w:r>
          </w:p>
        </w:tc>
        <w:tc>
          <w:tcPr>
            <w:tcW w:w="220" w:type="dxa"/>
            <w:vAlign w:val="bottom"/>
          </w:tcPr>
          <w:p>
            <w:pPr>
              <w:spacing w:after="0"/>
              <w:rPr>
                <w:sz w:val="16"/>
                <w:szCs w:val="16"/>
                <w:color w:val="auto"/>
              </w:rPr>
            </w:pPr>
          </w:p>
        </w:tc>
        <w:tc>
          <w:tcPr>
            <w:tcW w:w="10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184,957</w:t>
            </w: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N/A</w:t>
            </w:r>
          </w:p>
        </w:tc>
        <w:tc>
          <w:tcPr>
            <w:tcW w:w="0" w:type="dxa"/>
            <w:vAlign w:val="bottom"/>
          </w:tcPr>
          <w:p>
            <w:pPr>
              <w:spacing w:after="0"/>
              <w:rPr>
                <w:sz w:val="1"/>
                <w:szCs w:val="1"/>
                <w:color w:val="auto"/>
              </w:rPr>
            </w:pPr>
          </w:p>
        </w:tc>
      </w:tr>
      <w:tr>
        <w:trPr>
          <w:trHeight w:val="210"/>
        </w:trPr>
        <w:tc>
          <w:tcPr>
            <w:tcW w:w="324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Burke &amp; Herbert Bank &amp; Trust</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416,859</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11.27</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147,986</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 4.0</w:t>
            </w: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184,982</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5.0</w:t>
            </w:r>
          </w:p>
        </w:tc>
        <w:tc>
          <w:tcPr>
            <w:tcW w:w="0" w:type="dxa"/>
            <w:vAlign w:val="bottom"/>
          </w:tcPr>
          <w:p>
            <w:pPr>
              <w:spacing w:after="0"/>
              <w:rPr>
                <w:sz w:val="1"/>
                <w:szCs w:val="1"/>
                <w:color w:val="auto"/>
              </w:rPr>
            </w:pPr>
          </w:p>
        </w:tc>
      </w:tr>
    </w:tbl>
    <w:p>
      <w:pPr>
        <w:spacing w:after="0" w:line="23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principal source of funds for dividend payments is dividends received from the Bank. Banking regulations limit the amount of dividends that may be paid without prior approval of regulatory agencies. As of June 30, 2024, approximately $193.7 million of retained earnings was available for dividend declaration consistent with the Company’s capital plan.</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Derivatives</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utilizes interest rate swap agreements as part of its asset liability management strategy to help manage its interest rate risk position. The notional amount of the interest rate swaps does not represent amounts exchanged by the parties. The amount exchanged is determined by reference to the notional amount and the other terms of the individual interest rate swap agreements.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 hedges of interest rate risk</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Company’s objective in using interest rate derivatives is to add stability to interest income and to manage its exposure to interest rate movements. To accomplish this objective, the Company primarily uses interest rate swaps, caps, and floors as part of its interest rate risk management strategy. Interest rate swaps designated as cash flow hedges involve the receipt of variable-rate amounts from a counterparty in exchange for the Company making fixed-rate payments over the life of the agreements without exchange of the underlying notional amount. Other interest rate swaps designated as cash flow hedges involve the receipt of fixed-rate amounts from a counterparty in exchange for the Company making variable-rate payments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Derivatives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over the life of the agreements without exchange of the underlying notional amount. During 2024, such derivatives were used to hedge the variable cash flows associated with variable-rate assets.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derivatives designated and that qualify as cash flow hedges of interest rate risk, the gain or loss on the derivative is recorded in AOCI and subsequently reclassified into interest expense or interest income in the same period(s) during which the hedged transaction affects earnings. During the next twelve months, the Company estimates that an additional $2.8 million will be reclassified as a reduction to interest expense.</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Derivatives not designated as hedges</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enters into interest rate swaps with its loan customers to facilitate their financing requests. Upon entering into swaps with our loan customers, the Company will enter into corresponding offsetting derivatives with third parties. These derivatives represent economic hedges and do not qualify as hedges for accounting. These back-to-back interest rate swaps are reported at fair value in “other assets” and “other liabilities” in the Company’s Consolidated Balance Sheets. Changes in the fair value of interest rate swaps are recorded in other non-interest expense and sum to zero because of offsetting terms of swaps with borrowers and swaps with dealer counterparties.</w:t>
      </w:r>
    </w:p>
    <w:p>
      <w:pPr>
        <w:spacing w:after="0" w:line="1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table below presents the fair value of the Company’s derivative financial instruments, which includes accrued interest, as well as their classification on the Consolidated Balance Sheets as of June 30, 2024, and December 31, 2023 (in thousands):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58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2060" w:type="dxa"/>
            <w:vAlign w:val="bottom"/>
            <w:gridSpan w:val="5"/>
          </w:tcPr>
          <w:p>
            <w:pPr>
              <w:jc w:val="center"/>
              <w:ind w:right="640"/>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26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23"/>
        </w:trPr>
        <w:tc>
          <w:tcPr>
            <w:tcW w:w="5580" w:type="dxa"/>
            <w:vAlign w:val="bottom"/>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190"/>
        </w:trPr>
        <w:tc>
          <w:tcPr>
            <w:tcW w:w="5580" w:type="dxa"/>
            <w:vAlign w:val="bottom"/>
          </w:tcPr>
          <w:p>
            <w:pPr>
              <w:spacing w:after="0"/>
              <w:rPr>
                <w:sz w:val="16"/>
                <w:szCs w:val="16"/>
                <w:color w:val="auto"/>
              </w:rPr>
            </w:pPr>
          </w:p>
        </w:tc>
        <w:tc>
          <w:tcPr>
            <w:tcW w:w="2120" w:type="dxa"/>
            <w:vAlign w:val="bottom"/>
          </w:tcPr>
          <w:p>
            <w:pPr>
              <w:jc w:val="center"/>
              <w:ind w:left="314"/>
              <w:spacing w:after="0"/>
              <w:rPr>
                <w:sz w:val="20"/>
                <w:szCs w:val="20"/>
                <w:color w:val="auto"/>
              </w:rPr>
            </w:pPr>
            <w:r>
              <w:rPr>
                <w:rFonts w:ascii="Times New Roman" w:cs="Times New Roman" w:eastAsia="Times New Roman" w:hAnsi="Times New Roman"/>
                <w:sz w:val="14"/>
                <w:szCs w:val="14"/>
                <w:b w:val="1"/>
                <w:bCs w:val="1"/>
                <w:color w:val="auto"/>
              </w:rPr>
              <w:t>Balance Sheet Location</w:t>
            </w: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Notional Amount</w:t>
            </w:r>
          </w:p>
        </w:tc>
        <w:tc>
          <w:tcPr>
            <w:tcW w:w="260" w:type="dxa"/>
            <w:vAlign w:val="bottom"/>
          </w:tcPr>
          <w:p>
            <w:pPr>
              <w:spacing w:after="0"/>
              <w:rPr>
                <w:sz w:val="16"/>
                <w:szCs w:val="16"/>
                <w:color w:val="auto"/>
              </w:rPr>
            </w:pPr>
          </w:p>
        </w:tc>
        <w:tc>
          <w:tcPr>
            <w:tcW w:w="1220" w:type="dxa"/>
            <w:vAlign w:val="bottom"/>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Fair Value</w:t>
            </w:r>
          </w:p>
        </w:tc>
      </w:tr>
      <w:tr>
        <w:trPr>
          <w:trHeight w:val="216"/>
        </w:trPr>
        <w:tc>
          <w:tcPr>
            <w:tcW w:w="55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Derivatives designated as hedges:</w:t>
            </w:r>
          </w:p>
        </w:tc>
        <w:tc>
          <w:tcPr>
            <w:tcW w:w="212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r>
      <w:tr>
        <w:trPr>
          <w:trHeight w:val="229"/>
        </w:trPr>
        <w:tc>
          <w:tcPr>
            <w:tcW w:w="55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Interest rate swaps related to cash flow hedges</w:t>
            </w:r>
          </w:p>
        </w:tc>
        <w:tc>
          <w:tcPr>
            <w:tcW w:w="2120" w:type="dxa"/>
            <w:vAlign w:val="bottom"/>
          </w:tcPr>
          <w:p>
            <w:pPr>
              <w:jc w:val="center"/>
              <w:ind w:left="294"/>
              <w:spacing w:after="0"/>
              <w:rPr>
                <w:sz w:val="20"/>
                <w:szCs w:val="20"/>
                <w:color w:val="auto"/>
              </w:rPr>
            </w:pPr>
            <w:r>
              <w:rPr>
                <w:rFonts w:ascii="Times New Roman" w:cs="Times New Roman" w:eastAsia="Times New Roman" w:hAnsi="Times New Roman"/>
                <w:sz w:val="18"/>
                <w:szCs w:val="18"/>
                <w:color w:val="auto"/>
                <w:w w:val="98"/>
              </w:rPr>
              <w:t>Other assets</w:t>
            </w:r>
          </w:p>
        </w:tc>
        <w:tc>
          <w:tcPr>
            <w:tcW w:w="6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90,725</w:t>
            </w:r>
          </w:p>
        </w:tc>
        <w:tc>
          <w:tcPr>
            <w:tcW w:w="10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1,422</w:t>
            </w:r>
          </w:p>
        </w:tc>
      </w:tr>
      <w:tr>
        <w:trPr>
          <w:trHeight w:val="270"/>
        </w:trPr>
        <w:tc>
          <w:tcPr>
            <w:tcW w:w="5580" w:type="dxa"/>
            <w:vAlign w:val="bottom"/>
            <w:shd w:val="clear" w:color="auto" w:fill="CCEEFF"/>
          </w:tcPr>
          <w:p>
            <w:pPr>
              <w:spacing w:after="0"/>
              <w:rPr>
                <w:sz w:val="23"/>
                <w:szCs w:val="23"/>
                <w:color w:val="auto"/>
              </w:rPr>
            </w:pPr>
          </w:p>
        </w:tc>
        <w:tc>
          <w:tcPr>
            <w:tcW w:w="212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r>
      <w:tr>
        <w:trPr>
          <w:trHeight w:val="230"/>
        </w:trPr>
        <w:tc>
          <w:tcPr>
            <w:tcW w:w="55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Derivatives not designated as hedges:</w:t>
            </w:r>
          </w:p>
        </w:tc>
        <w:tc>
          <w:tcPr>
            <w:tcW w:w="2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29"/>
        </w:trPr>
        <w:tc>
          <w:tcPr>
            <w:tcW w:w="55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Interest rate swaps related to customer loans</w:t>
            </w:r>
          </w:p>
        </w:tc>
        <w:tc>
          <w:tcPr>
            <w:tcW w:w="2120" w:type="dxa"/>
            <w:vAlign w:val="bottom"/>
            <w:shd w:val="clear" w:color="auto" w:fill="CCEEFF"/>
          </w:tcPr>
          <w:p>
            <w:pPr>
              <w:jc w:val="center"/>
              <w:ind w:left="294"/>
              <w:spacing w:after="0"/>
              <w:rPr>
                <w:sz w:val="20"/>
                <w:szCs w:val="20"/>
                <w:color w:val="auto"/>
              </w:rPr>
            </w:pPr>
            <w:r>
              <w:rPr>
                <w:rFonts w:ascii="Times New Roman" w:cs="Times New Roman" w:eastAsia="Times New Roman" w:hAnsi="Times New Roman"/>
                <w:sz w:val="18"/>
                <w:szCs w:val="18"/>
                <w:color w:val="auto"/>
                <w:w w:val="98"/>
              </w:rPr>
              <w:t>Other assets</w:t>
            </w:r>
          </w:p>
        </w:tc>
        <w:tc>
          <w:tcPr>
            <w:tcW w:w="6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33,293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532</w:t>
            </w:r>
          </w:p>
        </w:tc>
      </w:tr>
      <w:tr>
        <w:trPr>
          <w:trHeight w:val="234"/>
        </w:trPr>
        <w:tc>
          <w:tcPr>
            <w:tcW w:w="55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Interest rate swaps related to customer loans</w:t>
            </w:r>
          </w:p>
        </w:tc>
        <w:tc>
          <w:tcPr>
            <w:tcW w:w="2120" w:type="dxa"/>
            <w:vAlign w:val="bottom"/>
          </w:tcPr>
          <w:p>
            <w:pPr>
              <w:jc w:val="center"/>
              <w:ind w:left="314"/>
              <w:spacing w:after="0"/>
              <w:rPr>
                <w:sz w:val="20"/>
                <w:szCs w:val="20"/>
                <w:color w:val="auto"/>
              </w:rPr>
            </w:pPr>
            <w:r>
              <w:rPr>
                <w:rFonts w:ascii="Times New Roman" w:cs="Times New Roman" w:eastAsia="Times New Roman" w:hAnsi="Times New Roman"/>
                <w:sz w:val="18"/>
                <w:szCs w:val="18"/>
                <w:color w:val="auto"/>
                <w:w w:val="99"/>
              </w:rPr>
              <w:t>Other liabilities</w:t>
            </w: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33,293</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532</w:t>
            </w:r>
          </w:p>
        </w:tc>
      </w:tr>
      <w:tr>
        <w:trPr>
          <w:trHeight w:val="458"/>
        </w:trPr>
        <w:tc>
          <w:tcPr>
            <w:tcW w:w="558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2060" w:type="dxa"/>
            <w:vAlign w:val="bottom"/>
            <w:gridSpan w:val="5"/>
          </w:tcPr>
          <w:p>
            <w:pPr>
              <w:jc w:val="center"/>
              <w:ind w:right="62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3"/>
        </w:trPr>
        <w:tc>
          <w:tcPr>
            <w:tcW w:w="5580" w:type="dxa"/>
            <w:vAlign w:val="bottom"/>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190"/>
        </w:trPr>
        <w:tc>
          <w:tcPr>
            <w:tcW w:w="5580" w:type="dxa"/>
            <w:vAlign w:val="bottom"/>
          </w:tcPr>
          <w:p>
            <w:pPr>
              <w:spacing w:after="0"/>
              <w:rPr>
                <w:sz w:val="16"/>
                <w:szCs w:val="16"/>
                <w:color w:val="auto"/>
              </w:rPr>
            </w:pPr>
          </w:p>
        </w:tc>
        <w:tc>
          <w:tcPr>
            <w:tcW w:w="2120" w:type="dxa"/>
            <w:vAlign w:val="bottom"/>
          </w:tcPr>
          <w:p>
            <w:pPr>
              <w:jc w:val="center"/>
              <w:ind w:left="314"/>
              <w:spacing w:after="0"/>
              <w:rPr>
                <w:sz w:val="20"/>
                <w:szCs w:val="20"/>
                <w:color w:val="auto"/>
              </w:rPr>
            </w:pPr>
            <w:r>
              <w:rPr>
                <w:rFonts w:ascii="Times New Roman" w:cs="Times New Roman" w:eastAsia="Times New Roman" w:hAnsi="Times New Roman"/>
                <w:sz w:val="14"/>
                <w:szCs w:val="14"/>
                <w:b w:val="1"/>
                <w:bCs w:val="1"/>
                <w:color w:val="auto"/>
              </w:rPr>
              <w:t>Balance Sheet Location</w:t>
            </w: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Notional Amount</w:t>
            </w:r>
          </w:p>
        </w:tc>
        <w:tc>
          <w:tcPr>
            <w:tcW w:w="260" w:type="dxa"/>
            <w:vAlign w:val="bottom"/>
          </w:tcPr>
          <w:p>
            <w:pPr>
              <w:spacing w:after="0"/>
              <w:rPr>
                <w:sz w:val="16"/>
                <w:szCs w:val="16"/>
                <w:color w:val="auto"/>
              </w:rPr>
            </w:pPr>
          </w:p>
        </w:tc>
        <w:tc>
          <w:tcPr>
            <w:tcW w:w="1220" w:type="dxa"/>
            <w:vAlign w:val="bottom"/>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Fair Value</w:t>
            </w:r>
          </w:p>
        </w:tc>
      </w:tr>
      <w:tr>
        <w:trPr>
          <w:trHeight w:val="216"/>
        </w:trPr>
        <w:tc>
          <w:tcPr>
            <w:tcW w:w="55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Derivatives designated as hedges:</w:t>
            </w:r>
          </w:p>
        </w:tc>
        <w:tc>
          <w:tcPr>
            <w:tcW w:w="212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r>
      <w:tr>
        <w:trPr>
          <w:trHeight w:val="229"/>
        </w:trPr>
        <w:tc>
          <w:tcPr>
            <w:tcW w:w="55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Interest rate swaps related to cash flow hedges</w:t>
            </w:r>
          </w:p>
        </w:tc>
        <w:tc>
          <w:tcPr>
            <w:tcW w:w="2120" w:type="dxa"/>
            <w:vAlign w:val="bottom"/>
          </w:tcPr>
          <w:p>
            <w:pPr>
              <w:jc w:val="center"/>
              <w:ind w:left="294"/>
              <w:spacing w:after="0"/>
              <w:rPr>
                <w:sz w:val="20"/>
                <w:szCs w:val="20"/>
                <w:color w:val="auto"/>
              </w:rPr>
            </w:pPr>
            <w:r>
              <w:rPr>
                <w:rFonts w:ascii="Times New Roman" w:cs="Times New Roman" w:eastAsia="Times New Roman" w:hAnsi="Times New Roman"/>
                <w:sz w:val="18"/>
                <w:szCs w:val="18"/>
                <w:color w:val="auto"/>
                <w:w w:val="98"/>
              </w:rPr>
              <w:t>Other assets</w:t>
            </w:r>
          </w:p>
        </w:tc>
        <w:tc>
          <w:tcPr>
            <w:tcW w:w="6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10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r>
      <w:tr>
        <w:trPr>
          <w:trHeight w:val="230"/>
        </w:trPr>
        <w:tc>
          <w:tcPr>
            <w:tcW w:w="55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Interest rate swaps related to cash flow hedges</w:t>
            </w:r>
          </w:p>
        </w:tc>
        <w:tc>
          <w:tcPr>
            <w:tcW w:w="2120" w:type="dxa"/>
            <w:vAlign w:val="bottom"/>
            <w:shd w:val="clear" w:color="auto" w:fill="CCEEFF"/>
          </w:tcPr>
          <w:p>
            <w:pPr>
              <w:jc w:val="center"/>
              <w:ind w:left="314"/>
              <w:spacing w:after="0"/>
              <w:rPr>
                <w:sz w:val="20"/>
                <w:szCs w:val="20"/>
                <w:color w:val="auto"/>
              </w:rPr>
            </w:pPr>
            <w:r>
              <w:rPr>
                <w:rFonts w:ascii="Times New Roman" w:cs="Times New Roman" w:eastAsia="Times New Roman" w:hAnsi="Times New Roman"/>
                <w:sz w:val="18"/>
                <w:szCs w:val="18"/>
                <w:color w:val="auto"/>
                <w:w w:val="99"/>
              </w:rPr>
              <w:t>Other liabilities</w:t>
            </w:r>
          </w:p>
        </w:tc>
        <w:tc>
          <w:tcPr>
            <w:tcW w:w="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150,000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1,047</w:t>
            </w:r>
          </w:p>
        </w:tc>
      </w:tr>
      <w:tr>
        <w:trPr>
          <w:trHeight w:val="270"/>
        </w:trPr>
        <w:tc>
          <w:tcPr>
            <w:tcW w:w="5580" w:type="dxa"/>
            <w:vAlign w:val="bottom"/>
          </w:tcPr>
          <w:p>
            <w:pPr>
              <w:spacing w:after="0"/>
              <w:rPr>
                <w:sz w:val="23"/>
                <w:szCs w:val="23"/>
                <w:color w:val="auto"/>
              </w:rPr>
            </w:pPr>
          </w:p>
        </w:tc>
        <w:tc>
          <w:tcPr>
            <w:tcW w:w="2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20" w:type="dxa"/>
            <w:vAlign w:val="bottom"/>
          </w:tcPr>
          <w:p>
            <w:pPr>
              <w:spacing w:after="0"/>
              <w:rPr>
                <w:sz w:val="23"/>
                <w:szCs w:val="23"/>
                <w:color w:val="auto"/>
              </w:rPr>
            </w:pPr>
          </w:p>
        </w:tc>
      </w:tr>
      <w:tr>
        <w:trPr>
          <w:trHeight w:val="230"/>
        </w:trPr>
        <w:tc>
          <w:tcPr>
            <w:tcW w:w="5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Derivatives not designated as hedges:</w:t>
            </w:r>
          </w:p>
        </w:tc>
        <w:tc>
          <w:tcPr>
            <w:tcW w:w="2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30"/>
        </w:trPr>
        <w:tc>
          <w:tcPr>
            <w:tcW w:w="55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Interest rate swaps related to customer loans</w:t>
            </w:r>
          </w:p>
        </w:tc>
        <w:tc>
          <w:tcPr>
            <w:tcW w:w="2120" w:type="dxa"/>
            <w:vAlign w:val="bottom"/>
          </w:tcPr>
          <w:p>
            <w:pPr>
              <w:jc w:val="center"/>
              <w:ind w:left="294"/>
              <w:spacing w:after="0"/>
              <w:rPr>
                <w:sz w:val="20"/>
                <w:szCs w:val="20"/>
                <w:color w:val="auto"/>
              </w:rPr>
            </w:pPr>
            <w:r>
              <w:rPr>
                <w:rFonts w:ascii="Times New Roman" w:cs="Times New Roman" w:eastAsia="Times New Roman" w:hAnsi="Times New Roman"/>
                <w:sz w:val="18"/>
                <w:szCs w:val="18"/>
                <w:color w:val="auto"/>
                <w:w w:val="98"/>
              </w:rPr>
              <w:t>Other assets</w:t>
            </w:r>
          </w:p>
        </w:tc>
        <w:tc>
          <w:tcPr>
            <w:tcW w:w="6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72,572</w:t>
            </w:r>
          </w:p>
        </w:tc>
        <w:tc>
          <w:tcPr>
            <w:tcW w:w="10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998</w:t>
            </w:r>
          </w:p>
        </w:tc>
      </w:tr>
      <w:tr>
        <w:trPr>
          <w:trHeight w:val="229"/>
        </w:trPr>
        <w:tc>
          <w:tcPr>
            <w:tcW w:w="55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Interest rate swaps related to customer loans</w:t>
            </w:r>
          </w:p>
        </w:tc>
        <w:tc>
          <w:tcPr>
            <w:tcW w:w="2120" w:type="dxa"/>
            <w:vAlign w:val="bottom"/>
            <w:shd w:val="clear" w:color="auto" w:fill="CCEEFF"/>
          </w:tcPr>
          <w:p>
            <w:pPr>
              <w:jc w:val="center"/>
              <w:ind w:left="314"/>
              <w:spacing w:after="0"/>
              <w:rPr>
                <w:sz w:val="20"/>
                <w:szCs w:val="20"/>
                <w:color w:val="auto"/>
              </w:rPr>
            </w:pPr>
            <w:r>
              <w:rPr>
                <w:rFonts w:ascii="Times New Roman" w:cs="Times New Roman" w:eastAsia="Times New Roman" w:hAnsi="Times New Roman"/>
                <w:sz w:val="18"/>
                <w:szCs w:val="18"/>
                <w:color w:val="auto"/>
                <w:w w:val="99"/>
              </w:rPr>
              <w:t>Other liabilities</w:t>
            </w:r>
          </w:p>
        </w:tc>
        <w:tc>
          <w:tcPr>
            <w:tcW w:w="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72,572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998</w:t>
            </w:r>
          </w:p>
        </w:tc>
      </w:tr>
    </w:tbl>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table below presents the effect of cash flow hedge accounting on AOCI for the three months ended June 30, 2024, and June 30, 2023, as follows (in thousands):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3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2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rPr>
              <w:t>Amount of Gain</w:t>
            </w:r>
          </w:p>
        </w:tc>
        <w:tc>
          <w:tcPr>
            <w:tcW w:w="1020" w:type="dxa"/>
            <w:vAlign w:val="bottom"/>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rPr>
              <w:t>Amount of Gain</w:t>
            </w:r>
          </w:p>
        </w:tc>
        <w:tc>
          <w:tcPr>
            <w:tcW w:w="0" w:type="dxa"/>
            <w:vAlign w:val="bottom"/>
          </w:tcPr>
          <w:p>
            <w:pPr>
              <w:spacing w:after="0"/>
              <w:rPr>
                <w:sz w:val="1"/>
                <w:szCs w:val="1"/>
                <w:color w:val="auto"/>
              </w:rPr>
            </w:pPr>
          </w:p>
        </w:tc>
      </w:tr>
      <w:tr>
        <w:trPr>
          <w:trHeight w:val="135"/>
        </w:trPr>
        <w:tc>
          <w:tcPr>
            <w:tcW w:w="3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rPr>
              <w:t>Amount of Gain</w:t>
            </w:r>
          </w:p>
        </w:tc>
        <w:tc>
          <w:tcPr>
            <w:tcW w:w="1100" w:type="dxa"/>
            <w:vAlign w:val="bottom"/>
            <w:gridSpan w:val="3"/>
            <w:vMerge w:val="restart"/>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rPr>
              <w:t>Amount of Gain</w:t>
            </w:r>
          </w:p>
        </w:tc>
        <w:tc>
          <w:tcPr>
            <w:tcW w:w="102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rPr>
              <w:t>Amount of Gain</w:t>
            </w:r>
          </w:p>
        </w:tc>
        <w:tc>
          <w:tcPr>
            <w:tcW w:w="10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2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rPr>
              <w:t>Amount of Gain</w:t>
            </w:r>
          </w:p>
        </w:tc>
        <w:tc>
          <w:tcPr>
            <w:tcW w:w="1120" w:type="dxa"/>
            <w:vAlign w:val="bottom"/>
            <w:gridSpan w:val="3"/>
            <w:vMerge w:val="continue"/>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jc w:val="center"/>
              <w:ind w:right="47"/>
              <w:spacing w:after="0" w:line="135" w:lineRule="exact"/>
              <w:rPr>
                <w:sz w:val="20"/>
                <w:szCs w:val="20"/>
                <w:color w:val="auto"/>
              </w:rPr>
            </w:pPr>
            <w:r>
              <w:rPr>
                <w:rFonts w:ascii="Times New Roman" w:cs="Times New Roman" w:eastAsia="Times New Roman" w:hAnsi="Times New Roman"/>
                <w:sz w:val="13"/>
                <w:szCs w:val="13"/>
                <w:b w:val="1"/>
                <w:bCs w:val="1"/>
                <w:color w:val="auto"/>
              </w:rPr>
              <w:t>or (Loss)</w:t>
            </w:r>
          </w:p>
        </w:tc>
        <w:tc>
          <w:tcPr>
            <w:tcW w:w="0" w:type="dxa"/>
            <w:vAlign w:val="bottom"/>
          </w:tcPr>
          <w:p>
            <w:pPr>
              <w:spacing w:after="0"/>
              <w:rPr>
                <w:sz w:val="1"/>
                <w:szCs w:val="1"/>
                <w:color w:val="auto"/>
              </w:rPr>
            </w:pPr>
          </w:p>
        </w:tc>
      </w:tr>
      <w:tr>
        <w:trPr>
          <w:trHeight w:val="135"/>
        </w:trPr>
        <w:tc>
          <w:tcPr>
            <w:tcW w:w="3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gridSpan w:val="3"/>
            <w:vMerge w:val="continue"/>
          </w:tcPr>
          <w:p>
            <w:pPr>
              <w:spacing w:after="0"/>
              <w:rPr>
                <w:sz w:val="11"/>
                <w:szCs w:val="11"/>
                <w:color w:val="auto"/>
              </w:rPr>
            </w:pPr>
          </w:p>
        </w:tc>
        <w:tc>
          <w:tcPr>
            <w:tcW w:w="1100" w:type="dxa"/>
            <w:vAlign w:val="bottom"/>
            <w:gridSpan w:val="3"/>
            <w:vMerge w:val="continue"/>
          </w:tcPr>
          <w:p>
            <w:pPr>
              <w:spacing w:after="0"/>
              <w:rPr>
                <w:sz w:val="11"/>
                <w:szCs w:val="11"/>
                <w:color w:val="auto"/>
              </w:rPr>
            </w:pPr>
          </w:p>
        </w:tc>
        <w:tc>
          <w:tcPr>
            <w:tcW w:w="102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20" w:type="dxa"/>
            <w:vAlign w:val="bottom"/>
            <w:gridSpan w:val="3"/>
            <w:vMerge w:val="continue"/>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3"/>
                <w:szCs w:val="13"/>
                <w:b w:val="1"/>
                <w:bCs w:val="1"/>
                <w:color w:val="auto"/>
              </w:rPr>
              <w:t>or (Loss)</w:t>
            </w:r>
          </w:p>
        </w:tc>
        <w:tc>
          <w:tcPr>
            <w:tcW w:w="120" w:type="dxa"/>
            <w:vAlign w:val="bottom"/>
          </w:tcPr>
          <w:p>
            <w:pPr>
              <w:spacing w:after="0"/>
              <w:rPr>
                <w:sz w:val="11"/>
                <w:szCs w:val="11"/>
                <w:color w:val="auto"/>
              </w:rPr>
            </w:pPr>
          </w:p>
        </w:tc>
        <w:tc>
          <w:tcPr>
            <w:tcW w:w="900" w:type="dxa"/>
            <w:vAlign w:val="bottom"/>
          </w:tcPr>
          <w:p>
            <w:pPr>
              <w:jc w:val="center"/>
              <w:ind w:right="67"/>
              <w:spacing w:after="0" w:line="135" w:lineRule="exact"/>
              <w:rPr>
                <w:sz w:val="20"/>
                <w:szCs w:val="20"/>
                <w:color w:val="auto"/>
              </w:rPr>
            </w:pPr>
            <w:r>
              <w:rPr>
                <w:rFonts w:ascii="Times New Roman" w:cs="Times New Roman" w:eastAsia="Times New Roman" w:hAnsi="Times New Roman"/>
                <w:sz w:val="13"/>
                <w:szCs w:val="13"/>
                <w:b w:val="1"/>
                <w:bCs w:val="1"/>
                <w:color w:val="auto"/>
              </w:rPr>
              <w:t>Reclassified</w:t>
            </w:r>
          </w:p>
        </w:tc>
        <w:tc>
          <w:tcPr>
            <w:tcW w:w="0" w:type="dxa"/>
            <w:vAlign w:val="bottom"/>
          </w:tcPr>
          <w:p>
            <w:pPr>
              <w:spacing w:after="0"/>
              <w:rPr>
                <w:sz w:val="1"/>
                <w:szCs w:val="1"/>
                <w:color w:val="auto"/>
              </w:rPr>
            </w:pPr>
          </w:p>
        </w:tc>
      </w:tr>
      <w:tr>
        <w:trPr>
          <w:trHeight w:val="135"/>
        </w:trPr>
        <w:tc>
          <w:tcPr>
            <w:tcW w:w="3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gridSpan w:val="2"/>
          </w:tcPr>
          <w:p>
            <w:pPr>
              <w:jc w:val="center"/>
              <w:ind w:right="200"/>
              <w:spacing w:after="0" w:line="135" w:lineRule="exact"/>
              <w:rPr>
                <w:sz w:val="20"/>
                <w:szCs w:val="20"/>
                <w:color w:val="auto"/>
              </w:rPr>
            </w:pPr>
            <w:r>
              <w:rPr>
                <w:rFonts w:ascii="Times New Roman" w:cs="Times New Roman" w:eastAsia="Times New Roman" w:hAnsi="Times New Roman"/>
                <w:sz w:val="13"/>
                <w:szCs w:val="13"/>
                <w:b w:val="1"/>
                <w:bCs w:val="1"/>
                <w:color w:val="auto"/>
              </w:rPr>
              <w:t>or (Loss)</w:t>
            </w:r>
          </w:p>
        </w:tc>
        <w:tc>
          <w:tcPr>
            <w:tcW w:w="100" w:type="dxa"/>
            <w:vAlign w:val="bottom"/>
          </w:tcPr>
          <w:p>
            <w:pPr>
              <w:spacing w:after="0"/>
              <w:rPr>
                <w:sz w:val="11"/>
                <w:szCs w:val="11"/>
                <w:color w:val="auto"/>
              </w:rPr>
            </w:pPr>
          </w:p>
        </w:tc>
        <w:tc>
          <w:tcPr>
            <w:tcW w:w="1000" w:type="dxa"/>
            <w:vAlign w:val="bottom"/>
            <w:gridSpan w:val="2"/>
          </w:tcPr>
          <w:p>
            <w:pPr>
              <w:jc w:val="center"/>
              <w:ind w:right="200"/>
              <w:spacing w:after="0" w:line="135" w:lineRule="exact"/>
              <w:rPr>
                <w:sz w:val="20"/>
                <w:szCs w:val="20"/>
                <w:color w:val="auto"/>
              </w:rPr>
            </w:pPr>
            <w:r>
              <w:rPr>
                <w:rFonts w:ascii="Times New Roman" w:cs="Times New Roman" w:eastAsia="Times New Roman" w:hAnsi="Times New Roman"/>
                <w:sz w:val="13"/>
                <w:szCs w:val="13"/>
                <w:b w:val="1"/>
                <w:bCs w:val="1"/>
                <w:color w:val="auto"/>
              </w:rPr>
              <w:t>or (Loss)</w:t>
            </w:r>
          </w:p>
        </w:tc>
        <w:tc>
          <w:tcPr>
            <w:tcW w:w="100" w:type="dxa"/>
            <w:vAlign w:val="bottom"/>
          </w:tcPr>
          <w:p>
            <w:pPr>
              <w:spacing w:after="0"/>
              <w:rPr>
                <w:sz w:val="11"/>
                <w:szCs w:val="11"/>
                <w:color w:val="auto"/>
              </w:rPr>
            </w:pPr>
          </w:p>
        </w:tc>
        <w:tc>
          <w:tcPr>
            <w:tcW w:w="920" w:type="dxa"/>
            <w:vAlign w:val="bottom"/>
          </w:tcPr>
          <w:p>
            <w:pPr>
              <w:jc w:val="center"/>
              <w:ind w:right="6"/>
              <w:spacing w:after="0" w:line="135" w:lineRule="exact"/>
              <w:rPr>
                <w:sz w:val="20"/>
                <w:szCs w:val="20"/>
                <w:color w:val="auto"/>
              </w:rPr>
            </w:pPr>
            <w:r>
              <w:rPr>
                <w:rFonts w:ascii="Times New Roman" w:cs="Times New Roman" w:eastAsia="Times New Roman" w:hAnsi="Times New Roman"/>
                <w:sz w:val="13"/>
                <w:szCs w:val="13"/>
                <w:b w:val="1"/>
                <w:bCs w:val="1"/>
                <w:color w:val="auto"/>
              </w:rPr>
              <w:t>or (Loss)</w:t>
            </w:r>
          </w:p>
        </w:tc>
        <w:tc>
          <w:tcPr>
            <w:tcW w:w="100" w:type="dxa"/>
            <w:vAlign w:val="bottom"/>
          </w:tcPr>
          <w:p>
            <w:pPr>
              <w:spacing w:after="0"/>
              <w:rPr>
                <w:sz w:val="11"/>
                <w:szCs w:val="11"/>
                <w:color w:val="auto"/>
              </w:rPr>
            </w:pPr>
          </w:p>
        </w:tc>
        <w:tc>
          <w:tcPr>
            <w:tcW w:w="154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rPr>
              <w:t>Location of Gain or</w:t>
            </w:r>
          </w:p>
        </w:tc>
        <w:tc>
          <w:tcPr>
            <w:tcW w:w="140" w:type="dxa"/>
            <w:vAlign w:val="bottom"/>
          </w:tcPr>
          <w:p>
            <w:pPr>
              <w:spacing w:after="0"/>
              <w:rPr>
                <w:sz w:val="11"/>
                <w:szCs w:val="11"/>
                <w:color w:val="auto"/>
              </w:rPr>
            </w:pPr>
          </w:p>
        </w:tc>
        <w:tc>
          <w:tcPr>
            <w:tcW w:w="980" w:type="dxa"/>
            <w:vAlign w:val="bottom"/>
            <w:gridSpan w:val="2"/>
          </w:tcPr>
          <w:p>
            <w:pPr>
              <w:jc w:val="center"/>
              <w:ind w:right="240"/>
              <w:spacing w:after="0" w:line="135" w:lineRule="exact"/>
              <w:rPr>
                <w:sz w:val="20"/>
                <w:szCs w:val="20"/>
                <w:color w:val="auto"/>
              </w:rPr>
            </w:pPr>
            <w:r>
              <w:rPr>
                <w:rFonts w:ascii="Times New Roman" w:cs="Times New Roman" w:eastAsia="Times New Roman" w:hAnsi="Times New Roman"/>
                <w:sz w:val="13"/>
                <w:szCs w:val="13"/>
                <w:b w:val="1"/>
                <w:bCs w:val="1"/>
                <w:color w:val="auto"/>
              </w:rPr>
              <w:t>or (Loss)</w:t>
            </w:r>
          </w:p>
        </w:tc>
        <w:tc>
          <w:tcPr>
            <w:tcW w:w="100" w:type="dxa"/>
            <w:vAlign w:val="bottom"/>
          </w:tcPr>
          <w:p>
            <w:pPr>
              <w:spacing w:after="0"/>
              <w:rPr>
                <w:sz w:val="11"/>
                <w:szCs w:val="11"/>
                <w:color w:val="auto"/>
              </w:rPr>
            </w:pPr>
          </w:p>
        </w:tc>
        <w:tc>
          <w:tcPr>
            <w:tcW w:w="102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3"/>
                <w:szCs w:val="13"/>
                <w:b w:val="1"/>
                <w:bCs w:val="1"/>
                <w:color w:val="auto"/>
              </w:rPr>
              <w:t>Reclassified</w:t>
            </w:r>
          </w:p>
        </w:tc>
        <w:tc>
          <w:tcPr>
            <w:tcW w:w="1020" w:type="dxa"/>
            <w:vAlign w:val="bottom"/>
            <w:gridSpan w:val="2"/>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rPr>
              <w:t>from AOCI into</w:t>
            </w:r>
          </w:p>
        </w:tc>
        <w:tc>
          <w:tcPr>
            <w:tcW w:w="0" w:type="dxa"/>
            <w:vAlign w:val="bottom"/>
          </w:tcPr>
          <w:p>
            <w:pPr>
              <w:spacing w:after="0"/>
              <w:rPr>
                <w:sz w:val="1"/>
                <w:szCs w:val="1"/>
                <w:color w:val="auto"/>
              </w:rPr>
            </w:pPr>
          </w:p>
        </w:tc>
      </w:tr>
      <w:tr>
        <w:trPr>
          <w:trHeight w:val="135"/>
        </w:trPr>
        <w:tc>
          <w:tcPr>
            <w:tcW w:w="312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Derivatives in Cash Flow</w:t>
            </w:r>
          </w:p>
        </w:tc>
        <w:tc>
          <w:tcPr>
            <w:tcW w:w="100" w:type="dxa"/>
            <w:vAlign w:val="bottom"/>
          </w:tcPr>
          <w:p>
            <w:pPr>
              <w:spacing w:after="0"/>
              <w:rPr>
                <w:sz w:val="11"/>
                <w:szCs w:val="11"/>
                <w:color w:val="auto"/>
              </w:rPr>
            </w:pPr>
          </w:p>
        </w:tc>
        <w:tc>
          <w:tcPr>
            <w:tcW w:w="1000" w:type="dxa"/>
            <w:vAlign w:val="bottom"/>
            <w:gridSpan w:val="2"/>
          </w:tcPr>
          <w:p>
            <w:pPr>
              <w:jc w:val="center"/>
              <w:ind w:right="200"/>
              <w:spacing w:after="0" w:line="135" w:lineRule="exact"/>
              <w:rPr>
                <w:sz w:val="20"/>
                <w:szCs w:val="20"/>
                <w:color w:val="auto"/>
              </w:rPr>
            </w:pPr>
            <w:r>
              <w:rPr>
                <w:rFonts w:ascii="Times New Roman" w:cs="Times New Roman" w:eastAsia="Times New Roman" w:hAnsi="Times New Roman"/>
                <w:sz w:val="13"/>
                <w:szCs w:val="13"/>
                <w:b w:val="1"/>
                <w:bCs w:val="1"/>
                <w:color w:val="auto"/>
              </w:rPr>
              <w:t>Recognized in</w:t>
            </w:r>
          </w:p>
        </w:tc>
        <w:tc>
          <w:tcPr>
            <w:tcW w:w="100" w:type="dxa"/>
            <w:vAlign w:val="bottom"/>
          </w:tcPr>
          <w:p>
            <w:pPr>
              <w:spacing w:after="0"/>
              <w:rPr>
                <w:sz w:val="11"/>
                <w:szCs w:val="11"/>
                <w:color w:val="auto"/>
              </w:rPr>
            </w:pPr>
          </w:p>
        </w:tc>
        <w:tc>
          <w:tcPr>
            <w:tcW w:w="1000" w:type="dxa"/>
            <w:vAlign w:val="bottom"/>
            <w:gridSpan w:val="2"/>
          </w:tcPr>
          <w:p>
            <w:pPr>
              <w:jc w:val="center"/>
              <w:ind w:right="200"/>
              <w:spacing w:after="0" w:line="135" w:lineRule="exact"/>
              <w:rPr>
                <w:sz w:val="20"/>
                <w:szCs w:val="20"/>
                <w:color w:val="auto"/>
              </w:rPr>
            </w:pPr>
            <w:r>
              <w:rPr>
                <w:rFonts w:ascii="Times New Roman" w:cs="Times New Roman" w:eastAsia="Times New Roman" w:hAnsi="Times New Roman"/>
                <w:sz w:val="13"/>
                <w:szCs w:val="13"/>
                <w:b w:val="1"/>
                <w:bCs w:val="1"/>
                <w:color w:val="auto"/>
              </w:rPr>
              <w:t>Recognized in</w:t>
            </w:r>
          </w:p>
        </w:tc>
        <w:tc>
          <w:tcPr>
            <w:tcW w:w="100" w:type="dxa"/>
            <w:vAlign w:val="bottom"/>
          </w:tcPr>
          <w:p>
            <w:pPr>
              <w:spacing w:after="0"/>
              <w:rPr>
                <w:sz w:val="11"/>
                <w:szCs w:val="11"/>
                <w:color w:val="auto"/>
              </w:rPr>
            </w:pPr>
          </w:p>
        </w:tc>
        <w:tc>
          <w:tcPr>
            <w:tcW w:w="920" w:type="dxa"/>
            <w:vAlign w:val="bottom"/>
          </w:tcPr>
          <w:p>
            <w:pPr>
              <w:jc w:val="center"/>
              <w:ind w:right="6"/>
              <w:spacing w:after="0" w:line="135" w:lineRule="exact"/>
              <w:rPr>
                <w:sz w:val="20"/>
                <w:szCs w:val="20"/>
                <w:color w:val="auto"/>
              </w:rPr>
            </w:pPr>
            <w:r>
              <w:rPr>
                <w:rFonts w:ascii="Times New Roman" w:cs="Times New Roman" w:eastAsia="Times New Roman" w:hAnsi="Times New Roman"/>
                <w:sz w:val="13"/>
                <w:szCs w:val="13"/>
                <w:b w:val="1"/>
                <w:bCs w:val="1"/>
                <w:color w:val="auto"/>
              </w:rPr>
              <w:t>Recognized in</w:t>
            </w:r>
          </w:p>
        </w:tc>
        <w:tc>
          <w:tcPr>
            <w:tcW w:w="100" w:type="dxa"/>
            <w:vAlign w:val="bottom"/>
          </w:tcPr>
          <w:p>
            <w:pPr>
              <w:spacing w:after="0"/>
              <w:rPr>
                <w:sz w:val="11"/>
                <w:szCs w:val="11"/>
                <w:color w:val="auto"/>
              </w:rPr>
            </w:pPr>
          </w:p>
        </w:tc>
        <w:tc>
          <w:tcPr>
            <w:tcW w:w="154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3"/>
                <w:szCs w:val="13"/>
                <w:b w:val="1"/>
                <w:bCs w:val="1"/>
                <w:color w:val="auto"/>
              </w:rPr>
              <w:t>Reclassified</w:t>
            </w:r>
          </w:p>
        </w:tc>
        <w:tc>
          <w:tcPr>
            <w:tcW w:w="1120" w:type="dxa"/>
            <w:vAlign w:val="bottom"/>
            <w:gridSpan w:val="3"/>
          </w:tcPr>
          <w:p>
            <w:pPr>
              <w:jc w:val="center"/>
              <w:ind w:right="100"/>
              <w:spacing w:after="0" w:line="135" w:lineRule="exact"/>
              <w:rPr>
                <w:sz w:val="20"/>
                <w:szCs w:val="20"/>
                <w:color w:val="auto"/>
              </w:rPr>
            </w:pPr>
            <w:r>
              <w:rPr>
                <w:rFonts w:ascii="Times New Roman" w:cs="Times New Roman" w:eastAsia="Times New Roman" w:hAnsi="Times New Roman"/>
                <w:sz w:val="13"/>
                <w:szCs w:val="13"/>
                <w:b w:val="1"/>
                <w:bCs w:val="1"/>
                <w:color w:val="auto"/>
              </w:rPr>
              <w:t>from AOCI into</w:t>
            </w:r>
          </w:p>
        </w:tc>
        <w:tc>
          <w:tcPr>
            <w:tcW w:w="120" w:type="dxa"/>
            <w:vAlign w:val="bottom"/>
          </w:tcPr>
          <w:p>
            <w:pPr>
              <w:spacing w:after="0"/>
              <w:rPr>
                <w:sz w:val="11"/>
                <w:szCs w:val="11"/>
                <w:color w:val="auto"/>
              </w:rPr>
            </w:pPr>
          </w:p>
        </w:tc>
        <w:tc>
          <w:tcPr>
            <w:tcW w:w="900" w:type="dxa"/>
            <w:vAlign w:val="bottom"/>
          </w:tcPr>
          <w:p>
            <w:pPr>
              <w:jc w:val="center"/>
              <w:ind w:right="47"/>
              <w:spacing w:after="0" w:line="135" w:lineRule="exact"/>
              <w:rPr>
                <w:sz w:val="20"/>
                <w:szCs w:val="20"/>
                <w:color w:val="auto"/>
              </w:rPr>
            </w:pPr>
            <w:r>
              <w:rPr>
                <w:rFonts w:ascii="Times New Roman" w:cs="Times New Roman" w:eastAsia="Times New Roman" w:hAnsi="Times New Roman"/>
                <w:sz w:val="13"/>
                <w:szCs w:val="13"/>
                <w:b w:val="1"/>
                <w:bCs w:val="1"/>
                <w:color w:val="auto"/>
              </w:rPr>
              <w:t>Income</w:t>
            </w:r>
          </w:p>
        </w:tc>
        <w:tc>
          <w:tcPr>
            <w:tcW w:w="0" w:type="dxa"/>
            <w:vAlign w:val="bottom"/>
          </w:tcPr>
          <w:p>
            <w:pPr>
              <w:spacing w:after="0"/>
              <w:rPr>
                <w:sz w:val="1"/>
                <w:szCs w:val="1"/>
                <w:color w:val="auto"/>
              </w:rPr>
            </w:pPr>
          </w:p>
        </w:tc>
      </w:tr>
      <w:tr>
        <w:trPr>
          <w:trHeight w:val="135"/>
        </w:trPr>
        <w:tc>
          <w:tcPr>
            <w:tcW w:w="312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gridSpan w:val="2"/>
          </w:tcPr>
          <w:p>
            <w:pPr>
              <w:jc w:val="center"/>
              <w:ind w:right="200"/>
              <w:spacing w:after="0" w:line="135" w:lineRule="exact"/>
              <w:rPr>
                <w:sz w:val="20"/>
                <w:szCs w:val="20"/>
                <w:color w:val="auto"/>
              </w:rPr>
            </w:pPr>
            <w:r>
              <w:rPr>
                <w:rFonts w:ascii="Times New Roman" w:cs="Times New Roman" w:eastAsia="Times New Roman" w:hAnsi="Times New Roman"/>
                <w:sz w:val="13"/>
                <w:szCs w:val="13"/>
                <w:b w:val="1"/>
                <w:bCs w:val="1"/>
                <w:color w:val="auto"/>
              </w:rPr>
              <w:t>OCI on</w:t>
            </w:r>
          </w:p>
        </w:tc>
        <w:tc>
          <w:tcPr>
            <w:tcW w:w="100" w:type="dxa"/>
            <w:vAlign w:val="bottom"/>
          </w:tcPr>
          <w:p>
            <w:pPr>
              <w:spacing w:after="0"/>
              <w:rPr>
                <w:sz w:val="11"/>
                <w:szCs w:val="11"/>
                <w:color w:val="auto"/>
              </w:rPr>
            </w:pPr>
          </w:p>
        </w:tc>
        <w:tc>
          <w:tcPr>
            <w:tcW w:w="1000" w:type="dxa"/>
            <w:vAlign w:val="bottom"/>
            <w:gridSpan w:val="2"/>
          </w:tcPr>
          <w:p>
            <w:pPr>
              <w:jc w:val="center"/>
              <w:ind w:right="200"/>
              <w:spacing w:after="0" w:line="135" w:lineRule="exact"/>
              <w:rPr>
                <w:sz w:val="20"/>
                <w:szCs w:val="20"/>
                <w:color w:val="auto"/>
              </w:rPr>
            </w:pPr>
            <w:r>
              <w:rPr>
                <w:rFonts w:ascii="Times New Roman" w:cs="Times New Roman" w:eastAsia="Times New Roman" w:hAnsi="Times New Roman"/>
                <w:sz w:val="13"/>
                <w:szCs w:val="13"/>
                <w:b w:val="1"/>
                <w:bCs w:val="1"/>
                <w:color w:val="auto"/>
              </w:rPr>
              <w:t>OCI Included</w:t>
            </w:r>
          </w:p>
        </w:tc>
        <w:tc>
          <w:tcPr>
            <w:tcW w:w="1020" w:type="dxa"/>
            <w:vAlign w:val="bottom"/>
            <w:gridSpan w:val="2"/>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rPr>
              <w:t>OCI Excluded</w:t>
            </w:r>
          </w:p>
        </w:tc>
        <w:tc>
          <w:tcPr>
            <w:tcW w:w="100" w:type="dxa"/>
            <w:vAlign w:val="bottom"/>
          </w:tcPr>
          <w:p>
            <w:pPr>
              <w:spacing w:after="0"/>
              <w:rPr>
                <w:sz w:val="11"/>
                <w:szCs w:val="11"/>
                <w:color w:val="auto"/>
              </w:rPr>
            </w:pPr>
          </w:p>
        </w:tc>
        <w:tc>
          <w:tcPr>
            <w:tcW w:w="1540" w:type="dxa"/>
            <w:vAlign w:val="bottom"/>
            <w:gridSpan w:val="2"/>
          </w:tcPr>
          <w:p>
            <w:pPr>
              <w:jc w:val="center"/>
              <w:ind w:right="80"/>
              <w:spacing w:after="0" w:line="135" w:lineRule="exact"/>
              <w:rPr>
                <w:sz w:val="20"/>
                <w:szCs w:val="20"/>
                <w:color w:val="auto"/>
              </w:rPr>
            </w:pPr>
            <w:r>
              <w:rPr>
                <w:rFonts w:ascii="Times New Roman" w:cs="Times New Roman" w:eastAsia="Times New Roman" w:hAnsi="Times New Roman"/>
                <w:sz w:val="13"/>
                <w:szCs w:val="13"/>
                <w:b w:val="1"/>
                <w:bCs w:val="1"/>
                <w:color w:val="auto"/>
              </w:rPr>
              <w:t>(Loss) Reclassified from</w:t>
            </w:r>
          </w:p>
        </w:tc>
        <w:tc>
          <w:tcPr>
            <w:tcW w:w="1120" w:type="dxa"/>
            <w:vAlign w:val="bottom"/>
            <w:gridSpan w:val="3"/>
          </w:tcPr>
          <w:p>
            <w:pPr>
              <w:jc w:val="center"/>
              <w:ind w:right="100"/>
              <w:spacing w:after="0" w:line="135" w:lineRule="exact"/>
              <w:rPr>
                <w:sz w:val="20"/>
                <w:szCs w:val="20"/>
                <w:color w:val="auto"/>
              </w:rPr>
            </w:pPr>
            <w:r>
              <w:rPr>
                <w:rFonts w:ascii="Times New Roman" w:cs="Times New Roman" w:eastAsia="Times New Roman" w:hAnsi="Times New Roman"/>
                <w:sz w:val="13"/>
                <w:szCs w:val="13"/>
                <w:b w:val="1"/>
                <w:bCs w:val="1"/>
                <w:color w:val="auto"/>
              </w:rPr>
              <w:t>from AOCI into</w:t>
            </w:r>
          </w:p>
        </w:tc>
        <w:tc>
          <w:tcPr>
            <w:tcW w:w="1120" w:type="dxa"/>
            <w:vAlign w:val="bottom"/>
            <w:gridSpan w:val="3"/>
          </w:tcPr>
          <w:p>
            <w:pPr>
              <w:jc w:val="center"/>
              <w:ind w:right="100"/>
              <w:spacing w:after="0" w:line="135" w:lineRule="exact"/>
              <w:rPr>
                <w:sz w:val="20"/>
                <w:szCs w:val="20"/>
                <w:color w:val="auto"/>
              </w:rPr>
            </w:pPr>
            <w:r>
              <w:rPr>
                <w:rFonts w:ascii="Times New Roman" w:cs="Times New Roman" w:eastAsia="Times New Roman" w:hAnsi="Times New Roman"/>
                <w:sz w:val="13"/>
                <w:szCs w:val="13"/>
                <w:b w:val="1"/>
                <w:bCs w:val="1"/>
                <w:color w:val="auto"/>
              </w:rPr>
              <w:t>Income Included</w:t>
            </w:r>
          </w:p>
        </w:tc>
        <w:tc>
          <w:tcPr>
            <w:tcW w:w="120" w:type="dxa"/>
            <w:vAlign w:val="bottom"/>
          </w:tcPr>
          <w:p>
            <w:pPr>
              <w:spacing w:after="0"/>
              <w:rPr>
                <w:sz w:val="11"/>
                <w:szCs w:val="11"/>
                <w:color w:val="auto"/>
              </w:rPr>
            </w:pPr>
          </w:p>
        </w:tc>
        <w:tc>
          <w:tcPr>
            <w:tcW w:w="900" w:type="dxa"/>
            <w:vAlign w:val="bottom"/>
          </w:tcPr>
          <w:p>
            <w:pPr>
              <w:jc w:val="center"/>
              <w:ind w:right="47"/>
              <w:spacing w:after="0" w:line="135" w:lineRule="exact"/>
              <w:rPr>
                <w:sz w:val="20"/>
                <w:szCs w:val="20"/>
                <w:color w:val="auto"/>
              </w:rPr>
            </w:pPr>
            <w:r>
              <w:rPr>
                <w:rFonts w:ascii="Times New Roman" w:cs="Times New Roman" w:eastAsia="Times New Roman" w:hAnsi="Times New Roman"/>
                <w:sz w:val="13"/>
                <w:szCs w:val="13"/>
                <w:b w:val="1"/>
                <w:bCs w:val="1"/>
                <w:color w:val="auto"/>
              </w:rPr>
              <w:t>Excluded</w:t>
            </w:r>
          </w:p>
        </w:tc>
        <w:tc>
          <w:tcPr>
            <w:tcW w:w="0" w:type="dxa"/>
            <w:vAlign w:val="bottom"/>
          </w:tcPr>
          <w:p>
            <w:pPr>
              <w:spacing w:after="0"/>
              <w:rPr>
                <w:sz w:val="1"/>
                <w:szCs w:val="1"/>
                <w:color w:val="auto"/>
              </w:rPr>
            </w:pPr>
          </w:p>
        </w:tc>
      </w:tr>
      <w:tr>
        <w:trPr>
          <w:trHeight w:val="184"/>
        </w:trPr>
        <w:tc>
          <w:tcPr>
            <w:tcW w:w="312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Hedging Relationships</w:t>
            </w:r>
          </w:p>
        </w:tc>
        <w:tc>
          <w:tcPr>
            <w:tcW w:w="100" w:type="dxa"/>
            <w:vAlign w:val="bottom"/>
          </w:tcPr>
          <w:p>
            <w:pPr>
              <w:spacing w:after="0"/>
              <w:rPr>
                <w:sz w:val="15"/>
                <w:szCs w:val="15"/>
                <w:color w:val="auto"/>
              </w:rPr>
            </w:pPr>
          </w:p>
        </w:tc>
        <w:tc>
          <w:tcPr>
            <w:tcW w:w="100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rPr>
              <w:t>Derivative</w:t>
            </w:r>
          </w:p>
        </w:tc>
        <w:tc>
          <w:tcPr>
            <w:tcW w:w="100" w:type="dxa"/>
            <w:vAlign w:val="bottom"/>
          </w:tcPr>
          <w:p>
            <w:pPr>
              <w:spacing w:after="0"/>
              <w:rPr>
                <w:sz w:val="15"/>
                <w:szCs w:val="15"/>
                <w:color w:val="auto"/>
              </w:rPr>
            </w:pPr>
          </w:p>
        </w:tc>
        <w:tc>
          <w:tcPr>
            <w:tcW w:w="100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rPr>
              <w:t>Component</w:t>
            </w:r>
          </w:p>
        </w:tc>
        <w:tc>
          <w:tcPr>
            <w:tcW w:w="100" w:type="dxa"/>
            <w:vAlign w:val="bottom"/>
          </w:tcPr>
          <w:p>
            <w:pPr>
              <w:spacing w:after="0"/>
              <w:rPr>
                <w:sz w:val="15"/>
                <w:szCs w:val="15"/>
                <w:color w:val="auto"/>
              </w:rPr>
            </w:pPr>
          </w:p>
        </w:tc>
        <w:tc>
          <w:tcPr>
            <w:tcW w:w="920" w:type="dxa"/>
            <w:vAlign w:val="bottom"/>
          </w:tcPr>
          <w:p>
            <w:pPr>
              <w:jc w:val="center"/>
              <w:ind w:right="6"/>
              <w:spacing w:after="0"/>
              <w:rPr>
                <w:sz w:val="20"/>
                <w:szCs w:val="20"/>
                <w:color w:val="auto"/>
              </w:rPr>
            </w:pPr>
            <w:r>
              <w:rPr>
                <w:rFonts w:ascii="Times New Roman" w:cs="Times New Roman" w:eastAsia="Times New Roman" w:hAnsi="Times New Roman"/>
                <w:sz w:val="13"/>
                <w:szCs w:val="13"/>
                <w:b w:val="1"/>
                <w:bCs w:val="1"/>
                <w:color w:val="auto"/>
              </w:rPr>
              <w:t>Component</w:t>
            </w:r>
          </w:p>
        </w:tc>
        <w:tc>
          <w:tcPr>
            <w:tcW w:w="100" w:type="dxa"/>
            <w:vAlign w:val="bottom"/>
          </w:tcPr>
          <w:p>
            <w:pPr>
              <w:spacing w:after="0"/>
              <w:rPr>
                <w:sz w:val="15"/>
                <w:szCs w:val="15"/>
                <w:color w:val="auto"/>
              </w:rPr>
            </w:pPr>
          </w:p>
        </w:tc>
        <w:tc>
          <w:tcPr>
            <w:tcW w:w="154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rPr>
              <w:t>AOCI into Income</w:t>
            </w:r>
          </w:p>
        </w:tc>
        <w:tc>
          <w:tcPr>
            <w:tcW w:w="140" w:type="dxa"/>
            <w:vAlign w:val="bottom"/>
          </w:tcPr>
          <w:p>
            <w:pPr>
              <w:spacing w:after="0"/>
              <w:rPr>
                <w:sz w:val="15"/>
                <w:szCs w:val="15"/>
                <w:color w:val="auto"/>
              </w:rPr>
            </w:pPr>
          </w:p>
        </w:tc>
        <w:tc>
          <w:tcPr>
            <w:tcW w:w="98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rPr>
              <w:t>Income</w:t>
            </w:r>
          </w:p>
        </w:tc>
        <w:tc>
          <w:tcPr>
            <w:tcW w:w="100" w:type="dxa"/>
            <w:vAlign w:val="bottom"/>
          </w:tcPr>
          <w:p>
            <w:pPr>
              <w:spacing w:after="0"/>
              <w:rPr>
                <w:sz w:val="15"/>
                <w:szCs w:val="15"/>
                <w:color w:val="auto"/>
              </w:rPr>
            </w:pPr>
          </w:p>
        </w:tc>
        <w:tc>
          <w:tcPr>
            <w:tcW w:w="102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Component</w:t>
            </w:r>
          </w:p>
        </w:tc>
        <w:tc>
          <w:tcPr>
            <w:tcW w:w="120" w:type="dxa"/>
            <w:vAlign w:val="bottom"/>
          </w:tcPr>
          <w:p>
            <w:pPr>
              <w:spacing w:after="0"/>
              <w:rPr>
                <w:sz w:val="15"/>
                <w:szCs w:val="15"/>
                <w:color w:val="auto"/>
              </w:rPr>
            </w:pPr>
          </w:p>
        </w:tc>
        <w:tc>
          <w:tcPr>
            <w:tcW w:w="900" w:type="dxa"/>
            <w:vAlign w:val="bottom"/>
          </w:tcPr>
          <w:p>
            <w:pPr>
              <w:jc w:val="center"/>
              <w:ind w:right="67"/>
              <w:spacing w:after="0"/>
              <w:rPr>
                <w:sz w:val="20"/>
                <w:szCs w:val="20"/>
                <w:color w:val="auto"/>
              </w:rPr>
            </w:pPr>
            <w:r>
              <w:rPr>
                <w:rFonts w:ascii="Times New Roman" w:cs="Times New Roman" w:eastAsia="Times New Roman" w:hAnsi="Times New Roman"/>
                <w:sz w:val="13"/>
                <w:szCs w:val="13"/>
                <w:b w:val="1"/>
                <w:bCs w:val="1"/>
                <w:color w:val="auto"/>
              </w:rPr>
              <w:t>Component</w:t>
            </w:r>
          </w:p>
        </w:tc>
        <w:tc>
          <w:tcPr>
            <w:tcW w:w="0" w:type="dxa"/>
            <w:vAlign w:val="bottom"/>
          </w:tcPr>
          <w:p>
            <w:pPr>
              <w:spacing w:after="0"/>
              <w:rPr>
                <w:sz w:val="1"/>
                <w:szCs w:val="1"/>
                <w:color w:val="auto"/>
              </w:rPr>
            </w:pPr>
          </w:p>
        </w:tc>
      </w:tr>
      <w:tr>
        <w:trPr>
          <w:trHeight w:val="215"/>
        </w:trPr>
        <w:tc>
          <w:tcPr>
            <w:tcW w:w="30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Rate Products</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tcBorders>
            <w:shd w:val="clear" w:color="auto" w:fill="CCEEFF"/>
          </w:tcPr>
          <w:p>
            <w:pPr>
              <w:ind w:left="7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Interest Income</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top w:val="single" w:sz="8" w:color="auto"/>
            </w:tcBorders>
            <w:shd w:val="clear" w:color="auto" w:fill="CCEEFF"/>
          </w:tcPr>
          <w:p>
            <w:pPr>
              <w:jc w:val="center"/>
              <w:ind w:left="406"/>
              <w:spacing w:after="0"/>
              <w:rPr>
                <w:sz w:val="20"/>
                <w:szCs w:val="20"/>
                <w:color w:val="auto"/>
              </w:rPr>
            </w:pPr>
            <w:r>
              <w:rPr>
                <w:rFonts w:ascii="Times New Roman" w:cs="Times New Roman" w:eastAsia="Times New Roman" w:hAnsi="Times New Roman"/>
                <w:sz w:val="16"/>
                <w:szCs w:val="16"/>
                <w:color w:val="auto"/>
              </w:rPr>
              <w:t>(128)</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tcBorders>
            <w:shd w:val="clear" w:color="auto" w:fill="CCEEFF"/>
          </w:tcPr>
          <w:p>
            <w:pPr>
              <w:jc w:val="center"/>
              <w:ind w:left="446"/>
              <w:spacing w:after="0"/>
              <w:rPr>
                <w:sz w:val="20"/>
                <w:szCs w:val="20"/>
                <w:color w:val="auto"/>
              </w:rPr>
            </w:pPr>
            <w:r>
              <w:rPr>
                <w:rFonts w:ascii="Times New Roman" w:cs="Times New Roman" w:eastAsia="Times New Roman" w:hAnsi="Times New Roman"/>
                <w:sz w:val="16"/>
                <w:szCs w:val="16"/>
                <w:color w:val="auto"/>
              </w:rPr>
              <w:t>(128)</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tcBorders>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31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Interest Rate Products</w:t>
            </w:r>
          </w:p>
        </w:tc>
        <w:tc>
          <w:tcPr>
            <w:tcW w:w="1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1,133</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7"/>
              <w:spacing w:after="0"/>
              <w:rPr>
                <w:sz w:val="20"/>
                <w:szCs w:val="20"/>
                <w:color w:val="auto"/>
              </w:rPr>
            </w:pPr>
            <w:r>
              <w:rPr>
                <w:rFonts w:ascii="Times New Roman" w:cs="Times New Roman" w:eastAsia="Times New Roman" w:hAnsi="Times New Roman"/>
                <w:sz w:val="16"/>
                <w:szCs w:val="16"/>
                <w:color w:val="auto"/>
              </w:rPr>
              <w:t>1,133</w:t>
            </w: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ind w:left="7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tcPr>
          <w:p>
            <w:pPr>
              <w:spacing w:after="0"/>
              <w:rPr>
                <w:sz w:val="18"/>
                <w:szCs w:val="18"/>
                <w:color w:val="auto"/>
              </w:rPr>
            </w:pPr>
          </w:p>
        </w:tc>
        <w:tc>
          <w:tcPr>
            <w:tcW w:w="1540" w:type="dxa"/>
            <w:vAlign w:val="bottom"/>
            <w:tcBorders>
              <w:bottom w:val="single" w:sz="8" w:color="CCEEFF"/>
            </w:tcBorders>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Interest Expense</w:t>
            </w:r>
          </w:p>
        </w:tc>
        <w:tc>
          <w:tcPr>
            <w:tcW w:w="1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center"/>
              <w:ind w:left="426"/>
              <w:spacing w:after="0"/>
              <w:rPr>
                <w:sz w:val="20"/>
                <w:szCs w:val="20"/>
                <w:color w:val="auto"/>
              </w:rPr>
            </w:pPr>
            <w:r>
              <w:rPr>
                <w:rFonts w:ascii="Times New Roman" w:cs="Times New Roman" w:eastAsia="Times New Roman" w:hAnsi="Times New Roman"/>
                <w:sz w:val="16"/>
                <w:szCs w:val="16"/>
                <w:color w:val="auto"/>
              </w:rPr>
              <w:t>997</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center"/>
              <w:ind w:left="466"/>
              <w:spacing w:after="0"/>
              <w:rPr>
                <w:sz w:val="20"/>
                <w:szCs w:val="20"/>
                <w:color w:val="auto"/>
              </w:rPr>
            </w:pPr>
            <w:r>
              <w:rPr>
                <w:rFonts w:ascii="Times New Roman" w:cs="Times New Roman" w:eastAsia="Times New Roman" w:hAnsi="Times New Roman"/>
                <w:sz w:val="16"/>
                <w:szCs w:val="16"/>
                <w:color w:val="auto"/>
              </w:rPr>
              <w:t>997</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ind w:left="68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9"/>
        </w:trPr>
        <w:tc>
          <w:tcPr>
            <w:tcW w:w="312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Total</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1,131</w:t>
            </w: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shd w:val="clear" w:color="auto" w:fill="CCEEFF"/>
          </w:tcPr>
          <w:p>
            <w:pPr>
              <w:jc w:val="right"/>
              <w:ind w:right="7"/>
              <w:spacing w:after="0"/>
              <w:rPr>
                <w:sz w:val="20"/>
                <w:szCs w:val="20"/>
                <w:color w:val="auto"/>
              </w:rPr>
            </w:pPr>
            <w:r>
              <w:rPr>
                <w:rFonts w:ascii="Times New Roman" w:cs="Times New Roman" w:eastAsia="Times New Roman" w:hAnsi="Times New Roman"/>
                <w:sz w:val="16"/>
                <w:szCs w:val="16"/>
                <w:color w:val="auto"/>
              </w:rPr>
              <w:t>1,131</w:t>
            </w:r>
          </w:p>
        </w:tc>
        <w:tc>
          <w:tcPr>
            <w:tcW w:w="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shd w:val="clear" w:color="auto" w:fill="CCEEFF"/>
          </w:tcPr>
          <w:p>
            <w:pPr>
              <w:ind w:left="7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shd w:val="clear" w:color="auto" w:fill="CCEEFF"/>
          </w:tcPr>
          <w:p>
            <w:pPr>
              <w:jc w:val="center"/>
              <w:ind w:left="426"/>
              <w:spacing w:after="0"/>
              <w:rPr>
                <w:sz w:val="20"/>
                <w:szCs w:val="20"/>
                <w:color w:val="auto"/>
              </w:rPr>
            </w:pPr>
            <w:r>
              <w:rPr>
                <w:rFonts w:ascii="Times New Roman" w:cs="Times New Roman" w:eastAsia="Times New Roman" w:hAnsi="Times New Roman"/>
                <w:sz w:val="16"/>
                <w:szCs w:val="16"/>
                <w:color w:val="auto"/>
              </w:rPr>
              <w:t>869</w:t>
            </w: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shd w:val="clear" w:color="auto" w:fill="CCEEFF"/>
          </w:tcPr>
          <w:p>
            <w:pPr>
              <w:jc w:val="center"/>
              <w:ind w:left="466"/>
              <w:spacing w:after="0"/>
              <w:rPr>
                <w:sz w:val="20"/>
                <w:szCs w:val="20"/>
                <w:color w:val="auto"/>
              </w:rPr>
            </w:pPr>
            <w:r>
              <w:rPr>
                <w:rFonts w:ascii="Times New Roman" w:cs="Times New Roman" w:eastAsia="Times New Roman" w:hAnsi="Times New Roman"/>
                <w:sz w:val="16"/>
                <w:szCs w:val="16"/>
                <w:color w:val="auto"/>
              </w:rPr>
              <w:t>869</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Derivatives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June 30, 2023</w:t>
            </w: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June 30, 2023</w:t>
            </w: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3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2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rPr>
              <w:t>Amount of Gain</w:t>
            </w:r>
          </w:p>
        </w:tc>
        <w:tc>
          <w:tcPr>
            <w:tcW w:w="1020" w:type="dxa"/>
            <w:vAlign w:val="bottom"/>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rPr>
              <w:t>Amount of Gain</w:t>
            </w:r>
          </w:p>
        </w:tc>
        <w:tc>
          <w:tcPr>
            <w:tcW w:w="0" w:type="dxa"/>
            <w:vAlign w:val="bottom"/>
          </w:tcPr>
          <w:p>
            <w:pPr>
              <w:spacing w:after="0"/>
              <w:rPr>
                <w:sz w:val="1"/>
                <w:szCs w:val="1"/>
                <w:color w:val="auto"/>
              </w:rPr>
            </w:pPr>
          </w:p>
        </w:tc>
      </w:tr>
      <w:tr>
        <w:trPr>
          <w:trHeight w:val="135"/>
        </w:trPr>
        <w:tc>
          <w:tcPr>
            <w:tcW w:w="3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rPr>
              <w:t>Amount of Gain</w:t>
            </w:r>
          </w:p>
        </w:tc>
        <w:tc>
          <w:tcPr>
            <w:tcW w:w="1100" w:type="dxa"/>
            <w:vAlign w:val="bottom"/>
            <w:gridSpan w:val="3"/>
            <w:vMerge w:val="restart"/>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rPr>
              <w:t>Amount of Gain</w:t>
            </w:r>
          </w:p>
        </w:tc>
        <w:tc>
          <w:tcPr>
            <w:tcW w:w="102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rPr>
              <w:t>Amount of Gain</w:t>
            </w:r>
          </w:p>
        </w:tc>
        <w:tc>
          <w:tcPr>
            <w:tcW w:w="10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2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rPr>
              <w:t>Amount of Gain</w:t>
            </w:r>
          </w:p>
        </w:tc>
        <w:tc>
          <w:tcPr>
            <w:tcW w:w="1120" w:type="dxa"/>
            <w:vAlign w:val="bottom"/>
            <w:gridSpan w:val="3"/>
            <w:vMerge w:val="continue"/>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jc w:val="center"/>
              <w:ind w:right="49"/>
              <w:spacing w:after="0" w:line="135" w:lineRule="exact"/>
              <w:rPr>
                <w:sz w:val="20"/>
                <w:szCs w:val="20"/>
                <w:color w:val="auto"/>
              </w:rPr>
            </w:pPr>
            <w:r>
              <w:rPr>
                <w:rFonts w:ascii="Times New Roman" w:cs="Times New Roman" w:eastAsia="Times New Roman" w:hAnsi="Times New Roman"/>
                <w:sz w:val="13"/>
                <w:szCs w:val="13"/>
                <w:b w:val="1"/>
                <w:bCs w:val="1"/>
                <w:color w:val="auto"/>
              </w:rPr>
              <w:t>or (Loss)</w:t>
            </w:r>
          </w:p>
        </w:tc>
        <w:tc>
          <w:tcPr>
            <w:tcW w:w="0" w:type="dxa"/>
            <w:vAlign w:val="bottom"/>
          </w:tcPr>
          <w:p>
            <w:pPr>
              <w:spacing w:after="0"/>
              <w:rPr>
                <w:sz w:val="1"/>
                <w:szCs w:val="1"/>
                <w:color w:val="auto"/>
              </w:rPr>
            </w:pPr>
          </w:p>
        </w:tc>
      </w:tr>
      <w:tr>
        <w:trPr>
          <w:trHeight w:val="135"/>
        </w:trPr>
        <w:tc>
          <w:tcPr>
            <w:tcW w:w="3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gridSpan w:val="3"/>
            <w:vMerge w:val="continue"/>
          </w:tcPr>
          <w:p>
            <w:pPr>
              <w:spacing w:after="0"/>
              <w:rPr>
                <w:sz w:val="11"/>
                <w:szCs w:val="11"/>
                <w:color w:val="auto"/>
              </w:rPr>
            </w:pPr>
          </w:p>
        </w:tc>
        <w:tc>
          <w:tcPr>
            <w:tcW w:w="1100" w:type="dxa"/>
            <w:vAlign w:val="bottom"/>
            <w:gridSpan w:val="3"/>
            <w:vMerge w:val="continue"/>
          </w:tcPr>
          <w:p>
            <w:pPr>
              <w:spacing w:after="0"/>
              <w:rPr>
                <w:sz w:val="11"/>
                <w:szCs w:val="11"/>
                <w:color w:val="auto"/>
              </w:rPr>
            </w:pPr>
          </w:p>
        </w:tc>
        <w:tc>
          <w:tcPr>
            <w:tcW w:w="102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20" w:type="dxa"/>
            <w:vAlign w:val="bottom"/>
            <w:gridSpan w:val="3"/>
            <w:vMerge w:val="continue"/>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3"/>
                <w:szCs w:val="13"/>
                <w:b w:val="1"/>
                <w:bCs w:val="1"/>
                <w:color w:val="auto"/>
              </w:rPr>
              <w:t>or (Loss)</w:t>
            </w:r>
          </w:p>
        </w:tc>
        <w:tc>
          <w:tcPr>
            <w:tcW w:w="120" w:type="dxa"/>
            <w:vAlign w:val="bottom"/>
          </w:tcPr>
          <w:p>
            <w:pPr>
              <w:spacing w:after="0"/>
              <w:rPr>
                <w:sz w:val="11"/>
                <w:szCs w:val="11"/>
                <w:color w:val="auto"/>
              </w:rPr>
            </w:pPr>
          </w:p>
        </w:tc>
        <w:tc>
          <w:tcPr>
            <w:tcW w:w="900" w:type="dxa"/>
            <w:vAlign w:val="bottom"/>
          </w:tcPr>
          <w:p>
            <w:pPr>
              <w:jc w:val="center"/>
              <w:ind w:right="69"/>
              <w:spacing w:after="0" w:line="135" w:lineRule="exact"/>
              <w:rPr>
                <w:sz w:val="20"/>
                <w:szCs w:val="20"/>
                <w:color w:val="auto"/>
              </w:rPr>
            </w:pPr>
            <w:r>
              <w:rPr>
                <w:rFonts w:ascii="Times New Roman" w:cs="Times New Roman" w:eastAsia="Times New Roman" w:hAnsi="Times New Roman"/>
                <w:sz w:val="13"/>
                <w:szCs w:val="13"/>
                <w:b w:val="1"/>
                <w:bCs w:val="1"/>
                <w:color w:val="auto"/>
              </w:rPr>
              <w:t>Reclassified</w:t>
            </w:r>
          </w:p>
        </w:tc>
        <w:tc>
          <w:tcPr>
            <w:tcW w:w="0" w:type="dxa"/>
            <w:vAlign w:val="bottom"/>
          </w:tcPr>
          <w:p>
            <w:pPr>
              <w:spacing w:after="0"/>
              <w:rPr>
                <w:sz w:val="1"/>
                <w:szCs w:val="1"/>
                <w:color w:val="auto"/>
              </w:rPr>
            </w:pPr>
          </w:p>
        </w:tc>
      </w:tr>
      <w:tr>
        <w:trPr>
          <w:trHeight w:val="135"/>
        </w:trPr>
        <w:tc>
          <w:tcPr>
            <w:tcW w:w="3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gridSpan w:val="2"/>
          </w:tcPr>
          <w:p>
            <w:pPr>
              <w:jc w:val="center"/>
              <w:ind w:right="200"/>
              <w:spacing w:after="0" w:line="135" w:lineRule="exact"/>
              <w:rPr>
                <w:sz w:val="20"/>
                <w:szCs w:val="20"/>
                <w:color w:val="auto"/>
              </w:rPr>
            </w:pPr>
            <w:r>
              <w:rPr>
                <w:rFonts w:ascii="Times New Roman" w:cs="Times New Roman" w:eastAsia="Times New Roman" w:hAnsi="Times New Roman"/>
                <w:sz w:val="13"/>
                <w:szCs w:val="13"/>
                <w:b w:val="1"/>
                <w:bCs w:val="1"/>
                <w:color w:val="auto"/>
              </w:rPr>
              <w:t>or (Loss)</w:t>
            </w:r>
          </w:p>
        </w:tc>
        <w:tc>
          <w:tcPr>
            <w:tcW w:w="100" w:type="dxa"/>
            <w:vAlign w:val="bottom"/>
          </w:tcPr>
          <w:p>
            <w:pPr>
              <w:spacing w:after="0"/>
              <w:rPr>
                <w:sz w:val="11"/>
                <w:szCs w:val="11"/>
                <w:color w:val="auto"/>
              </w:rPr>
            </w:pPr>
          </w:p>
        </w:tc>
        <w:tc>
          <w:tcPr>
            <w:tcW w:w="1000" w:type="dxa"/>
            <w:vAlign w:val="bottom"/>
            <w:gridSpan w:val="2"/>
          </w:tcPr>
          <w:p>
            <w:pPr>
              <w:jc w:val="center"/>
              <w:ind w:right="200"/>
              <w:spacing w:after="0" w:line="135" w:lineRule="exact"/>
              <w:rPr>
                <w:sz w:val="20"/>
                <w:szCs w:val="20"/>
                <w:color w:val="auto"/>
              </w:rPr>
            </w:pPr>
            <w:r>
              <w:rPr>
                <w:rFonts w:ascii="Times New Roman" w:cs="Times New Roman" w:eastAsia="Times New Roman" w:hAnsi="Times New Roman"/>
                <w:sz w:val="13"/>
                <w:szCs w:val="13"/>
                <w:b w:val="1"/>
                <w:bCs w:val="1"/>
                <w:color w:val="auto"/>
              </w:rPr>
              <w:t>or (Loss)</w:t>
            </w:r>
          </w:p>
        </w:tc>
        <w:tc>
          <w:tcPr>
            <w:tcW w:w="100" w:type="dxa"/>
            <w:vAlign w:val="bottom"/>
          </w:tcPr>
          <w:p>
            <w:pPr>
              <w:spacing w:after="0"/>
              <w:rPr>
                <w:sz w:val="11"/>
                <w:szCs w:val="11"/>
                <w:color w:val="auto"/>
              </w:rPr>
            </w:pPr>
          </w:p>
        </w:tc>
        <w:tc>
          <w:tcPr>
            <w:tcW w:w="920" w:type="dxa"/>
            <w:vAlign w:val="bottom"/>
          </w:tcPr>
          <w:p>
            <w:pPr>
              <w:jc w:val="center"/>
              <w:ind w:right="7"/>
              <w:spacing w:after="0" w:line="135" w:lineRule="exact"/>
              <w:rPr>
                <w:sz w:val="20"/>
                <w:szCs w:val="20"/>
                <w:color w:val="auto"/>
              </w:rPr>
            </w:pPr>
            <w:r>
              <w:rPr>
                <w:rFonts w:ascii="Times New Roman" w:cs="Times New Roman" w:eastAsia="Times New Roman" w:hAnsi="Times New Roman"/>
                <w:sz w:val="13"/>
                <w:szCs w:val="13"/>
                <w:b w:val="1"/>
                <w:bCs w:val="1"/>
                <w:color w:val="auto"/>
              </w:rPr>
              <w:t>or (Loss)</w:t>
            </w:r>
          </w:p>
        </w:tc>
        <w:tc>
          <w:tcPr>
            <w:tcW w:w="100" w:type="dxa"/>
            <w:vAlign w:val="bottom"/>
          </w:tcPr>
          <w:p>
            <w:pPr>
              <w:spacing w:after="0"/>
              <w:rPr>
                <w:sz w:val="11"/>
                <w:szCs w:val="11"/>
                <w:color w:val="auto"/>
              </w:rPr>
            </w:pPr>
          </w:p>
        </w:tc>
        <w:tc>
          <w:tcPr>
            <w:tcW w:w="154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rPr>
              <w:t>Location of Gain or</w:t>
            </w:r>
          </w:p>
        </w:tc>
        <w:tc>
          <w:tcPr>
            <w:tcW w:w="140" w:type="dxa"/>
            <w:vAlign w:val="bottom"/>
          </w:tcPr>
          <w:p>
            <w:pPr>
              <w:spacing w:after="0"/>
              <w:rPr>
                <w:sz w:val="11"/>
                <w:szCs w:val="11"/>
                <w:color w:val="auto"/>
              </w:rPr>
            </w:pPr>
          </w:p>
        </w:tc>
        <w:tc>
          <w:tcPr>
            <w:tcW w:w="980" w:type="dxa"/>
            <w:vAlign w:val="bottom"/>
            <w:gridSpan w:val="2"/>
          </w:tcPr>
          <w:p>
            <w:pPr>
              <w:jc w:val="center"/>
              <w:ind w:right="240"/>
              <w:spacing w:after="0" w:line="135" w:lineRule="exact"/>
              <w:rPr>
                <w:sz w:val="20"/>
                <w:szCs w:val="20"/>
                <w:color w:val="auto"/>
              </w:rPr>
            </w:pPr>
            <w:r>
              <w:rPr>
                <w:rFonts w:ascii="Times New Roman" w:cs="Times New Roman" w:eastAsia="Times New Roman" w:hAnsi="Times New Roman"/>
                <w:sz w:val="13"/>
                <w:szCs w:val="13"/>
                <w:b w:val="1"/>
                <w:bCs w:val="1"/>
                <w:color w:val="auto"/>
              </w:rPr>
              <w:t>or (Loss)</w:t>
            </w:r>
          </w:p>
        </w:tc>
        <w:tc>
          <w:tcPr>
            <w:tcW w:w="100" w:type="dxa"/>
            <w:vAlign w:val="bottom"/>
          </w:tcPr>
          <w:p>
            <w:pPr>
              <w:spacing w:after="0"/>
              <w:rPr>
                <w:sz w:val="11"/>
                <w:szCs w:val="11"/>
                <w:color w:val="auto"/>
              </w:rPr>
            </w:pPr>
          </w:p>
        </w:tc>
        <w:tc>
          <w:tcPr>
            <w:tcW w:w="102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3"/>
                <w:szCs w:val="13"/>
                <w:b w:val="1"/>
                <w:bCs w:val="1"/>
                <w:color w:val="auto"/>
              </w:rPr>
              <w:t>Reclassified</w:t>
            </w:r>
          </w:p>
        </w:tc>
        <w:tc>
          <w:tcPr>
            <w:tcW w:w="1020" w:type="dxa"/>
            <w:vAlign w:val="bottom"/>
            <w:gridSpan w:val="2"/>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rPr>
              <w:t>from AOCI into</w:t>
            </w:r>
          </w:p>
        </w:tc>
        <w:tc>
          <w:tcPr>
            <w:tcW w:w="0" w:type="dxa"/>
            <w:vAlign w:val="bottom"/>
          </w:tcPr>
          <w:p>
            <w:pPr>
              <w:spacing w:after="0"/>
              <w:rPr>
                <w:sz w:val="1"/>
                <w:szCs w:val="1"/>
                <w:color w:val="auto"/>
              </w:rPr>
            </w:pPr>
          </w:p>
        </w:tc>
      </w:tr>
      <w:tr>
        <w:trPr>
          <w:trHeight w:val="135"/>
        </w:trPr>
        <w:tc>
          <w:tcPr>
            <w:tcW w:w="312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Derivatives in Cash Flow</w:t>
            </w:r>
          </w:p>
        </w:tc>
        <w:tc>
          <w:tcPr>
            <w:tcW w:w="100" w:type="dxa"/>
            <w:vAlign w:val="bottom"/>
          </w:tcPr>
          <w:p>
            <w:pPr>
              <w:spacing w:after="0"/>
              <w:rPr>
                <w:sz w:val="11"/>
                <w:szCs w:val="11"/>
                <w:color w:val="auto"/>
              </w:rPr>
            </w:pPr>
          </w:p>
        </w:tc>
        <w:tc>
          <w:tcPr>
            <w:tcW w:w="1000" w:type="dxa"/>
            <w:vAlign w:val="bottom"/>
            <w:gridSpan w:val="2"/>
          </w:tcPr>
          <w:p>
            <w:pPr>
              <w:jc w:val="center"/>
              <w:ind w:right="200"/>
              <w:spacing w:after="0" w:line="135" w:lineRule="exact"/>
              <w:rPr>
                <w:sz w:val="20"/>
                <w:szCs w:val="20"/>
                <w:color w:val="auto"/>
              </w:rPr>
            </w:pPr>
            <w:r>
              <w:rPr>
                <w:rFonts w:ascii="Times New Roman" w:cs="Times New Roman" w:eastAsia="Times New Roman" w:hAnsi="Times New Roman"/>
                <w:sz w:val="13"/>
                <w:szCs w:val="13"/>
                <w:b w:val="1"/>
                <w:bCs w:val="1"/>
                <w:color w:val="auto"/>
              </w:rPr>
              <w:t>Recognized in</w:t>
            </w:r>
          </w:p>
        </w:tc>
        <w:tc>
          <w:tcPr>
            <w:tcW w:w="100" w:type="dxa"/>
            <w:vAlign w:val="bottom"/>
          </w:tcPr>
          <w:p>
            <w:pPr>
              <w:spacing w:after="0"/>
              <w:rPr>
                <w:sz w:val="11"/>
                <w:szCs w:val="11"/>
                <w:color w:val="auto"/>
              </w:rPr>
            </w:pPr>
          </w:p>
        </w:tc>
        <w:tc>
          <w:tcPr>
            <w:tcW w:w="1000" w:type="dxa"/>
            <w:vAlign w:val="bottom"/>
            <w:gridSpan w:val="2"/>
          </w:tcPr>
          <w:p>
            <w:pPr>
              <w:jc w:val="center"/>
              <w:ind w:right="200"/>
              <w:spacing w:after="0" w:line="135" w:lineRule="exact"/>
              <w:rPr>
                <w:sz w:val="20"/>
                <w:szCs w:val="20"/>
                <w:color w:val="auto"/>
              </w:rPr>
            </w:pPr>
            <w:r>
              <w:rPr>
                <w:rFonts w:ascii="Times New Roman" w:cs="Times New Roman" w:eastAsia="Times New Roman" w:hAnsi="Times New Roman"/>
                <w:sz w:val="13"/>
                <w:szCs w:val="13"/>
                <w:b w:val="1"/>
                <w:bCs w:val="1"/>
                <w:color w:val="auto"/>
              </w:rPr>
              <w:t>Recognized in</w:t>
            </w:r>
          </w:p>
        </w:tc>
        <w:tc>
          <w:tcPr>
            <w:tcW w:w="100" w:type="dxa"/>
            <w:vAlign w:val="bottom"/>
          </w:tcPr>
          <w:p>
            <w:pPr>
              <w:spacing w:after="0"/>
              <w:rPr>
                <w:sz w:val="11"/>
                <w:szCs w:val="11"/>
                <w:color w:val="auto"/>
              </w:rPr>
            </w:pPr>
          </w:p>
        </w:tc>
        <w:tc>
          <w:tcPr>
            <w:tcW w:w="920" w:type="dxa"/>
            <w:vAlign w:val="bottom"/>
          </w:tcPr>
          <w:p>
            <w:pPr>
              <w:jc w:val="center"/>
              <w:ind w:right="7"/>
              <w:spacing w:after="0" w:line="135" w:lineRule="exact"/>
              <w:rPr>
                <w:sz w:val="20"/>
                <w:szCs w:val="20"/>
                <w:color w:val="auto"/>
              </w:rPr>
            </w:pPr>
            <w:r>
              <w:rPr>
                <w:rFonts w:ascii="Times New Roman" w:cs="Times New Roman" w:eastAsia="Times New Roman" w:hAnsi="Times New Roman"/>
                <w:sz w:val="13"/>
                <w:szCs w:val="13"/>
                <w:b w:val="1"/>
                <w:bCs w:val="1"/>
                <w:color w:val="auto"/>
              </w:rPr>
              <w:t>Recognized in</w:t>
            </w:r>
          </w:p>
        </w:tc>
        <w:tc>
          <w:tcPr>
            <w:tcW w:w="100" w:type="dxa"/>
            <w:vAlign w:val="bottom"/>
          </w:tcPr>
          <w:p>
            <w:pPr>
              <w:spacing w:after="0"/>
              <w:rPr>
                <w:sz w:val="11"/>
                <w:szCs w:val="11"/>
                <w:color w:val="auto"/>
              </w:rPr>
            </w:pPr>
          </w:p>
        </w:tc>
        <w:tc>
          <w:tcPr>
            <w:tcW w:w="154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3"/>
                <w:szCs w:val="13"/>
                <w:b w:val="1"/>
                <w:bCs w:val="1"/>
                <w:color w:val="auto"/>
              </w:rPr>
              <w:t>Reclassified</w:t>
            </w:r>
          </w:p>
        </w:tc>
        <w:tc>
          <w:tcPr>
            <w:tcW w:w="1120" w:type="dxa"/>
            <w:vAlign w:val="bottom"/>
            <w:gridSpan w:val="3"/>
          </w:tcPr>
          <w:p>
            <w:pPr>
              <w:jc w:val="center"/>
              <w:ind w:right="100"/>
              <w:spacing w:after="0" w:line="135" w:lineRule="exact"/>
              <w:rPr>
                <w:sz w:val="20"/>
                <w:szCs w:val="20"/>
                <w:color w:val="auto"/>
              </w:rPr>
            </w:pPr>
            <w:r>
              <w:rPr>
                <w:rFonts w:ascii="Times New Roman" w:cs="Times New Roman" w:eastAsia="Times New Roman" w:hAnsi="Times New Roman"/>
                <w:sz w:val="13"/>
                <w:szCs w:val="13"/>
                <w:b w:val="1"/>
                <w:bCs w:val="1"/>
                <w:color w:val="auto"/>
              </w:rPr>
              <w:t>from AOCI into</w:t>
            </w:r>
          </w:p>
        </w:tc>
        <w:tc>
          <w:tcPr>
            <w:tcW w:w="120" w:type="dxa"/>
            <w:vAlign w:val="bottom"/>
          </w:tcPr>
          <w:p>
            <w:pPr>
              <w:spacing w:after="0"/>
              <w:rPr>
                <w:sz w:val="11"/>
                <w:szCs w:val="11"/>
                <w:color w:val="auto"/>
              </w:rPr>
            </w:pPr>
          </w:p>
        </w:tc>
        <w:tc>
          <w:tcPr>
            <w:tcW w:w="900" w:type="dxa"/>
            <w:vAlign w:val="bottom"/>
          </w:tcPr>
          <w:p>
            <w:pPr>
              <w:jc w:val="center"/>
              <w:ind w:right="49"/>
              <w:spacing w:after="0" w:line="135" w:lineRule="exact"/>
              <w:rPr>
                <w:sz w:val="20"/>
                <w:szCs w:val="20"/>
                <w:color w:val="auto"/>
              </w:rPr>
            </w:pPr>
            <w:r>
              <w:rPr>
                <w:rFonts w:ascii="Times New Roman" w:cs="Times New Roman" w:eastAsia="Times New Roman" w:hAnsi="Times New Roman"/>
                <w:sz w:val="13"/>
                <w:szCs w:val="13"/>
                <w:b w:val="1"/>
                <w:bCs w:val="1"/>
                <w:color w:val="auto"/>
              </w:rPr>
              <w:t>Income</w:t>
            </w:r>
          </w:p>
        </w:tc>
        <w:tc>
          <w:tcPr>
            <w:tcW w:w="0" w:type="dxa"/>
            <w:vAlign w:val="bottom"/>
          </w:tcPr>
          <w:p>
            <w:pPr>
              <w:spacing w:after="0"/>
              <w:rPr>
                <w:sz w:val="1"/>
                <w:szCs w:val="1"/>
                <w:color w:val="auto"/>
              </w:rPr>
            </w:pPr>
          </w:p>
        </w:tc>
      </w:tr>
      <w:tr>
        <w:trPr>
          <w:trHeight w:val="135"/>
        </w:trPr>
        <w:tc>
          <w:tcPr>
            <w:tcW w:w="312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gridSpan w:val="2"/>
          </w:tcPr>
          <w:p>
            <w:pPr>
              <w:jc w:val="center"/>
              <w:ind w:right="200"/>
              <w:spacing w:after="0" w:line="135" w:lineRule="exact"/>
              <w:rPr>
                <w:sz w:val="20"/>
                <w:szCs w:val="20"/>
                <w:color w:val="auto"/>
              </w:rPr>
            </w:pPr>
            <w:r>
              <w:rPr>
                <w:rFonts w:ascii="Times New Roman" w:cs="Times New Roman" w:eastAsia="Times New Roman" w:hAnsi="Times New Roman"/>
                <w:sz w:val="13"/>
                <w:szCs w:val="13"/>
                <w:b w:val="1"/>
                <w:bCs w:val="1"/>
                <w:color w:val="auto"/>
              </w:rPr>
              <w:t>OCI on</w:t>
            </w:r>
          </w:p>
        </w:tc>
        <w:tc>
          <w:tcPr>
            <w:tcW w:w="100" w:type="dxa"/>
            <w:vAlign w:val="bottom"/>
          </w:tcPr>
          <w:p>
            <w:pPr>
              <w:spacing w:after="0"/>
              <w:rPr>
                <w:sz w:val="11"/>
                <w:szCs w:val="11"/>
                <w:color w:val="auto"/>
              </w:rPr>
            </w:pPr>
          </w:p>
        </w:tc>
        <w:tc>
          <w:tcPr>
            <w:tcW w:w="1000" w:type="dxa"/>
            <w:vAlign w:val="bottom"/>
            <w:gridSpan w:val="2"/>
          </w:tcPr>
          <w:p>
            <w:pPr>
              <w:jc w:val="center"/>
              <w:ind w:right="200"/>
              <w:spacing w:after="0" w:line="135" w:lineRule="exact"/>
              <w:rPr>
                <w:sz w:val="20"/>
                <w:szCs w:val="20"/>
                <w:color w:val="auto"/>
              </w:rPr>
            </w:pPr>
            <w:r>
              <w:rPr>
                <w:rFonts w:ascii="Times New Roman" w:cs="Times New Roman" w:eastAsia="Times New Roman" w:hAnsi="Times New Roman"/>
                <w:sz w:val="13"/>
                <w:szCs w:val="13"/>
                <w:b w:val="1"/>
                <w:bCs w:val="1"/>
                <w:color w:val="auto"/>
              </w:rPr>
              <w:t>OCI Included</w:t>
            </w:r>
          </w:p>
        </w:tc>
        <w:tc>
          <w:tcPr>
            <w:tcW w:w="1020" w:type="dxa"/>
            <w:vAlign w:val="bottom"/>
            <w:gridSpan w:val="2"/>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rPr>
              <w:t>OCI Excluded</w:t>
            </w:r>
          </w:p>
        </w:tc>
        <w:tc>
          <w:tcPr>
            <w:tcW w:w="100" w:type="dxa"/>
            <w:vAlign w:val="bottom"/>
          </w:tcPr>
          <w:p>
            <w:pPr>
              <w:spacing w:after="0"/>
              <w:rPr>
                <w:sz w:val="11"/>
                <w:szCs w:val="11"/>
                <w:color w:val="auto"/>
              </w:rPr>
            </w:pPr>
          </w:p>
        </w:tc>
        <w:tc>
          <w:tcPr>
            <w:tcW w:w="1540" w:type="dxa"/>
            <w:vAlign w:val="bottom"/>
            <w:gridSpan w:val="2"/>
          </w:tcPr>
          <w:p>
            <w:pPr>
              <w:jc w:val="center"/>
              <w:ind w:right="80"/>
              <w:spacing w:after="0" w:line="135" w:lineRule="exact"/>
              <w:rPr>
                <w:sz w:val="20"/>
                <w:szCs w:val="20"/>
                <w:color w:val="auto"/>
              </w:rPr>
            </w:pPr>
            <w:r>
              <w:rPr>
                <w:rFonts w:ascii="Times New Roman" w:cs="Times New Roman" w:eastAsia="Times New Roman" w:hAnsi="Times New Roman"/>
                <w:sz w:val="13"/>
                <w:szCs w:val="13"/>
                <w:b w:val="1"/>
                <w:bCs w:val="1"/>
                <w:color w:val="auto"/>
              </w:rPr>
              <w:t>(Loss) Reclassified from</w:t>
            </w:r>
          </w:p>
        </w:tc>
        <w:tc>
          <w:tcPr>
            <w:tcW w:w="1120" w:type="dxa"/>
            <w:vAlign w:val="bottom"/>
            <w:gridSpan w:val="3"/>
          </w:tcPr>
          <w:p>
            <w:pPr>
              <w:jc w:val="center"/>
              <w:ind w:right="100"/>
              <w:spacing w:after="0" w:line="135" w:lineRule="exact"/>
              <w:rPr>
                <w:sz w:val="20"/>
                <w:szCs w:val="20"/>
                <w:color w:val="auto"/>
              </w:rPr>
            </w:pPr>
            <w:r>
              <w:rPr>
                <w:rFonts w:ascii="Times New Roman" w:cs="Times New Roman" w:eastAsia="Times New Roman" w:hAnsi="Times New Roman"/>
                <w:sz w:val="13"/>
                <w:szCs w:val="13"/>
                <w:b w:val="1"/>
                <w:bCs w:val="1"/>
                <w:color w:val="auto"/>
              </w:rPr>
              <w:t>from AOCI into</w:t>
            </w:r>
          </w:p>
        </w:tc>
        <w:tc>
          <w:tcPr>
            <w:tcW w:w="1120" w:type="dxa"/>
            <w:vAlign w:val="bottom"/>
            <w:gridSpan w:val="3"/>
          </w:tcPr>
          <w:p>
            <w:pPr>
              <w:jc w:val="center"/>
              <w:ind w:right="100"/>
              <w:spacing w:after="0" w:line="135" w:lineRule="exact"/>
              <w:rPr>
                <w:sz w:val="20"/>
                <w:szCs w:val="20"/>
                <w:color w:val="auto"/>
              </w:rPr>
            </w:pPr>
            <w:r>
              <w:rPr>
                <w:rFonts w:ascii="Times New Roman" w:cs="Times New Roman" w:eastAsia="Times New Roman" w:hAnsi="Times New Roman"/>
                <w:sz w:val="13"/>
                <w:szCs w:val="13"/>
                <w:b w:val="1"/>
                <w:bCs w:val="1"/>
                <w:color w:val="auto"/>
              </w:rPr>
              <w:t>Income Included</w:t>
            </w:r>
          </w:p>
        </w:tc>
        <w:tc>
          <w:tcPr>
            <w:tcW w:w="120" w:type="dxa"/>
            <w:vAlign w:val="bottom"/>
          </w:tcPr>
          <w:p>
            <w:pPr>
              <w:spacing w:after="0"/>
              <w:rPr>
                <w:sz w:val="11"/>
                <w:szCs w:val="11"/>
                <w:color w:val="auto"/>
              </w:rPr>
            </w:pPr>
          </w:p>
        </w:tc>
        <w:tc>
          <w:tcPr>
            <w:tcW w:w="900" w:type="dxa"/>
            <w:vAlign w:val="bottom"/>
          </w:tcPr>
          <w:p>
            <w:pPr>
              <w:jc w:val="center"/>
              <w:ind w:right="49"/>
              <w:spacing w:after="0" w:line="135" w:lineRule="exact"/>
              <w:rPr>
                <w:sz w:val="20"/>
                <w:szCs w:val="20"/>
                <w:color w:val="auto"/>
              </w:rPr>
            </w:pPr>
            <w:r>
              <w:rPr>
                <w:rFonts w:ascii="Times New Roman" w:cs="Times New Roman" w:eastAsia="Times New Roman" w:hAnsi="Times New Roman"/>
                <w:sz w:val="13"/>
                <w:szCs w:val="13"/>
                <w:b w:val="1"/>
                <w:bCs w:val="1"/>
                <w:color w:val="auto"/>
              </w:rPr>
              <w:t>Excluded</w:t>
            </w:r>
          </w:p>
        </w:tc>
        <w:tc>
          <w:tcPr>
            <w:tcW w:w="0" w:type="dxa"/>
            <w:vAlign w:val="bottom"/>
          </w:tcPr>
          <w:p>
            <w:pPr>
              <w:spacing w:after="0"/>
              <w:rPr>
                <w:sz w:val="1"/>
                <w:szCs w:val="1"/>
                <w:color w:val="auto"/>
              </w:rPr>
            </w:pPr>
          </w:p>
        </w:tc>
      </w:tr>
      <w:tr>
        <w:trPr>
          <w:trHeight w:val="184"/>
        </w:trPr>
        <w:tc>
          <w:tcPr>
            <w:tcW w:w="312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Hedging Relationships</w:t>
            </w:r>
          </w:p>
        </w:tc>
        <w:tc>
          <w:tcPr>
            <w:tcW w:w="100" w:type="dxa"/>
            <w:vAlign w:val="bottom"/>
          </w:tcPr>
          <w:p>
            <w:pPr>
              <w:spacing w:after="0"/>
              <w:rPr>
                <w:sz w:val="15"/>
                <w:szCs w:val="15"/>
                <w:color w:val="auto"/>
              </w:rPr>
            </w:pPr>
          </w:p>
        </w:tc>
        <w:tc>
          <w:tcPr>
            <w:tcW w:w="100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rPr>
              <w:t>Derivative</w:t>
            </w:r>
          </w:p>
        </w:tc>
        <w:tc>
          <w:tcPr>
            <w:tcW w:w="100" w:type="dxa"/>
            <w:vAlign w:val="bottom"/>
          </w:tcPr>
          <w:p>
            <w:pPr>
              <w:spacing w:after="0"/>
              <w:rPr>
                <w:sz w:val="15"/>
                <w:szCs w:val="15"/>
                <w:color w:val="auto"/>
              </w:rPr>
            </w:pPr>
          </w:p>
        </w:tc>
        <w:tc>
          <w:tcPr>
            <w:tcW w:w="100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rPr>
              <w:t>Component</w:t>
            </w:r>
          </w:p>
        </w:tc>
        <w:tc>
          <w:tcPr>
            <w:tcW w:w="100" w:type="dxa"/>
            <w:vAlign w:val="bottom"/>
          </w:tcPr>
          <w:p>
            <w:pPr>
              <w:spacing w:after="0"/>
              <w:rPr>
                <w:sz w:val="15"/>
                <w:szCs w:val="15"/>
                <w:color w:val="auto"/>
              </w:rPr>
            </w:pPr>
          </w:p>
        </w:tc>
        <w:tc>
          <w:tcPr>
            <w:tcW w:w="920" w:type="dxa"/>
            <w:vAlign w:val="bottom"/>
          </w:tcPr>
          <w:p>
            <w:pPr>
              <w:jc w:val="center"/>
              <w:ind w:right="7"/>
              <w:spacing w:after="0"/>
              <w:rPr>
                <w:sz w:val="20"/>
                <w:szCs w:val="20"/>
                <w:color w:val="auto"/>
              </w:rPr>
            </w:pPr>
            <w:r>
              <w:rPr>
                <w:rFonts w:ascii="Times New Roman" w:cs="Times New Roman" w:eastAsia="Times New Roman" w:hAnsi="Times New Roman"/>
                <w:sz w:val="13"/>
                <w:szCs w:val="13"/>
                <w:b w:val="1"/>
                <w:bCs w:val="1"/>
                <w:color w:val="auto"/>
              </w:rPr>
              <w:t>Component</w:t>
            </w:r>
          </w:p>
        </w:tc>
        <w:tc>
          <w:tcPr>
            <w:tcW w:w="100" w:type="dxa"/>
            <w:vAlign w:val="bottom"/>
          </w:tcPr>
          <w:p>
            <w:pPr>
              <w:spacing w:after="0"/>
              <w:rPr>
                <w:sz w:val="15"/>
                <w:szCs w:val="15"/>
                <w:color w:val="auto"/>
              </w:rPr>
            </w:pPr>
          </w:p>
        </w:tc>
        <w:tc>
          <w:tcPr>
            <w:tcW w:w="154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rPr>
              <w:t>AOCI into Income</w:t>
            </w:r>
          </w:p>
        </w:tc>
        <w:tc>
          <w:tcPr>
            <w:tcW w:w="140" w:type="dxa"/>
            <w:vAlign w:val="bottom"/>
          </w:tcPr>
          <w:p>
            <w:pPr>
              <w:spacing w:after="0"/>
              <w:rPr>
                <w:sz w:val="15"/>
                <w:szCs w:val="15"/>
                <w:color w:val="auto"/>
              </w:rPr>
            </w:pPr>
          </w:p>
        </w:tc>
        <w:tc>
          <w:tcPr>
            <w:tcW w:w="98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rPr>
              <w:t>Income</w:t>
            </w:r>
          </w:p>
        </w:tc>
        <w:tc>
          <w:tcPr>
            <w:tcW w:w="100" w:type="dxa"/>
            <w:vAlign w:val="bottom"/>
          </w:tcPr>
          <w:p>
            <w:pPr>
              <w:spacing w:after="0"/>
              <w:rPr>
                <w:sz w:val="15"/>
                <w:szCs w:val="15"/>
                <w:color w:val="auto"/>
              </w:rPr>
            </w:pPr>
          </w:p>
        </w:tc>
        <w:tc>
          <w:tcPr>
            <w:tcW w:w="102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Component</w:t>
            </w:r>
          </w:p>
        </w:tc>
        <w:tc>
          <w:tcPr>
            <w:tcW w:w="120" w:type="dxa"/>
            <w:vAlign w:val="bottom"/>
          </w:tcPr>
          <w:p>
            <w:pPr>
              <w:spacing w:after="0"/>
              <w:rPr>
                <w:sz w:val="15"/>
                <w:szCs w:val="15"/>
                <w:color w:val="auto"/>
              </w:rPr>
            </w:pPr>
          </w:p>
        </w:tc>
        <w:tc>
          <w:tcPr>
            <w:tcW w:w="900" w:type="dxa"/>
            <w:vAlign w:val="bottom"/>
          </w:tcPr>
          <w:p>
            <w:pPr>
              <w:jc w:val="center"/>
              <w:ind w:right="69"/>
              <w:spacing w:after="0"/>
              <w:rPr>
                <w:sz w:val="20"/>
                <w:szCs w:val="20"/>
                <w:color w:val="auto"/>
              </w:rPr>
            </w:pPr>
            <w:r>
              <w:rPr>
                <w:rFonts w:ascii="Times New Roman" w:cs="Times New Roman" w:eastAsia="Times New Roman" w:hAnsi="Times New Roman"/>
                <w:sz w:val="13"/>
                <w:szCs w:val="13"/>
                <w:b w:val="1"/>
                <w:bCs w:val="1"/>
                <w:color w:val="auto"/>
              </w:rPr>
              <w:t>Component</w:t>
            </w:r>
          </w:p>
        </w:tc>
        <w:tc>
          <w:tcPr>
            <w:tcW w:w="0" w:type="dxa"/>
            <w:vAlign w:val="bottom"/>
          </w:tcPr>
          <w:p>
            <w:pPr>
              <w:spacing w:after="0"/>
              <w:rPr>
                <w:sz w:val="1"/>
                <w:szCs w:val="1"/>
                <w:color w:val="auto"/>
              </w:rPr>
            </w:pPr>
          </w:p>
        </w:tc>
      </w:tr>
      <w:tr>
        <w:trPr>
          <w:trHeight w:val="215"/>
        </w:trPr>
        <w:tc>
          <w:tcPr>
            <w:tcW w:w="30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Rate Products</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(348)</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(348)</w:t>
            </w: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bottom w:val="single" w:sz="8" w:color="auto"/>
            </w:tcBorders>
            <w:shd w:val="clear" w:color="auto" w:fill="CCEEFF"/>
          </w:tcPr>
          <w:p>
            <w:pPr>
              <w:ind w:left="7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Interest Income</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(423)</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(423)</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bottom w:val="single" w:sz="8" w:color="auto"/>
            </w:tcBorders>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7"/>
        </w:trPr>
        <w:tc>
          <w:tcPr>
            <w:tcW w:w="3120" w:type="dxa"/>
            <w:vAlign w:val="bottom"/>
            <w:gridSpan w:val="2"/>
          </w:tcPr>
          <w:p>
            <w:pPr>
              <w:ind w:left="240"/>
              <w:spacing w:after="0"/>
              <w:rPr>
                <w:sz w:val="20"/>
                <w:szCs w:val="20"/>
                <w:color w:val="auto"/>
              </w:rPr>
            </w:pPr>
            <w:r>
              <w:rPr>
                <w:rFonts w:ascii="Times New Roman" w:cs="Times New Roman" w:eastAsia="Times New Roman" w:hAnsi="Times New Roman"/>
                <w:sz w:val="16"/>
                <w:szCs w:val="16"/>
                <w:color w:val="auto"/>
              </w:rPr>
              <w:t>Total</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(348)</w:t>
            </w:r>
          </w:p>
        </w:tc>
        <w:tc>
          <w:tcPr>
            <w:tcW w:w="10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(348)</w:t>
            </w:r>
          </w:p>
        </w:tc>
        <w:tc>
          <w:tcPr>
            <w:tcW w:w="8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tcPr>
          <w:p>
            <w:pPr>
              <w:ind w:left="7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(423)</w:t>
            </w:r>
          </w:p>
        </w:tc>
        <w:tc>
          <w:tcPr>
            <w:tcW w:w="10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(423)</w:t>
            </w:r>
          </w:p>
        </w:tc>
        <w:tc>
          <w:tcPr>
            <w:tcW w:w="10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tcPr>
          <w:p>
            <w:pPr>
              <w:ind w:left="68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bl>
    <w:p>
      <w:pPr>
        <w:spacing w:after="0" w:line="238"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The table below presents the effect of cash flow hedge accounting on AOCI for the six months ended June 30, 2024, and June 30, 2023, as follows (in thousands):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9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80" w:type="dxa"/>
            <w:vAlign w:val="bottom"/>
            <w:gridSpan w:val="4"/>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9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29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2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rPr>
              <w:t>Amount of Gain</w:t>
            </w:r>
          </w:p>
        </w:tc>
        <w:tc>
          <w:tcPr>
            <w:tcW w:w="1020" w:type="dxa"/>
            <w:vAlign w:val="bottom"/>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rPr>
              <w:t>Amount of Gain</w:t>
            </w:r>
          </w:p>
        </w:tc>
        <w:tc>
          <w:tcPr>
            <w:tcW w:w="0" w:type="dxa"/>
            <w:vAlign w:val="bottom"/>
          </w:tcPr>
          <w:p>
            <w:pPr>
              <w:spacing w:after="0"/>
              <w:rPr>
                <w:sz w:val="1"/>
                <w:szCs w:val="1"/>
                <w:color w:val="auto"/>
              </w:rPr>
            </w:pPr>
          </w:p>
        </w:tc>
      </w:tr>
      <w:tr>
        <w:trPr>
          <w:trHeight w:val="135"/>
        </w:trPr>
        <w:tc>
          <w:tcPr>
            <w:tcW w:w="29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80" w:type="dxa"/>
            <w:vAlign w:val="bottom"/>
            <w:gridSpan w:val="4"/>
            <w:vMerge w:val="restart"/>
          </w:tcPr>
          <w:p>
            <w:pPr>
              <w:spacing w:after="0"/>
              <w:rPr>
                <w:sz w:val="20"/>
                <w:szCs w:val="20"/>
                <w:color w:val="auto"/>
              </w:rPr>
            </w:pPr>
            <w:r>
              <w:rPr>
                <w:rFonts w:ascii="Times New Roman" w:cs="Times New Roman" w:eastAsia="Times New Roman" w:hAnsi="Times New Roman"/>
                <w:sz w:val="13"/>
                <w:szCs w:val="13"/>
                <w:b w:val="1"/>
                <w:bCs w:val="1"/>
                <w:color w:val="auto"/>
              </w:rPr>
              <w:t>Amount of Gain</w:t>
            </w:r>
          </w:p>
        </w:tc>
        <w:tc>
          <w:tcPr>
            <w:tcW w:w="20" w:type="dxa"/>
            <w:vAlign w:val="bottom"/>
          </w:tcPr>
          <w:p>
            <w:pPr>
              <w:spacing w:after="0"/>
              <w:rPr>
                <w:sz w:val="11"/>
                <w:szCs w:val="11"/>
                <w:color w:val="auto"/>
              </w:rPr>
            </w:pPr>
          </w:p>
        </w:tc>
        <w:tc>
          <w:tcPr>
            <w:tcW w:w="1080" w:type="dxa"/>
            <w:vAlign w:val="bottom"/>
            <w:gridSpan w:val="4"/>
            <w:vMerge w:val="restart"/>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rPr>
              <w:t>Amount of Gain</w:t>
            </w:r>
          </w:p>
        </w:tc>
        <w:tc>
          <w:tcPr>
            <w:tcW w:w="40" w:type="dxa"/>
            <w:vAlign w:val="bottom"/>
          </w:tcPr>
          <w:p>
            <w:pPr>
              <w:spacing w:after="0"/>
              <w:rPr>
                <w:sz w:val="11"/>
                <w:szCs w:val="11"/>
                <w:color w:val="auto"/>
              </w:rPr>
            </w:pPr>
          </w:p>
        </w:tc>
        <w:tc>
          <w:tcPr>
            <w:tcW w:w="98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b w:val="1"/>
                <w:bCs w:val="1"/>
                <w:color w:val="auto"/>
              </w:rPr>
              <w:t>Amount of Gain</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100" w:type="dxa"/>
            <w:vAlign w:val="bottom"/>
            <w:gridSpan w:val="3"/>
            <w:vMerge w:val="restart"/>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rPr>
              <w:t>Amount of Gain</w:t>
            </w:r>
          </w:p>
        </w:tc>
        <w:tc>
          <w:tcPr>
            <w:tcW w:w="1120" w:type="dxa"/>
            <w:vAlign w:val="bottom"/>
            <w:gridSpan w:val="3"/>
            <w:vMerge w:val="continue"/>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jc w:val="center"/>
              <w:ind w:right="48"/>
              <w:spacing w:after="0" w:line="135" w:lineRule="exact"/>
              <w:rPr>
                <w:sz w:val="20"/>
                <w:szCs w:val="20"/>
                <w:color w:val="auto"/>
              </w:rPr>
            </w:pPr>
            <w:r>
              <w:rPr>
                <w:rFonts w:ascii="Times New Roman" w:cs="Times New Roman" w:eastAsia="Times New Roman" w:hAnsi="Times New Roman"/>
                <w:sz w:val="13"/>
                <w:szCs w:val="13"/>
                <w:b w:val="1"/>
                <w:bCs w:val="1"/>
                <w:color w:val="auto"/>
              </w:rPr>
              <w:t>or (Loss)</w:t>
            </w:r>
          </w:p>
        </w:tc>
        <w:tc>
          <w:tcPr>
            <w:tcW w:w="0" w:type="dxa"/>
            <w:vAlign w:val="bottom"/>
          </w:tcPr>
          <w:p>
            <w:pPr>
              <w:spacing w:after="0"/>
              <w:rPr>
                <w:sz w:val="1"/>
                <w:szCs w:val="1"/>
                <w:color w:val="auto"/>
              </w:rPr>
            </w:pPr>
          </w:p>
        </w:tc>
      </w:tr>
      <w:tr>
        <w:trPr>
          <w:trHeight w:val="135"/>
        </w:trPr>
        <w:tc>
          <w:tcPr>
            <w:tcW w:w="29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80" w:type="dxa"/>
            <w:vAlign w:val="bottom"/>
            <w:gridSpan w:val="4"/>
            <w:vMerge w:val="continue"/>
          </w:tcPr>
          <w:p>
            <w:pPr>
              <w:spacing w:after="0"/>
              <w:rPr>
                <w:sz w:val="11"/>
                <w:szCs w:val="11"/>
                <w:color w:val="auto"/>
              </w:rPr>
            </w:pPr>
          </w:p>
        </w:tc>
        <w:tc>
          <w:tcPr>
            <w:tcW w:w="20" w:type="dxa"/>
            <w:vAlign w:val="bottom"/>
          </w:tcPr>
          <w:p>
            <w:pPr>
              <w:spacing w:after="0"/>
              <w:rPr>
                <w:sz w:val="11"/>
                <w:szCs w:val="11"/>
                <w:color w:val="auto"/>
              </w:rPr>
            </w:pPr>
          </w:p>
        </w:tc>
        <w:tc>
          <w:tcPr>
            <w:tcW w:w="1080" w:type="dxa"/>
            <w:vAlign w:val="bottom"/>
            <w:gridSpan w:val="4"/>
            <w:vMerge w:val="continue"/>
          </w:tcPr>
          <w:p>
            <w:pPr>
              <w:spacing w:after="0"/>
              <w:rPr>
                <w:sz w:val="11"/>
                <w:szCs w:val="11"/>
                <w:color w:val="auto"/>
              </w:rPr>
            </w:pPr>
          </w:p>
        </w:tc>
        <w:tc>
          <w:tcPr>
            <w:tcW w:w="40" w:type="dxa"/>
            <w:vAlign w:val="bottom"/>
          </w:tcPr>
          <w:p>
            <w:pPr>
              <w:spacing w:after="0"/>
              <w:rPr>
                <w:sz w:val="11"/>
                <w:szCs w:val="11"/>
                <w:color w:val="auto"/>
              </w:rPr>
            </w:pPr>
          </w:p>
        </w:tc>
        <w:tc>
          <w:tcPr>
            <w:tcW w:w="980" w:type="dxa"/>
            <w:vAlign w:val="bottom"/>
            <w:gridSpan w:val="2"/>
            <w:vMerge w:val="continue"/>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100" w:type="dxa"/>
            <w:vAlign w:val="bottom"/>
            <w:gridSpan w:val="3"/>
            <w:vMerge w:val="continue"/>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3"/>
                <w:szCs w:val="13"/>
                <w:b w:val="1"/>
                <w:bCs w:val="1"/>
                <w:color w:val="auto"/>
              </w:rPr>
              <w:t>or (Loss)</w:t>
            </w:r>
          </w:p>
        </w:tc>
        <w:tc>
          <w:tcPr>
            <w:tcW w:w="120" w:type="dxa"/>
            <w:vAlign w:val="bottom"/>
          </w:tcPr>
          <w:p>
            <w:pPr>
              <w:spacing w:after="0"/>
              <w:rPr>
                <w:sz w:val="11"/>
                <w:szCs w:val="11"/>
                <w:color w:val="auto"/>
              </w:rPr>
            </w:pPr>
          </w:p>
        </w:tc>
        <w:tc>
          <w:tcPr>
            <w:tcW w:w="900" w:type="dxa"/>
            <w:vAlign w:val="bottom"/>
          </w:tcPr>
          <w:p>
            <w:pPr>
              <w:jc w:val="center"/>
              <w:ind w:right="68"/>
              <w:spacing w:after="0" w:line="135" w:lineRule="exact"/>
              <w:rPr>
                <w:sz w:val="20"/>
                <w:szCs w:val="20"/>
                <w:color w:val="auto"/>
              </w:rPr>
            </w:pPr>
            <w:r>
              <w:rPr>
                <w:rFonts w:ascii="Times New Roman" w:cs="Times New Roman" w:eastAsia="Times New Roman" w:hAnsi="Times New Roman"/>
                <w:sz w:val="13"/>
                <w:szCs w:val="13"/>
                <w:b w:val="1"/>
                <w:bCs w:val="1"/>
                <w:color w:val="auto"/>
              </w:rPr>
              <w:t>Reclassified</w:t>
            </w:r>
          </w:p>
        </w:tc>
        <w:tc>
          <w:tcPr>
            <w:tcW w:w="0" w:type="dxa"/>
            <w:vAlign w:val="bottom"/>
          </w:tcPr>
          <w:p>
            <w:pPr>
              <w:spacing w:after="0"/>
              <w:rPr>
                <w:sz w:val="1"/>
                <w:szCs w:val="1"/>
                <w:color w:val="auto"/>
              </w:rPr>
            </w:pPr>
          </w:p>
        </w:tc>
      </w:tr>
      <w:tr>
        <w:trPr>
          <w:trHeight w:val="135"/>
        </w:trPr>
        <w:tc>
          <w:tcPr>
            <w:tcW w:w="29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gridSpan w:val="3"/>
          </w:tcPr>
          <w:p>
            <w:pPr>
              <w:jc w:val="center"/>
              <w:ind w:right="220"/>
              <w:spacing w:after="0" w:line="135" w:lineRule="exact"/>
              <w:rPr>
                <w:sz w:val="20"/>
                <w:szCs w:val="20"/>
                <w:color w:val="auto"/>
              </w:rPr>
            </w:pPr>
            <w:r>
              <w:rPr>
                <w:rFonts w:ascii="Times New Roman" w:cs="Times New Roman" w:eastAsia="Times New Roman" w:hAnsi="Times New Roman"/>
                <w:sz w:val="13"/>
                <w:szCs w:val="13"/>
                <w:b w:val="1"/>
                <w:bCs w:val="1"/>
                <w:color w:val="auto"/>
              </w:rPr>
              <w:t>or (Loss)</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gridSpan w:val="3"/>
          </w:tcPr>
          <w:p>
            <w:pPr>
              <w:jc w:val="center"/>
              <w:ind w:right="220"/>
              <w:spacing w:after="0" w:line="135" w:lineRule="exact"/>
              <w:rPr>
                <w:sz w:val="20"/>
                <w:szCs w:val="20"/>
                <w:color w:val="auto"/>
              </w:rPr>
            </w:pPr>
            <w:r>
              <w:rPr>
                <w:rFonts w:ascii="Times New Roman" w:cs="Times New Roman" w:eastAsia="Times New Roman" w:hAnsi="Times New Roman"/>
                <w:sz w:val="13"/>
                <w:szCs w:val="13"/>
                <w:b w:val="1"/>
                <w:bCs w:val="1"/>
                <w:color w:val="auto"/>
              </w:rPr>
              <w:t>or (Loss)</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jc w:val="center"/>
              <w:ind w:right="66"/>
              <w:spacing w:after="0" w:line="135" w:lineRule="exact"/>
              <w:rPr>
                <w:sz w:val="20"/>
                <w:szCs w:val="20"/>
                <w:color w:val="auto"/>
              </w:rPr>
            </w:pPr>
            <w:r>
              <w:rPr>
                <w:rFonts w:ascii="Times New Roman" w:cs="Times New Roman" w:eastAsia="Times New Roman" w:hAnsi="Times New Roman"/>
                <w:sz w:val="13"/>
                <w:szCs w:val="13"/>
                <w:b w:val="1"/>
                <w:bCs w:val="1"/>
                <w:color w:val="auto"/>
              </w:rPr>
              <w:t>or (Loss)</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0" w:type="dxa"/>
            <w:vAlign w:val="bottom"/>
            <w:gridSpan w:val="3"/>
            <w:vMerge w:val="restart"/>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rPr>
              <w:t>Location of Gain or</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gridSpan w:val="2"/>
          </w:tcPr>
          <w:p>
            <w:pPr>
              <w:jc w:val="center"/>
              <w:ind w:right="260"/>
              <w:spacing w:after="0" w:line="135" w:lineRule="exact"/>
              <w:rPr>
                <w:sz w:val="20"/>
                <w:szCs w:val="20"/>
                <w:color w:val="auto"/>
              </w:rPr>
            </w:pPr>
            <w:r>
              <w:rPr>
                <w:rFonts w:ascii="Times New Roman" w:cs="Times New Roman" w:eastAsia="Times New Roman" w:hAnsi="Times New Roman"/>
                <w:sz w:val="13"/>
                <w:szCs w:val="13"/>
                <w:b w:val="1"/>
                <w:bCs w:val="1"/>
                <w:color w:val="auto"/>
              </w:rPr>
              <w:t>or (Loss)</w:t>
            </w:r>
          </w:p>
        </w:tc>
        <w:tc>
          <w:tcPr>
            <w:tcW w:w="100" w:type="dxa"/>
            <w:vAlign w:val="bottom"/>
          </w:tcPr>
          <w:p>
            <w:pPr>
              <w:spacing w:after="0"/>
              <w:rPr>
                <w:sz w:val="11"/>
                <w:szCs w:val="11"/>
                <w:color w:val="auto"/>
              </w:rPr>
            </w:pPr>
          </w:p>
        </w:tc>
        <w:tc>
          <w:tcPr>
            <w:tcW w:w="102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3"/>
                <w:szCs w:val="13"/>
                <w:b w:val="1"/>
                <w:bCs w:val="1"/>
                <w:color w:val="auto"/>
              </w:rPr>
              <w:t>Reclassified</w:t>
            </w:r>
          </w:p>
        </w:tc>
        <w:tc>
          <w:tcPr>
            <w:tcW w:w="1020" w:type="dxa"/>
            <w:vAlign w:val="bottom"/>
            <w:gridSpan w:val="2"/>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rPr>
              <w:t>from AOCI into</w:t>
            </w:r>
          </w:p>
        </w:tc>
        <w:tc>
          <w:tcPr>
            <w:tcW w:w="0" w:type="dxa"/>
            <w:vAlign w:val="bottom"/>
          </w:tcPr>
          <w:p>
            <w:pPr>
              <w:spacing w:after="0"/>
              <w:rPr>
                <w:sz w:val="1"/>
                <w:szCs w:val="1"/>
                <w:color w:val="auto"/>
              </w:rPr>
            </w:pPr>
          </w:p>
        </w:tc>
      </w:tr>
      <w:tr>
        <w:trPr>
          <w:trHeight w:val="135"/>
        </w:trPr>
        <w:tc>
          <w:tcPr>
            <w:tcW w:w="3040" w:type="dxa"/>
            <w:vAlign w:val="bottom"/>
            <w:gridSpan w:val="3"/>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Derivatives in Cash Flow</w:t>
            </w:r>
          </w:p>
        </w:tc>
        <w:tc>
          <w:tcPr>
            <w:tcW w:w="20" w:type="dxa"/>
            <w:vAlign w:val="bottom"/>
          </w:tcPr>
          <w:p>
            <w:pPr>
              <w:spacing w:after="0"/>
              <w:rPr>
                <w:sz w:val="11"/>
                <w:szCs w:val="11"/>
                <w:color w:val="auto"/>
              </w:rPr>
            </w:pPr>
          </w:p>
        </w:tc>
        <w:tc>
          <w:tcPr>
            <w:tcW w:w="1080" w:type="dxa"/>
            <w:vAlign w:val="bottom"/>
            <w:gridSpan w:val="4"/>
          </w:tcPr>
          <w:p>
            <w:pPr>
              <w:jc w:val="center"/>
              <w:ind w:right="120"/>
              <w:spacing w:after="0" w:line="135" w:lineRule="exact"/>
              <w:rPr>
                <w:sz w:val="20"/>
                <w:szCs w:val="20"/>
                <w:color w:val="auto"/>
              </w:rPr>
            </w:pPr>
            <w:r>
              <w:rPr>
                <w:rFonts w:ascii="Times New Roman" w:cs="Times New Roman" w:eastAsia="Times New Roman" w:hAnsi="Times New Roman"/>
                <w:sz w:val="13"/>
                <w:szCs w:val="13"/>
                <w:b w:val="1"/>
                <w:bCs w:val="1"/>
                <w:color w:val="auto"/>
              </w:rPr>
              <w:t>Recognized in</w:t>
            </w:r>
          </w:p>
        </w:tc>
        <w:tc>
          <w:tcPr>
            <w:tcW w:w="20" w:type="dxa"/>
            <w:vAlign w:val="bottom"/>
          </w:tcPr>
          <w:p>
            <w:pPr>
              <w:spacing w:after="0"/>
              <w:rPr>
                <w:sz w:val="11"/>
                <w:szCs w:val="11"/>
                <w:color w:val="auto"/>
              </w:rPr>
            </w:pPr>
          </w:p>
        </w:tc>
        <w:tc>
          <w:tcPr>
            <w:tcW w:w="1080" w:type="dxa"/>
            <w:vAlign w:val="bottom"/>
            <w:gridSpan w:val="4"/>
          </w:tcPr>
          <w:p>
            <w:pPr>
              <w:jc w:val="center"/>
              <w:ind w:right="120"/>
              <w:spacing w:after="0" w:line="135" w:lineRule="exact"/>
              <w:rPr>
                <w:sz w:val="20"/>
                <w:szCs w:val="20"/>
                <w:color w:val="auto"/>
              </w:rPr>
            </w:pPr>
            <w:r>
              <w:rPr>
                <w:rFonts w:ascii="Times New Roman" w:cs="Times New Roman" w:eastAsia="Times New Roman" w:hAnsi="Times New Roman"/>
                <w:sz w:val="13"/>
                <w:szCs w:val="13"/>
                <w:b w:val="1"/>
                <w:bCs w:val="1"/>
                <w:color w:val="auto"/>
              </w:rPr>
              <w:t>Recognized in</w:t>
            </w:r>
          </w:p>
        </w:tc>
        <w:tc>
          <w:tcPr>
            <w:tcW w:w="40" w:type="dxa"/>
            <w:vAlign w:val="bottom"/>
          </w:tcPr>
          <w:p>
            <w:pPr>
              <w:spacing w:after="0"/>
              <w:rPr>
                <w:sz w:val="11"/>
                <w:szCs w:val="11"/>
                <w:color w:val="auto"/>
              </w:rPr>
            </w:pPr>
          </w:p>
        </w:tc>
        <w:tc>
          <w:tcPr>
            <w:tcW w:w="980" w:type="dxa"/>
            <w:vAlign w:val="bottom"/>
            <w:gridSpan w:val="2"/>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rPr>
              <w:t>Recognized in</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0" w:type="dxa"/>
            <w:vAlign w:val="bottom"/>
            <w:gridSpan w:val="3"/>
            <w:vMerge w:val="continue"/>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gridSpan w:val="2"/>
          </w:tcPr>
          <w:p>
            <w:pPr>
              <w:jc w:val="center"/>
              <w:ind w:right="260"/>
              <w:spacing w:after="0" w:line="135" w:lineRule="exact"/>
              <w:rPr>
                <w:sz w:val="20"/>
                <w:szCs w:val="20"/>
                <w:color w:val="auto"/>
              </w:rPr>
            </w:pPr>
            <w:r>
              <w:rPr>
                <w:rFonts w:ascii="Times New Roman" w:cs="Times New Roman" w:eastAsia="Times New Roman" w:hAnsi="Times New Roman"/>
                <w:sz w:val="13"/>
                <w:szCs w:val="13"/>
                <w:b w:val="1"/>
                <w:bCs w:val="1"/>
                <w:color w:val="auto"/>
              </w:rPr>
              <w:t>Reclassified</w:t>
            </w:r>
          </w:p>
        </w:tc>
        <w:tc>
          <w:tcPr>
            <w:tcW w:w="1120" w:type="dxa"/>
            <w:vAlign w:val="bottom"/>
            <w:gridSpan w:val="3"/>
          </w:tcPr>
          <w:p>
            <w:pPr>
              <w:jc w:val="center"/>
              <w:ind w:right="100"/>
              <w:spacing w:after="0" w:line="135" w:lineRule="exact"/>
              <w:rPr>
                <w:sz w:val="20"/>
                <w:szCs w:val="20"/>
                <w:color w:val="auto"/>
              </w:rPr>
            </w:pPr>
            <w:r>
              <w:rPr>
                <w:rFonts w:ascii="Times New Roman" w:cs="Times New Roman" w:eastAsia="Times New Roman" w:hAnsi="Times New Roman"/>
                <w:sz w:val="13"/>
                <w:szCs w:val="13"/>
                <w:b w:val="1"/>
                <w:bCs w:val="1"/>
                <w:color w:val="auto"/>
              </w:rPr>
              <w:t>from AOCI into</w:t>
            </w:r>
          </w:p>
        </w:tc>
        <w:tc>
          <w:tcPr>
            <w:tcW w:w="120" w:type="dxa"/>
            <w:vAlign w:val="bottom"/>
          </w:tcPr>
          <w:p>
            <w:pPr>
              <w:spacing w:after="0"/>
              <w:rPr>
                <w:sz w:val="11"/>
                <w:szCs w:val="11"/>
                <w:color w:val="auto"/>
              </w:rPr>
            </w:pPr>
          </w:p>
        </w:tc>
        <w:tc>
          <w:tcPr>
            <w:tcW w:w="900" w:type="dxa"/>
            <w:vAlign w:val="bottom"/>
          </w:tcPr>
          <w:p>
            <w:pPr>
              <w:jc w:val="center"/>
              <w:ind w:right="48"/>
              <w:spacing w:after="0" w:line="135" w:lineRule="exact"/>
              <w:rPr>
                <w:sz w:val="20"/>
                <w:szCs w:val="20"/>
                <w:color w:val="auto"/>
              </w:rPr>
            </w:pPr>
            <w:r>
              <w:rPr>
                <w:rFonts w:ascii="Times New Roman" w:cs="Times New Roman" w:eastAsia="Times New Roman" w:hAnsi="Times New Roman"/>
                <w:sz w:val="13"/>
                <w:szCs w:val="13"/>
                <w:b w:val="1"/>
                <w:bCs w:val="1"/>
                <w:color w:val="auto"/>
              </w:rPr>
              <w:t>Income</w:t>
            </w:r>
          </w:p>
        </w:tc>
        <w:tc>
          <w:tcPr>
            <w:tcW w:w="0" w:type="dxa"/>
            <w:vAlign w:val="bottom"/>
          </w:tcPr>
          <w:p>
            <w:pPr>
              <w:spacing w:after="0"/>
              <w:rPr>
                <w:sz w:val="1"/>
                <w:szCs w:val="1"/>
                <w:color w:val="auto"/>
              </w:rPr>
            </w:pPr>
          </w:p>
        </w:tc>
      </w:tr>
      <w:tr>
        <w:trPr>
          <w:trHeight w:val="135"/>
        </w:trPr>
        <w:tc>
          <w:tcPr>
            <w:tcW w:w="3040" w:type="dxa"/>
            <w:vAlign w:val="bottom"/>
            <w:gridSpan w:val="3"/>
            <w:vMerge w:val="continue"/>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gridSpan w:val="3"/>
          </w:tcPr>
          <w:p>
            <w:pPr>
              <w:jc w:val="center"/>
              <w:ind w:right="220"/>
              <w:spacing w:after="0" w:line="135" w:lineRule="exact"/>
              <w:rPr>
                <w:sz w:val="20"/>
                <w:szCs w:val="20"/>
                <w:color w:val="auto"/>
              </w:rPr>
            </w:pPr>
            <w:r>
              <w:rPr>
                <w:rFonts w:ascii="Times New Roman" w:cs="Times New Roman" w:eastAsia="Times New Roman" w:hAnsi="Times New Roman"/>
                <w:sz w:val="13"/>
                <w:szCs w:val="13"/>
                <w:b w:val="1"/>
                <w:bCs w:val="1"/>
                <w:color w:val="auto"/>
              </w:rPr>
              <w:t>OCI on</w:t>
            </w:r>
          </w:p>
        </w:tc>
        <w:tc>
          <w:tcPr>
            <w:tcW w:w="20" w:type="dxa"/>
            <w:vAlign w:val="bottom"/>
          </w:tcPr>
          <w:p>
            <w:pPr>
              <w:spacing w:after="0"/>
              <w:rPr>
                <w:sz w:val="11"/>
                <w:szCs w:val="11"/>
                <w:color w:val="auto"/>
              </w:rPr>
            </w:pPr>
          </w:p>
        </w:tc>
        <w:tc>
          <w:tcPr>
            <w:tcW w:w="1080" w:type="dxa"/>
            <w:vAlign w:val="bottom"/>
            <w:gridSpan w:val="4"/>
          </w:tcPr>
          <w:p>
            <w:pPr>
              <w:jc w:val="center"/>
              <w:ind w:right="120"/>
              <w:spacing w:after="0" w:line="135" w:lineRule="exact"/>
              <w:rPr>
                <w:sz w:val="20"/>
                <w:szCs w:val="20"/>
                <w:color w:val="auto"/>
              </w:rPr>
            </w:pPr>
            <w:r>
              <w:rPr>
                <w:rFonts w:ascii="Times New Roman" w:cs="Times New Roman" w:eastAsia="Times New Roman" w:hAnsi="Times New Roman"/>
                <w:sz w:val="13"/>
                <w:szCs w:val="13"/>
                <w:b w:val="1"/>
                <w:bCs w:val="1"/>
                <w:color w:val="auto"/>
              </w:rPr>
              <w:t>OCI Included</w:t>
            </w:r>
          </w:p>
        </w:tc>
        <w:tc>
          <w:tcPr>
            <w:tcW w:w="40" w:type="dxa"/>
            <w:vAlign w:val="bottom"/>
          </w:tcPr>
          <w:p>
            <w:pPr>
              <w:spacing w:after="0"/>
              <w:rPr>
                <w:sz w:val="11"/>
                <w:szCs w:val="11"/>
                <w:color w:val="auto"/>
              </w:rPr>
            </w:pPr>
          </w:p>
        </w:tc>
        <w:tc>
          <w:tcPr>
            <w:tcW w:w="980" w:type="dxa"/>
            <w:vAlign w:val="bottom"/>
            <w:gridSpan w:val="2"/>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rPr>
              <w:t>OCI Excluded</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0" w:type="dxa"/>
            <w:vAlign w:val="bottom"/>
            <w:gridSpan w:val="3"/>
          </w:tcPr>
          <w:p>
            <w:pPr>
              <w:jc w:val="center"/>
              <w:ind w:right="140"/>
              <w:spacing w:after="0" w:line="135" w:lineRule="exact"/>
              <w:rPr>
                <w:sz w:val="20"/>
                <w:szCs w:val="20"/>
                <w:color w:val="auto"/>
              </w:rPr>
            </w:pPr>
            <w:r>
              <w:rPr>
                <w:rFonts w:ascii="Times New Roman" w:cs="Times New Roman" w:eastAsia="Times New Roman" w:hAnsi="Times New Roman"/>
                <w:sz w:val="13"/>
                <w:szCs w:val="13"/>
                <w:b w:val="1"/>
                <w:bCs w:val="1"/>
                <w:color w:val="auto"/>
              </w:rPr>
              <w:t>(Loss) Reclassified from</w:t>
            </w:r>
          </w:p>
        </w:tc>
        <w:tc>
          <w:tcPr>
            <w:tcW w:w="20" w:type="dxa"/>
            <w:vAlign w:val="bottom"/>
          </w:tcPr>
          <w:p>
            <w:pPr>
              <w:spacing w:after="0"/>
              <w:rPr>
                <w:sz w:val="11"/>
                <w:szCs w:val="11"/>
                <w:color w:val="auto"/>
              </w:rPr>
            </w:pPr>
          </w:p>
        </w:tc>
        <w:tc>
          <w:tcPr>
            <w:tcW w:w="1100" w:type="dxa"/>
            <w:vAlign w:val="bottom"/>
            <w:gridSpan w:val="3"/>
          </w:tcPr>
          <w:p>
            <w:pPr>
              <w:jc w:val="center"/>
              <w:ind w:right="140"/>
              <w:spacing w:after="0" w:line="135" w:lineRule="exact"/>
              <w:rPr>
                <w:sz w:val="20"/>
                <w:szCs w:val="20"/>
                <w:color w:val="auto"/>
              </w:rPr>
            </w:pPr>
            <w:r>
              <w:rPr>
                <w:rFonts w:ascii="Times New Roman" w:cs="Times New Roman" w:eastAsia="Times New Roman" w:hAnsi="Times New Roman"/>
                <w:sz w:val="13"/>
                <w:szCs w:val="13"/>
                <w:b w:val="1"/>
                <w:bCs w:val="1"/>
                <w:color w:val="auto"/>
              </w:rPr>
              <w:t>from AOCI into</w:t>
            </w:r>
          </w:p>
        </w:tc>
        <w:tc>
          <w:tcPr>
            <w:tcW w:w="1120" w:type="dxa"/>
            <w:vAlign w:val="bottom"/>
            <w:gridSpan w:val="3"/>
          </w:tcPr>
          <w:p>
            <w:pPr>
              <w:jc w:val="center"/>
              <w:ind w:right="100"/>
              <w:spacing w:after="0" w:line="135" w:lineRule="exact"/>
              <w:rPr>
                <w:sz w:val="20"/>
                <w:szCs w:val="20"/>
                <w:color w:val="auto"/>
              </w:rPr>
            </w:pPr>
            <w:r>
              <w:rPr>
                <w:rFonts w:ascii="Times New Roman" w:cs="Times New Roman" w:eastAsia="Times New Roman" w:hAnsi="Times New Roman"/>
                <w:sz w:val="13"/>
                <w:szCs w:val="13"/>
                <w:b w:val="1"/>
                <w:bCs w:val="1"/>
                <w:color w:val="auto"/>
              </w:rPr>
              <w:t>Income Included</w:t>
            </w:r>
          </w:p>
        </w:tc>
        <w:tc>
          <w:tcPr>
            <w:tcW w:w="120" w:type="dxa"/>
            <w:vAlign w:val="bottom"/>
          </w:tcPr>
          <w:p>
            <w:pPr>
              <w:spacing w:after="0"/>
              <w:rPr>
                <w:sz w:val="11"/>
                <w:szCs w:val="11"/>
                <w:color w:val="auto"/>
              </w:rPr>
            </w:pPr>
          </w:p>
        </w:tc>
        <w:tc>
          <w:tcPr>
            <w:tcW w:w="900" w:type="dxa"/>
            <w:vAlign w:val="bottom"/>
          </w:tcPr>
          <w:p>
            <w:pPr>
              <w:jc w:val="center"/>
              <w:ind w:right="48"/>
              <w:spacing w:after="0" w:line="135" w:lineRule="exact"/>
              <w:rPr>
                <w:sz w:val="20"/>
                <w:szCs w:val="20"/>
                <w:color w:val="auto"/>
              </w:rPr>
            </w:pPr>
            <w:r>
              <w:rPr>
                <w:rFonts w:ascii="Times New Roman" w:cs="Times New Roman" w:eastAsia="Times New Roman" w:hAnsi="Times New Roman"/>
                <w:sz w:val="13"/>
                <w:szCs w:val="13"/>
                <w:b w:val="1"/>
                <w:bCs w:val="1"/>
                <w:color w:val="auto"/>
              </w:rPr>
              <w:t>Excluded</w:t>
            </w:r>
          </w:p>
        </w:tc>
        <w:tc>
          <w:tcPr>
            <w:tcW w:w="0" w:type="dxa"/>
            <w:vAlign w:val="bottom"/>
          </w:tcPr>
          <w:p>
            <w:pPr>
              <w:spacing w:after="0"/>
              <w:rPr>
                <w:sz w:val="1"/>
                <w:szCs w:val="1"/>
                <w:color w:val="auto"/>
              </w:rPr>
            </w:pPr>
          </w:p>
        </w:tc>
      </w:tr>
      <w:tr>
        <w:trPr>
          <w:trHeight w:val="184"/>
        </w:trPr>
        <w:tc>
          <w:tcPr>
            <w:tcW w:w="3040" w:type="dxa"/>
            <w:vAlign w:val="bottom"/>
            <w:gridSpan w:val="3"/>
          </w:tcPr>
          <w:p>
            <w:pPr>
              <w:ind w:left="20"/>
              <w:spacing w:after="0"/>
              <w:rPr>
                <w:sz w:val="20"/>
                <w:szCs w:val="20"/>
                <w:color w:val="auto"/>
              </w:rPr>
            </w:pPr>
            <w:r>
              <w:rPr>
                <w:rFonts w:ascii="Times New Roman" w:cs="Times New Roman" w:eastAsia="Times New Roman" w:hAnsi="Times New Roman"/>
                <w:sz w:val="13"/>
                <w:szCs w:val="13"/>
                <w:b w:val="1"/>
                <w:bCs w:val="1"/>
                <w:color w:val="auto"/>
              </w:rPr>
              <w:t>Hedging Relationships</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gridSpan w:val="3"/>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Derivative</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gridSpan w:val="3"/>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Component</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jc w:val="center"/>
              <w:ind w:right="66"/>
              <w:spacing w:after="0"/>
              <w:rPr>
                <w:sz w:val="20"/>
                <w:szCs w:val="20"/>
                <w:color w:val="auto"/>
              </w:rPr>
            </w:pPr>
            <w:r>
              <w:rPr>
                <w:rFonts w:ascii="Times New Roman" w:cs="Times New Roman" w:eastAsia="Times New Roman" w:hAnsi="Times New Roman"/>
                <w:sz w:val="13"/>
                <w:szCs w:val="13"/>
                <w:b w:val="1"/>
                <w:bCs w:val="1"/>
                <w:color w:val="auto"/>
              </w:rPr>
              <w:t>Component</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0" w:type="dxa"/>
            <w:vAlign w:val="bottom"/>
            <w:gridSpan w:val="3"/>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rPr>
              <w:t>AOCI into Income</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rPr>
              <w:t>Income</w:t>
            </w:r>
          </w:p>
        </w:tc>
        <w:tc>
          <w:tcPr>
            <w:tcW w:w="100" w:type="dxa"/>
            <w:vAlign w:val="bottom"/>
          </w:tcPr>
          <w:p>
            <w:pPr>
              <w:spacing w:after="0"/>
              <w:rPr>
                <w:sz w:val="15"/>
                <w:szCs w:val="15"/>
                <w:color w:val="auto"/>
              </w:rPr>
            </w:pPr>
          </w:p>
        </w:tc>
        <w:tc>
          <w:tcPr>
            <w:tcW w:w="102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Component</w:t>
            </w:r>
          </w:p>
        </w:tc>
        <w:tc>
          <w:tcPr>
            <w:tcW w:w="120" w:type="dxa"/>
            <w:vAlign w:val="bottom"/>
          </w:tcPr>
          <w:p>
            <w:pPr>
              <w:spacing w:after="0"/>
              <w:rPr>
                <w:sz w:val="15"/>
                <w:szCs w:val="15"/>
                <w:color w:val="auto"/>
              </w:rPr>
            </w:pPr>
          </w:p>
        </w:tc>
        <w:tc>
          <w:tcPr>
            <w:tcW w:w="900" w:type="dxa"/>
            <w:vAlign w:val="bottom"/>
          </w:tcPr>
          <w:p>
            <w:pPr>
              <w:jc w:val="center"/>
              <w:ind w:right="68"/>
              <w:spacing w:after="0"/>
              <w:rPr>
                <w:sz w:val="20"/>
                <w:szCs w:val="20"/>
                <w:color w:val="auto"/>
              </w:rPr>
            </w:pPr>
            <w:r>
              <w:rPr>
                <w:rFonts w:ascii="Times New Roman" w:cs="Times New Roman" w:eastAsia="Times New Roman" w:hAnsi="Times New Roman"/>
                <w:sz w:val="13"/>
                <w:szCs w:val="13"/>
                <w:b w:val="1"/>
                <w:bCs w:val="1"/>
                <w:color w:val="auto"/>
              </w:rPr>
              <w:t>Component</w:t>
            </w:r>
          </w:p>
        </w:tc>
        <w:tc>
          <w:tcPr>
            <w:tcW w:w="0" w:type="dxa"/>
            <w:vAlign w:val="bottom"/>
          </w:tcPr>
          <w:p>
            <w:pPr>
              <w:spacing w:after="0"/>
              <w:rPr>
                <w:sz w:val="1"/>
                <w:szCs w:val="1"/>
                <w:color w:val="auto"/>
              </w:rPr>
            </w:pPr>
          </w:p>
        </w:tc>
      </w:tr>
      <w:tr>
        <w:trPr>
          <w:trHeight w:val="215"/>
        </w:trPr>
        <w:tc>
          <w:tcPr>
            <w:tcW w:w="29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Rate Products</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top w:val="single" w:sz="8" w:color="auto"/>
            </w:tcBorders>
            <w:shd w:val="clear" w:color="auto" w:fill="CCEEFF"/>
          </w:tcPr>
          <w:p>
            <w:pPr>
              <w:jc w:val="center"/>
              <w:ind w:left="487"/>
              <w:spacing w:after="0"/>
              <w:rPr>
                <w:sz w:val="20"/>
                <w:szCs w:val="20"/>
                <w:color w:val="auto"/>
              </w:rPr>
            </w:pPr>
            <w:r>
              <w:rPr>
                <w:rFonts w:ascii="Times New Roman" w:cs="Times New Roman" w:eastAsia="Times New Roman" w:hAnsi="Times New Roman"/>
                <w:sz w:val="16"/>
                <w:szCs w:val="16"/>
                <w:color w:val="auto"/>
              </w:rPr>
              <w:t>(19)</w:t>
            </w:r>
          </w:p>
        </w:tc>
        <w:tc>
          <w:tcPr>
            <w:tcW w:w="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tcBorders>
            <w:shd w:val="clear" w:color="auto" w:fill="CCEEFF"/>
          </w:tcPr>
          <w:p>
            <w:pPr>
              <w:jc w:val="center"/>
              <w:ind w:left="486"/>
              <w:spacing w:after="0"/>
              <w:rPr>
                <w:sz w:val="20"/>
                <w:szCs w:val="20"/>
                <w:color w:val="auto"/>
              </w:rPr>
            </w:pPr>
            <w:r>
              <w:rPr>
                <w:rFonts w:ascii="Times New Roman" w:cs="Times New Roman" w:eastAsia="Times New Roman" w:hAnsi="Times New Roman"/>
                <w:sz w:val="16"/>
                <w:szCs w:val="16"/>
                <w:color w:val="auto"/>
                <w:w w:val="97"/>
              </w:rPr>
              <w:t>(19)</w:t>
            </w:r>
          </w:p>
        </w:tc>
        <w:tc>
          <w:tcPr>
            <w:tcW w:w="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Borders>
              <w:top w:val="single" w:sz="8" w:color="auto"/>
            </w:tcBorders>
            <w:shd w:val="clear" w:color="auto" w:fill="CCEEFF"/>
          </w:tcPr>
          <w:p>
            <w:pPr>
              <w:ind w:left="64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Interest Income</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(611)</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(611)</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tcBorders>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3040" w:type="dxa"/>
            <w:vAlign w:val="bottom"/>
            <w:tcBorders>
              <w:bottom w:val="single" w:sz="8" w:color="CCEEFF"/>
            </w:tcBorders>
            <w:gridSpan w:val="3"/>
          </w:tcPr>
          <w:p>
            <w:pPr>
              <w:ind w:left="20"/>
              <w:spacing w:after="0"/>
              <w:rPr>
                <w:sz w:val="20"/>
                <w:szCs w:val="20"/>
                <w:color w:val="auto"/>
              </w:rPr>
            </w:pPr>
            <w:r>
              <w:rPr>
                <w:rFonts w:ascii="Times New Roman" w:cs="Times New Roman" w:eastAsia="Times New Roman" w:hAnsi="Times New Roman"/>
                <w:sz w:val="16"/>
                <w:szCs w:val="16"/>
                <w:color w:val="auto"/>
              </w:rPr>
              <w:t>Interest Rate Products</w:t>
            </w: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4,518</w:t>
            </w:r>
          </w:p>
        </w:tc>
        <w:tc>
          <w:tcPr>
            <w:tcW w:w="4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6"/>
              <w:spacing w:after="0"/>
              <w:rPr>
                <w:sz w:val="20"/>
                <w:szCs w:val="20"/>
                <w:color w:val="auto"/>
              </w:rPr>
            </w:pPr>
            <w:r>
              <w:rPr>
                <w:rFonts w:ascii="Times New Roman" w:cs="Times New Roman" w:eastAsia="Times New Roman" w:hAnsi="Times New Roman"/>
                <w:sz w:val="16"/>
                <w:szCs w:val="16"/>
                <w:color w:val="auto"/>
              </w:rPr>
              <w:t>4,518</w:t>
            </w:r>
          </w:p>
        </w:tc>
        <w:tc>
          <w:tcPr>
            <w:tcW w:w="2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ind w:left="64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600" w:type="dxa"/>
            <w:vAlign w:val="bottom"/>
            <w:tcBorders>
              <w:bottom w:val="single" w:sz="8" w:color="CCEEFF"/>
            </w:tcBorders>
            <w:gridSpan w:val="3"/>
          </w:tcPr>
          <w:p>
            <w:pPr>
              <w:jc w:val="center"/>
              <w:ind w:right="120"/>
              <w:spacing w:after="0"/>
              <w:rPr>
                <w:sz w:val="20"/>
                <w:szCs w:val="20"/>
                <w:color w:val="auto"/>
              </w:rPr>
            </w:pPr>
            <w:r>
              <w:rPr>
                <w:rFonts w:ascii="Times New Roman" w:cs="Times New Roman" w:eastAsia="Times New Roman" w:hAnsi="Times New Roman"/>
                <w:sz w:val="16"/>
                <w:szCs w:val="16"/>
                <w:color w:val="auto"/>
              </w:rPr>
              <w:t>Interest Expense</w:t>
            </w: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1,034</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1,034</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ind w:left="68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0"/>
        </w:trPr>
        <w:tc>
          <w:tcPr>
            <w:tcW w:w="3040" w:type="dxa"/>
            <w:vAlign w:val="bottom"/>
            <w:gridSpan w:val="3"/>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Total</w:t>
            </w:r>
          </w:p>
        </w:tc>
        <w:tc>
          <w:tcPr>
            <w:tcW w:w="120" w:type="dxa"/>
            <w:vAlign w:val="bottom"/>
            <w:tcBorders>
              <w:bottom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4,499</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6"/>
                <w:szCs w:val="16"/>
                <w:color w:val="auto"/>
              </w:rPr>
              <w:t>4,499</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tcBorders>
              <w:bottom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Borders>
              <w:bottom w:val="single" w:sz="8" w:color="auto"/>
            </w:tcBorders>
            <w:shd w:val="clear" w:color="auto" w:fill="CCEEFF"/>
          </w:tcPr>
          <w:p>
            <w:pPr>
              <w:ind w:left="64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423</w:t>
            </w: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423</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540"/>
        </w:trPr>
        <w:tc>
          <w:tcPr>
            <w:tcW w:w="2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80" w:type="dxa"/>
            <w:vAlign w:val="bottom"/>
            <w:gridSpan w:val="4"/>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June 30, 2023</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June 30, 2023</w:t>
            </w: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29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29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2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rPr>
              <w:t>Amount of Gain</w:t>
            </w:r>
          </w:p>
        </w:tc>
        <w:tc>
          <w:tcPr>
            <w:tcW w:w="1020" w:type="dxa"/>
            <w:vAlign w:val="bottom"/>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rPr>
              <w:t>Amount of Gain</w:t>
            </w:r>
          </w:p>
        </w:tc>
        <w:tc>
          <w:tcPr>
            <w:tcW w:w="0" w:type="dxa"/>
            <w:vAlign w:val="bottom"/>
          </w:tcPr>
          <w:p>
            <w:pPr>
              <w:spacing w:after="0"/>
              <w:rPr>
                <w:sz w:val="1"/>
                <w:szCs w:val="1"/>
                <w:color w:val="auto"/>
              </w:rPr>
            </w:pPr>
          </w:p>
        </w:tc>
      </w:tr>
      <w:tr>
        <w:trPr>
          <w:trHeight w:val="135"/>
        </w:trPr>
        <w:tc>
          <w:tcPr>
            <w:tcW w:w="29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80" w:type="dxa"/>
            <w:vAlign w:val="bottom"/>
            <w:gridSpan w:val="4"/>
            <w:vMerge w:val="restart"/>
          </w:tcPr>
          <w:p>
            <w:pPr>
              <w:jc w:val="center"/>
              <w:ind w:right="60"/>
              <w:spacing w:after="0"/>
              <w:rPr>
                <w:sz w:val="20"/>
                <w:szCs w:val="20"/>
                <w:color w:val="auto"/>
              </w:rPr>
            </w:pPr>
            <w:r>
              <w:rPr>
                <w:rFonts w:ascii="Times New Roman" w:cs="Times New Roman" w:eastAsia="Times New Roman" w:hAnsi="Times New Roman"/>
                <w:sz w:val="13"/>
                <w:szCs w:val="13"/>
                <w:b w:val="1"/>
                <w:bCs w:val="1"/>
                <w:color w:val="auto"/>
              </w:rPr>
              <w:t>Amount of Gain</w:t>
            </w:r>
          </w:p>
        </w:tc>
        <w:tc>
          <w:tcPr>
            <w:tcW w:w="20" w:type="dxa"/>
            <w:vAlign w:val="bottom"/>
          </w:tcPr>
          <w:p>
            <w:pPr>
              <w:spacing w:after="0"/>
              <w:rPr>
                <w:sz w:val="11"/>
                <w:szCs w:val="11"/>
                <w:color w:val="auto"/>
              </w:rPr>
            </w:pPr>
          </w:p>
        </w:tc>
        <w:tc>
          <w:tcPr>
            <w:tcW w:w="1080" w:type="dxa"/>
            <w:vAlign w:val="bottom"/>
            <w:gridSpan w:val="4"/>
            <w:vMerge w:val="restart"/>
          </w:tcPr>
          <w:p>
            <w:pPr>
              <w:jc w:val="center"/>
              <w:ind w:right="60"/>
              <w:spacing w:after="0"/>
              <w:rPr>
                <w:sz w:val="20"/>
                <w:szCs w:val="20"/>
                <w:color w:val="auto"/>
              </w:rPr>
            </w:pPr>
            <w:r>
              <w:rPr>
                <w:rFonts w:ascii="Times New Roman" w:cs="Times New Roman" w:eastAsia="Times New Roman" w:hAnsi="Times New Roman"/>
                <w:sz w:val="13"/>
                <w:szCs w:val="13"/>
                <w:b w:val="1"/>
                <w:bCs w:val="1"/>
                <w:color w:val="auto"/>
              </w:rPr>
              <w:t>Amount of Gain</w:t>
            </w:r>
          </w:p>
        </w:tc>
        <w:tc>
          <w:tcPr>
            <w:tcW w:w="40" w:type="dxa"/>
            <w:vAlign w:val="bottom"/>
          </w:tcPr>
          <w:p>
            <w:pPr>
              <w:spacing w:after="0"/>
              <w:rPr>
                <w:sz w:val="11"/>
                <w:szCs w:val="11"/>
                <w:color w:val="auto"/>
              </w:rPr>
            </w:pPr>
          </w:p>
        </w:tc>
        <w:tc>
          <w:tcPr>
            <w:tcW w:w="9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rPr>
              <w:t>Amount of Gain</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100" w:type="dxa"/>
            <w:vAlign w:val="bottom"/>
            <w:gridSpan w:val="3"/>
            <w:vMerge w:val="restart"/>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rPr>
              <w:t>Amount of Gain</w:t>
            </w:r>
          </w:p>
        </w:tc>
        <w:tc>
          <w:tcPr>
            <w:tcW w:w="1120" w:type="dxa"/>
            <w:vAlign w:val="bottom"/>
            <w:gridSpan w:val="3"/>
            <w:vMerge w:val="continue"/>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jc w:val="center"/>
              <w:ind w:right="48"/>
              <w:spacing w:after="0" w:line="135" w:lineRule="exact"/>
              <w:rPr>
                <w:sz w:val="20"/>
                <w:szCs w:val="20"/>
                <w:color w:val="auto"/>
              </w:rPr>
            </w:pPr>
            <w:r>
              <w:rPr>
                <w:rFonts w:ascii="Times New Roman" w:cs="Times New Roman" w:eastAsia="Times New Roman" w:hAnsi="Times New Roman"/>
                <w:sz w:val="13"/>
                <w:szCs w:val="13"/>
                <w:b w:val="1"/>
                <w:bCs w:val="1"/>
                <w:color w:val="auto"/>
              </w:rPr>
              <w:t>or (Loss)</w:t>
            </w:r>
          </w:p>
        </w:tc>
        <w:tc>
          <w:tcPr>
            <w:tcW w:w="0" w:type="dxa"/>
            <w:vAlign w:val="bottom"/>
          </w:tcPr>
          <w:p>
            <w:pPr>
              <w:spacing w:after="0"/>
              <w:rPr>
                <w:sz w:val="1"/>
                <w:szCs w:val="1"/>
                <w:color w:val="auto"/>
              </w:rPr>
            </w:pPr>
          </w:p>
        </w:tc>
      </w:tr>
      <w:tr>
        <w:trPr>
          <w:trHeight w:val="135"/>
        </w:trPr>
        <w:tc>
          <w:tcPr>
            <w:tcW w:w="29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80" w:type="dxa"/>
            <w:vAlign w:val="bottom"/>
            <w:gridSpan w:val="4"/>
            <w:vMerge w:val="continue"/>
          </w:tcPr>
          <w:p>
            <w:pPr>
              <w:spacing w:after="0"/>
              <w:rPr>
                <w:sz w:val="11"/>
                <w:szCs w:val="11"/>
                <w:color w:val="auto"/>
              </w:rPr>
            </w:pPr>
          </w:p>
        </w:tc>
        <w:tc>
          <w:tcPr>
            <w:tcW w:w="20" w:type="dxa"/>
            <w:vAlign w:val="bottom"/>
          </w:tcPr>
          <w:p>
            <w:pPr>
              <w:spacing w:after="0"/>
              <w:rPr>
                <w:sz w:val="11"/>
                <w:szCs w:val="11"/>
                <w:color w:val="auto"/>
              </w:rPr>
            </w:pPr>
          </w:p>
        </w:tc>
        <w:tc>
          <w:tcPr>
            <w:tcW w:w="1080" w:type="dxa"/>
            <w:vAlign w:val="bottom"/>
            <w:gridSpan w:val="4"/>
            <w:vMerge w:val="continue"/>
          </w:tcPr>
          <w:p>
            <w:pPr>
              <w:spacing w:after="0"/>
              <w:rPr>
                <w:sz w:val="11"/>
                <w:szCs w:val="11"/>
                <w:color w:val="auto"/>
              </w:rPr>
            </w:pPr>
          </w:p>
        </w:tc>
        <w:tc>
          <w:tcPr>
            <w:tcW w:w="40" w:type="dxa"/>
            <w:vAlign w:val="bottom"/>
          </w:tcPr>
          <w:p>
            <w:pPr>
              <w:spacing w:after="0"/>
              <w:rPr>
                <w:sz w:val="11"/>
                <w:szCs w:val="11"/>
                <w:color w:val="auto"/>
              </w:rPr>
            </w:pPr>
          </w:p>
        </w:tc>
        <w:tc>
          <w:tcPr>
            <w:tcW w:w="980" w:type="dxa"/>
            <w:vAlign w:val="bottom"/>
            <w:gridSpan w:val="2"/>
            <w:vMerge w:val="continue"/>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100" w:type="dxa"/>
            <w:vAlign w:val="bottom"/>
            <w:gridSpan w:val="3"/>
            <w:vMerge w:val="continue"/>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3"/>
                <w:szCs w:val="13"/>
                <w:b w:val="1"/>
                <w:bCs w:val="1"/>
                <w:color w:val="auto"/>
              </w:rPr>
              <w:t>or (Loss)</w:t>
            </w:r>
          </w:p>
        </w:tc>
        <w:tc>
          <w:tcPr>
            <w:tcW w:w="120" w:type="dxa"/>
            <w:vAlign w:val="bottom"/>
          </w:tcPr>
          <w:p>
            <w:pPr>
              <w:spacing w:after="0"/>
              <w:rPr>
                <w:sz w:val="11"/>
                <w:szCs w:val="11"/>
                <w:color w:val="auto"/>
              </w:rPr>
            </w:pPr>
          </w:p>
        </w:tc>
        <w:tc>
          <w:tcPr>
            <w:tcW w:w="900" w:type="dxa"/>
            <w:vAlign w:val="bottom"/>
          </w:tcPr>
          <w:p>
            <w:pPr>
              <w:jc w:val="center"/>
              <w:ind w:right="68"/>
              <w:spacing w:after="0" w:line="135" w:lineRule="exact"/>
              <w:rPr>
                <w:sz w:val="20"/>
                <w:szCs w:val="20"/>
                <w:color w:val="auto"/>
              </w:rPr>
            </w:pPr>
            <w:r>
              <w:rPr>
                <w:rFonts w:ascii="Times New Roman" w:cs="Times New Roman" w:eastAsia="Times New Roman" w:hAnsi="Times New Roman"/>
                <w:sz w:val="13"/>
                <w:szCs w:val="13"/>
                <w:b w:val="1"/>
                <w:bCs w:val="1"/>
                <w:color w:val="auto"/>
              </w:rPr>
              <w:t>Reclassified</w:t>
            </w:r>
          </w:p>
        </w:tc>
        <w:tc>
          <w:tcPr>
            <w:tcW w:w="0" w:type="dxa"/>
            <w:vAlign w:val="bottom"/>
          </w:tcPr>
          <w:p>
            <w:pPr>
              <w:spacing w:after="0"/>
              <w:rPr>
                <w:sz w:val="1"/>
                <w:szCs w:val="1"/>
                <w:color w:val="auto"/>
              </w:rPr>
            </w:pPr>
          </w:p>
        </w:tc>
      </w:tr>
      <w:tr>
        <w:trPr>
          <w:trHeight w:val="135"/>
        </w:trPr>
        <w:tc>
          <w:tcPr>
            <w:tcW w:w="29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gridSpan w:val="3"/>
          </w:tcPr>
          <w:p>
            <w:pPr>
              <w:jc w:val="center"/>
              <w:ind w:right="180"/>
              <w:spacing w:after="0" w:line="135" w:lineRule="exact"/>
              <w:rPr>
                <w:sz w:val="20"/>
                <w:szCs w:val="20"/>
                <w:color w:val="auto"/>
              </w:rPr>
            </w:pPr>
            <w:r>
              <w:rPr>
                <w:rFonts w:ascii="Times New Roman" w:cs="Times New Roman" w:eastAsia="Times New Roman" w:hAnsi="Times New Roman"/>
                <w:sz w:val="13"/>
                <w:szCs w:val="13"/>
                <w:b w:val="1"/>
                <w:bCs w:val="1"/>
                <w:color w:val="auto"/>
              </w:rPr>
              <w:t>or (Loss)</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gridSpan w:val="3"/>
          </w:tcPr>
          <w:p>
            <w:pPr>
              <w:jc w:val="center"/>
              <w:ind w:right="160"/>
              <w:spacing w:after="0" w:line="135" w:lineRule="exact"/>
              <w:rPr>
                <w:sz w:val="20"/>
                <w:szCs w:val="20"/>
                <w:color w:val="auto"/>
              </w:rPr>
            </w:pPr>
            <w:r>
              <w:rPr>
                <w:rFonts w:ascii="Times New Roman" w:cs="Times New Roman" w:eastAsia="Times New Roman" w:hAnsi="Times New Roman"/>
                <w:sz w:val="13"/>
                <w:szCs w:val="13"/>
                <w:b w:val="1"/>
                <w:bCs w:val="1"/>
                <w:color w:val="auto"/>
              </w:rPr>
              <w:t>or (Loss)</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jc w:val="center"/>
              <w:ind w:right="6"/>
              <w:spacing w:after="0" w:line="135" w:lineRule="exact"/>
              <w:rPr>
                <w:sz w:val="20"/>
                <w:szCs w:val="20"/>
                <w:color w:val="auto"/>
              </w:rPr>
            </w:pPr>
            <w:r>
              <w:rPr>
                <w:rFonts w:ascii="Times New Roman" w:cs="Times New Roman" w:eastAsia="Times New Roman" w:hAnsi="Times New Roman"/>
                <w:sz w:val="13"/>
                <w:szCs w:val="13"/>
                <w:b w:val="1"/>
                <w:bCs w:val="1"/>
                <w:color w:val="auto"/>
              </w:rPr>
              <w:t>or (Loss)</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rPr>
              <w:t>Location of Gain or</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gridSpan w:val="2"/>
          </w:tcPr>
          <w:p>
            <w:pPr>
              <w:jc w:val="center"/>
              <w:ind w:right="240"/>
              <w:spacing w:after="0" w:line="135" w:lineRule="exact"/>
              <w:rPr>
                <w:sz w:val="20"/>
                <w:szCs w:val="20"/>
                <w:color w:val="auto"/>
              </w:rPr>
            </w:pPr>
            <w:r>
              <w:rPr>
                <w:rFonts w:ascii="Times New Roman" w:cs="Times New Roman" w:eastAsia="Times New Roman" w:hAnsi="Times New Roman"/>
                <w:sz w:val="13"/>
                <w:szCs w:val="13"/>
                <w:b w:val="1"/>
                <w:bCs w:val="1"/>
                <w:color w:val="auto"/>
              </w:rPr>
              <w:t>or (Loss)</w:t>
            </w:r>
          </w:p>
        </w:tc>
        <w:tc>
          <w:tcPr>
            <w:tcW w:w="100" w:type="dxa"/>
            <w:vAlign w:val="bottom"/>
          </w:tcPr>
          <w:p>
            <w:pPr>
              <w:spacing w:after="0"/>
              <w:rPr>
                <w:sz w:val="11"/>
                <w:szCs w:val="11"/>
                <w:color w:val="auto"/>
              </w:rPr>
            </w:pPr>
          </w:p>
        </w:tc>
        <w:tc>
          <w:tcPr>
            <w:tcW w:w="102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3"/>
                <w:szCs w:val="13"/>
                <w:b w:val="1"/>
                <w:bCs w:val="1"/>
                <w:color w:val="auto"/>
              </w:rPr>
              <w:t>Reclassified</w:t>
            </w:r>
          </w:p>
        </w:tc>
        <w:tc>
          <w:tcPr>
            <w:tcW w:w="1020" w:type="dxa"/>
            <w:vAlign w:val="bottom"/>
            <w:gridSpan w:val="2"/>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rPr>
              <w:t>from AOCI into</w:t>
            </w:r>
          </w:p>
        </w:tc>
        <w:tc>
          <w:tcPr>
            <w:tcW w:w="0" w:type="dxa"/>
            <w:vAlign w:val="bottom"/>
          </w:tcPr>
          <w:p>
            <w:pPr>
              <w:spacing w:after="0"/>
              <w:rPr>
                <w:sz w:val="1"/>
                <w:szCs w:val="1"/>
                <w:color w:val="auto"/>
              </w:rPr>
            </w:pPr>
          </w:p>
        </w:tc>
      </w:tr>
      <w:tr>
        <w:trPr>
          <w:trHeight w:val="135"/>
        </w:trPr>
        <w:tc>
          <w:tcPr>
            <w:tcW w:w="3040" w:type="dxa"/>
            <w:vAlign w:val="bottom"/>
            <w:gridSpan w:val="3"/>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Derivatives in Cash Flow</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gridSpan w:val="3"/>
          </w:tcPr>
          <w:p>
            <w:pPr>
              <w:jc w:val="center"/>
              <w:ind w:right="180"/>
              <w:spacing w:after="0" w:line="135" w:lineRule="exact"/>
              <w:rPr>
                <w:sz w:val="20"/>
                <w:szCs w:val="20"/>
                <w:color w:val="auto"/>
              </w:rPr>
            </w:pPr>
            <w:r>
              <w:rPr>
                <w:rFonts w:ascii="Times New Roman" w:cs="Times New Roman" w:eastAsia="Times New Roman" w:hAnsi="Times New Roman"/>
                <w:sz w:val="13"/>
                <w:szCs w:val="13"/>
                <w:b w:val="1"/>
                <w:bCs w:val="1"/>
                <w:color w:val="auto"/>
              </w:rPr>
              <w:t>Recognized in</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gridSpan w:val="3"/>
          </w:tcPr>
          <w:p>
            <w:pPr>
              <w:jc w:val="center"/>
              <w:ind w:right="160"/>
              <w:spacing w:after="0" w:line="135" w:lineRule="exact"/>
              <w:rPr>
                <w:sz w:val="20"/>
                <w:szCs w:val="20"/>
                <w:color w:val="auto"/>
              </w:rPr>
            </w:pPr>
            <w:r>
              <w:rPr>
                <w:rFonts w:ascii="Times New Roman" w:cs="Times New Roman" w:eastAsia="Times New Roman" w:hAnsi="Times New Roman"/>
                <w:sz w:val="13"/>
                <w:szCs w:val="13"/>
                <w:b w:val="1"/>
                <w:bCs w:val="1"/>
                <w:color w:val="auto"/>
              </w:rPr>
              <w:t>Recognized in</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jc w:val="center"/>
              <w:ind w:right="6"/>
              <w:spacing w:after="0" w:line="135" w:lineRule="exact"/>
              <w:rPr>
                <w:sz w:val="20"/>
                <w:szCs w:val="20"/>
                <w:color w:val="auto"/>
              </w:rPr>
            </w:pPr>
            <w:r>
              <w:rPr>
                <w:rFonts w:ascii="Times New Roman" w:cs="Times New Roman" w:eastAsia="Times New Roman" w:hAnsi="Times New Roman"/>
                <w:sz w:val="13"/>
                <w:szCs w:val="13"/>
                <w:b w:val="1"/>
                <w:bCs w:val="1"/>
                <w:color w:val="auto"/>
              </w:rPr>
              <w:t>Recognized in</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0" w:type="dxa"/>
            <w:vAlign w:val="bottom"/>
            <w:gridSpan w:val="3"/>
            <w:vMerge w:val="continue"/>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3"/>
                <w:szCs w:val="13"/>
                <w:b w:val="1"/>
                <w:bCs w:val="1"/>
                <w:color w:val="auto"/>
              </w:rPr>
              <w:t>Reclassified</w:t>
            </w:r>
          </w:p>
        </w:tc>
        <w:tc>
          <w:tcPr>
            <w:tcW w:w="1120" w:type="dxa"/>
            <w:vAlign w:val="bottom"/>
            <w:gridSpan w:val="3"/>
          </w:tcPr>
          <w:p>
            <w:pPr>
              <w:jc w:val="center"/>
              <w:ind w:right="100"/>
              <w:spacing w:after="0" w:line="135" w:lineRule="exact"/>
              <w:rPr>
                <w:sz w:val="20"/>
                <w:szCs w:val="20"/>
                <w:color w:val="auto"/>
              </w:rPr>
            </w:pPr>
            <w:r>
              <w:rPr>
                <w:rFonts w:ascii="Times New Roman" w:cs="Times New Roman" w:eastAsia="Times New Roman" w:hAnsi="Times New Roman"/>
                <w:sz w:val="13"/>
                <w:szCs w:val="13"/>
                <w:b w:val="1"/>
                <w:bCs w:val="1"/>
                <w:color w:val="auto"/>
              </w:rPr>
              <w:t>from AOCI into</w:t>
            </w:r>
          </w:p>
        </w:tc>
        <w:tc>
          <w:tcPr>
            <w:tcW w:w="120" w:type="dxa"/>
            <w:vAlign w:val="bottom"/>
          </w:tcPr>
          <w:p>
            <w:pPr>
              <w:spacing w:after="0"/>
              <w:rPr>
                <w:sz w:val="11"/>
                <w:szCs w:val="11"/>
                <w:color w:val="auto"/>
              </w:rPr>
            </w:pPr>
          </w:p>
        </w:tc>
        <w:tc>
          <w:tcPr>
            <w:tcW w:w="900" w:type="dxa"/>
            <w:vAlign w:val="bottom"/>
          </w:tcPr>
          <w:p>
            <w:pPr>
              <w:jc w:val="center"/>
              <w:ind w:right="48"/>
              <w:spacing w:after="0" w:line="135" w:lineRule="exact"/>
              <w:rPr>
                <w:sz w:val="20"/>
                <w:szCs w:val="20"/>
                <w:color w:val="auto"/>
              </w:rPr>
            </w:pPr>
            <w:r>
              <w:rPr>
                <w:rFonts w:ascii="Times New Roman" w:cs="Times New Roman" w:eastAsia="Times New Roman" w:hAnsi="Times New Roman"/>
                <w:sz w:val="13"/>
                <w:szCs w:val="13"/>
                <w:b w:val="1"/>
                <w:bCs w:val="1"/>
                <w:color w:val="auto"/>
              </w:rPr>
              <w:t>Income</w:t>
            </w:r>
          </w:p>
        </w:tc>
        <w:tc>
          <w:tcPr>
            <w:tcW w:w="0" w:type="dxa"/>
            <w:vAlign w:val="bottom"/>
          </w:tcPr>
          <w:p>
            <w:pPr>
              <w:spacing w:after="0"/>
              <w:rPr>
                <w:sz w:val="1"/>
                <w:szCs w:val="1"/>
                <w:color w:val="auto"/>
              </w:rPr>
            </w:pPr>
          </w:p>
        </w:tc>
      </w:tr>
      <w:tr>
        <w:trPr>
          <w:trHeight w:val="135"/>
        </w:trPr>
        <w:tc>
          <w:tcPr>
            <w:tcW w:w="3040" w:type="dxa"/>
            <w:vAlign w:val="bottom"/>
            <w:gridSpan w:val="3"/>
            <w:vMerge w:val="continue"/>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gridSpan w:val="3"/>
          </w:tcPr>
          <w:p>
            <w:pPr>
              <w:jc w:val="center"/>
              <w:ind w:right="180"/>
              <w:spacing w:after="0" w:line="135" w:lineRule="exact"/>
              <w:rPr>
                <w:sz w:val="20"/>
                <w:szCs w:val="20"/>
                <w:color w:val="auto"/>
              </w:rPr>
            </w:pPr>
            <w:r>
              <w:rPr>
                <w:rFonts w:ascii="Times New Roman" w:cs="Times New Roman" w:eastAsia="Times New Roman" w:hAnsi="Times New Roman"/>
                <w:sz w:val="13"/>
                <w:szCs w:val="13"/>
                <w:b w:val="1"/>
                <w:bCs w:val="1"/>
                <w:color w:val="auto"/>
              </w:rPr>
              <w:t>OCI on</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gridSpan w:val="3"/>
          </w:tcPr>
          <w:p>
            <w:pPr>
              <w:jc w:val="center"/>
              <w:ind w:right="140"/>
              <w:spacing w:after="0" w:line="135" w:lineRule="exact"/>
              <w:rPr>
                <w:sz w:val="20"/>
                <w:szCs w:val="20"/>
                <w:color w:val="auto"/>
              </w:rPr>
            </w:pPr>
            <w:r>
              <w:rPr>
                <w:rFonts w:ascii="Times New Roman" w:cs="Times New Roman" w:eastAsia="Times New Roman" w:hAnsi="Times New Roman"/>
                <w:sz w:val="13"/>
                <w:szCs w:val="13"/>
                <w:b w:val="1"/>
                <w:bCs w:val="1"/>
                <w:color w:val="auto"/>
              </w:rPr>
              <w:t>OCI Included</w:t>
            </w:r>
          </w:p>
        </w:tc>
        <w:tc>
          <w:tcPr>
            <w:tcW w:w="40" w:type="dxa"/>
            <w:vAlign w:val="bottom"/>
          </w:tcPr>
          <w:p>
            <w:pPr>
              <w:spacing w:after="0"/>
              <w:rPr>
                <w:sz w:val="11"/>
                <w:szCs w:val="11"/>
                <w:color w:val="auto"/>
              </w:rPr>
            </w:pPr>
          </w:p>
        </w:tc>
        <w:tc>
          <w:tcPr>
            <w:tcW w:w="980" w:type="dxa"/>
            <w:vAlign w:val="bottom"/>
            <w:gridSpan w:val="2"/>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rPr>
              <w:t>OCI Excluded</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0" w:type="dxa"/>
            <w:vAlign w:val="bottom"/>
            <w:gridSpan w:val="3"/>
          </w:tcPr>
          <w:p>
            <w:pPr>
              <w:jc w:val="center"/>
              <w:ind w:right="100"/>
              <w:spacing w:after="0" w:line="135" w:lineRule="exact"/>
              <w:rPr>
                <w:sz w:val="20"/>
                <w:szCs w:val="20"/>
                <w:color w:val="auto"/>
              </w:rPr>
            </w:pPr>
            <w:r>
              <w:rPr>
                <w:rFonts w:ascii="Times New Roman" w:cs="Times New Roman" w:eastAsia="Times New Roman" w:hAnsi="Times New Roman"/>
                <w:sz w:val="13"/>
                <w:szCs w:val="13"/>
                <w:b w:val="1"/>
                <w:bCs w:val="1"/>
                <w:color w:val="auto"/>
              </w:rPr>
              <w:t>(Loss) Reclassified from</w:t>
            </w:r>
          </w:p>
        </w:tc>
        <w:tc>
          <w:tcPr>
            <w:tcW w:w="20" w:type="dxa"/>
            <w:vAlign w:val="bottom"/>
          </w:tcPr>
          <w:p>
            <w:pPr>
              <w:spacing w:after="0"/>
              <w:rPr>
                <w:sz w:val="11"/>
                <w:szCs w:val="11"/>
                <w:color w:val="auto"/>
              </w:rPr>
            </w:pPr>
          </w:p>
        </w:tc>
        <w:tc>
          <w:tcPr>
            <w:tcW w:w="1100" w:type="dxa"/>
            <w:vAlign w:val="bottom"/>
            <w:gridSpan w:val="3"/>
          </w:tcPr>
          <w:p>
            <w:pPr>
              <w:jc w:val="center"/>
              <w:ind w:right="120"/>
              <w:spacing w:after="0" w:line="135" w:lineRule="exact"/>
              <w:rPr>
                <w:sz w:val="20"/>
                <w:szCs w:val="20"/>
                <w:color w:val="auto"/>
              </w:rPr>
            </w:pPr>
            <w:r>
              <w:rPr>
                <w:rFonts w:ascii="Times New Roman" w:cs="Times New Roman" w:eastAsia="Times New Roman" w:hAnsi="Times New Roman"/>
                <w:sz w:val="13"/>
                <w:szCs w:val="13"/>
                <w:b w:val="1"/>
                <w:bCs w:val="1"/>
                <w:color w:val="auto"/>
              </w:rPr>
              <w:t>from AOCI into</w:t>
            </w:r>
          </w:p>
        </w:tc>
        <w:tc>
          <w:tcPr>
            <w:tcW w:w="1120" w:type="dxa"/>
            <w:vAlign w:val="bottom"/>
            <w:gridSpan w:val="3"/>
          </w:tcPr>
          <w:p>
            <w:pPr>
              <w:jc w:val="center"/>
              <w:ind w:right="100"/>
              <w:spacing w:after="0" w:line="135" w:lineRule="exact"/>
              <w:rPr>
                <w:sz w:val="20"/>
                <w:szCs w:val="20"/>
                <w:color w:val="auto"/>
              </w:rPr>
            </w:pPr>
            <w:r>
              <w:rPr>
                <w:rFonts w:ascii="Times New Roman" w:cs="Times New Roman" w:eastAsia="Times New Roman" w:hAnsi="Times New Roman"/>
                <w:sz w:val="13"/>
                <w:szCs w:val="13"/>
                <w:b w:val="1"/>
                <w:bCs w:val="1"/>
                <w:color w:val="auto"/>
              </w:rPr>
              <w:t>Income Included</w:t>
            </w:r>
          </w:p>
        </w:tc>
        <w:tc>
          <w:tcPr>
            <w:tcW w:w="120" w:type="dxa"/>
            <w:vAlign w:val="bottom"/>
          </w:tcPr>
          <w:p>
            <w:pPr>
              <w:spacing w:after="0"/>
              <w:rPr>
                <w:sz w:val="11"/>
                <w:szCs w:val="11"/>
                <w:color w:val="auto"/>
              </w:rPr>
            </w:pPr>
          </w:p>
        </w:tc>
        <w:tc>
          <w:tcPr>
            <w:tcW w:w="900" w:type="dxa"/>
            <w:vAlign w:val="bottom"/>
          </w:tcPr>
          <w:p>
            <w:pPr>
              <w:jc w:val="center"/>
              <w:ind w:right="48"/>
              <w:spacing w:after="0" w:line="135" w:lineRule="exact"/>
              <w:rPr>
                <w:sz w:val="20"/>
                <w:szCs w:val="20"/>
                <w:color w:val="auto"/>
              </w:rPr>
            </w:pPr>
            <w:r>
              <w:rPr>
                <w:rFonts w:ascii="Times New Roman" w:cs="Times New Roman" w:eastAsia="Times New Roman" w:hAnsi="Times New Roman"/>
                <w:sz w:val="13"/>
                <w:szCs w:val="13"/>
                <w:b w:val="1"/>
                <w:bCs w:val="1"/>
                <w:color w:val="auto"/>
              </w:rPr>
              <w:t>Excluded</w:t>
            </w:r>
          </w:p>
        </w:tc>
        <w:tc>
          <w:tcPr>
            <w:tcW w:w="0" w:type="dxa"/>
            <w:vAlign w:val="bottom"/>
          </w:tcPr>
          <w:p>
            <w:pPr>
              <w:spacing w:after="0"/>
              <w:rPr>
                <w:sz w:val="1"/>
                <w:szCs w:val="1"/>
                <w:color w:val="auto"/>
              </w:rPr>
            </w:pPr>
          </w:p>
        </w:tc>
      </w:tr>
      <w:tr>
        <w:trPr>
          <w:trHeight w:val="184"/>
        </w:trPr>
        <w:tc>
          <w:tcPr>
            <w:tcW w:w="3040" w:type="dxa"/>
            <w:vAlign w:val="bottom"/>
            <w:gridSpan w:val="3"/>
          </w:tcPr>
          <w:p>
            <w:pPr>
              <w:ind w:left="20"/>
              <w:spacing w:after="0"/>
              <w:rPr>
                <w:sz w:val="20"/>
                <w:szCs w:val="20"/>
                <w:color w:val="auto"/>
              </w:rPr>
            </w:pPr>
            <w:r>
              <w:rPr>
                <w:rFonts w:ascii="Times New Roman" w:cs="Times New Roman" w:eastAsia="Times New Roman" w:hAnsi="Times New Roman"/>
                <w:sz w:val="13"/>
                <w:szCs w:val="13"/>
                <w:b w:val="1"/>
                <w:bCs w:val="1"/>
                <w:color w:val="auto"/>
              </w:rPr>
              <w:t>Hedging Relationships</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gridSpan w:val="3"/>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rPr>
              <w:t>Derivative</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gridSpan w:val="3"/>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rPr>
              <w:t>Component</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jc w:val="center"/>
              <w:ind w:right="6"/>
              <w:spacing w:after="0"/>
              <w:rPr>
                <w:sz w:val="20"/>
                <w:szCs w:val="20"/>
                <w:color w:val="auto"/>
              </w:rPr>
            </w:pPr>
            <w:r>
              <w:rPr>
                <w:rFonts w:ascii="Times New Roman" w:cs="Times New Roman" w:eastAsia="Times New Roman" w:hAnsi="Times New Roman"/>
                <w:sz w:val="13"/>
                <w:szCs w:val="13"/>
                <w:b w:val="1"/>
                <w:bCs w:val="1"/>
                <w:color w:val="auto"/>
              </w:rPr>
              <w:t>Component</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0" w:type="dxa"/>
            <w:vAlign w:val="bottom"/>
            <w:gridSpan w:val="3"/>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rPr>
              <w:t>AOCI into Income</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rPr>
              <w:t>Income</w:t>
            </w:r>
          </w:p>
        </w:tc>
        <w:tc>
          <w:tcPr>
            <w:tcW w:w="100" w:type="dxa"/>
            <w:vAlign w:val="bottom"/>
          </w:tcPr>
          <w:p>
            <w:pPr>
              <w:spacing w:after="0"/>
              <w:rPr>
                <w:sz w:val="15"/>
                <w:szCs w:val="15"/>
                <w:color w:val="auto"/>
              </w:rPr>
            </w:pPr>
          </w:p>
        </w:tc>
        <w:tc>
          <w:tcPr>
            <w:tcW w:w="102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Component</w:t>
            </w:r>
          </w:p>
        </w:tc>
        <w:tc>
          <w:tcPr>
            <w:tcW w:w="120" w:type="dxa"/>
            <w:vAlign w:val="bottom"/>
          </w:tcPr>
          <w:p>
            <w:pPr>
              <w:spacing w:after="0"/>
              <w:rPr>
                <w:sz w:val="15"/>
                <w:szCs w:val="15"/>
                <w:color w:val="auto"/>
              </w:rPr>
            </w:pPr>
          </w:p>
        </w:tc>
        <w:tc>
          <w:tcPr>
            <w:tcW w:w="900" w:type="dxa"/>
            <w:vAlign w:val="bottom"/>
          </w:tcPr>
          <w:p>
            <w:pPr>
              <w:jc w:val="center"/>
              <w:ind w:right="68"/>
              <w:spacing w:after="0"/>
              <w:rPr>
                <w:sz w:val="20"/>
                <w:szCs w:val="20"/>
                <w:color w:val="auto"/>
              </w:rPr>
            </w:pPr>
            <w:r>
              <w:rPr>
                <w:rFonts w:ascii="Times New Roman" w:cs="Times New Roman" w:eastAsia="Times New Roman" w:hAnsi="Times New Roman"/>
                <w:sz w:val="13"/>
                <w:szCs w:val="13"/>
                <w:b w:val="1"/>
                <w:bCs w:val="1"/>
                <w:color w:val="auto"/>
              </w:rPr>
              <w:t>Component</w:t>
            </w:r>
          </w:p>
        </w:tc>
        <w:tc>
          <w:tcPr>
            <w:tcW w:w="0" w:type="dxa"/>
            <w:vAlign w:val="bottom"/>
          </w:tcPr>
          <w:p>
            <w:pPr>
              <w:spacing w:after="0"/>
              <w:rPr>
                <w:sz w:val="1"/>
                <w:szCs w:val="1"/>
                <w:color w:val="auto"/>
              </w:rPr>
            </w:pPr>
          </w:p>
        </w:tc>
      </w:tr>
      <w:tr>
        <w:trPr>
          <w:trHeight w:val="215"/>
        </w:trPr>
        <w:tc>
          <w:tcPr>
            <w:tcW w:w="2960" w:type="dxa"/>
            <w:vAlign w:val="bottom"/>
            <w:tcBorders>
              <w:top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Rate Products</w:t>
            </w: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Borders>
              <w:top w:val="single" w:sz="8" w:color="auto"/>
              <w:bottom w:val="single" w:sz="8" w:color="auto"/>
            </w:tcBorders>
            <w:gridSpan w:val="2"/>
            <w:shd w:val="clear" w:color="auto" w:fill="CCEEFF"/>
          </w:tcPr>
          <w:p>
            <w:pPr>
              <w:jc w:val="center"/>
              <w:ind w:left="427"/>
              <w:spacing w:after="0"/>
              <w:rPr>
                <w:sz w:val="20"/>
                <w:szCs w:val="20"/>
                <w:color w:val="auto"/>
              </w:rPr>
            </w:pPr>
            <w:r>
              <w:rPr>
                <w:rFonts w:ascii="Times New Roman" w:cs="Times New Roman" w:eastAsia="Times New Roman" w:hAnsi="Times New Roman"/>
                <w:sz w:val="16"/>
                <w:szCs w:val="16"/>
                <w:color w:val="auto"/>
                <w:w w:val="97"/>
              </w:rPr>
              <w:t>(289)</w:t>
            </w:r>
          </w:p>
        </w:tc>
        <w:tc>
          <w:tcPr>
            <w:tcW w:w="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bottom w:val="single" w:sz="8" w:color="auto"/>
            </w:tcBorders>
            <w:gridSpan w:val="2"/>
            <w:shd w:val="clear" w:color="auto" w:fill="CCEEFF"/>
          </w:tcPr>
          <w:p>
            <w:pPr>
              <w:jc w:val="center"/>
              <w:ind w:left="446"/>
              <w:spacing w:after="0"/>
              <w:rPr>
                <w:sz w:val="20"/>
                <w:szCs w:val="20"/>
                <w:color w:val="auto"/>
              </w:rPr>
            </w:pPr>
            <w:r>
              <w:rPr>
                <w:rFonts w:ascii="Times New Roman" w:cs="Times New Roman" w:eastAsia="Times New Roman" w:hAnsi="Times New Roman"/>
                <w:sz w:val="16"/>
                <w:szCs w:val="16"/>
                <w:color w:val="auto"/>
              </w:rPr>
              <w:t>(289)</w:t>
            </w:r>
          </w:p>
        </w:tc>
        <w:tc>
          <w:tcPr>
            <w:tcW w:w="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Borders>
              <w:top w:val="single" w:sz="8" w:color="auto"/>
              <w:bottom w:val="single" w:sz="8" w:color="auto"/>
            </w:tcBorders>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520" w:type="dxa"/>
            <w:vAlign w:val="bottom"/>
            <w:tcBorders>
              <w:top w:val="single" w:sz="8" w:color="auto"/>
            </w:tcBorders>
            <w:gridSpan w:val="2"/>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Interest Income</w:t>
            </w: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(786)</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(786)</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bottom w:val="single" w:sz="8" w:color="auto"/>
            </w:tcBorders>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7"/>
        </w:trPr>
        <w:tc>
          <w:tcPr>
            <w:tcW w:w="3040" w:type="dxa"/>
            <w:vAlign w:val="bottom"/>
            <w:gridSpan w:val="3"/>
          </w:tcPr>
          <w:p>
            <w:pPr>
              <w:ind w:left="240"/>
              <w:spacing w:after="0"/>
              <w:rPr>
                <w:sz w:val="20"/>
                <w:szCs w:val="20"/>
                <w:color w:val="auto"/>
              </w:rPr>
            </w:pPr>
            <w:r>
              <w:rPr>
                <w:rFonts w:ascii="Times New Roman" w:cs="Times New Roman" w:eastAsia="Times New Roman" w:hAnsi="Times New Roman"/>
                <w:sz w:val="16"/>
                <w:szCs w:val="16"/>
                <w:color w:val="auto"/>
              </w:rPr>
              <w:t>Total</w:t>
            </w:r>
          </w:p>
        </w:tc>
        <w:tc>
          <w:tcPr>
            <w:tcW w:w="20" w:type="dxa"/>
            <w:vAlign w:val="bottom"/>
          </w:tcPr>
          <w:p>
            <w:pPr>
              <w:spacing w:after="0"/>
              <w:rPr>
                <w:sz w:val="17"/>
                <w:szCs w:val="17"/>
                <w:color w:val="auto"/>
              </w:rPr>
            </w:pPr>
          </w:p>
        </w:tc>
        <w:tc>
          <w:tcPr>
            <w:tcW w:w="1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Borders>
              <w:bottom w:val="single" w:sz="8" w:color="auto"/>
            </w:tcBorders>
            <w:gridSpan w:val="2"/>
          </w:tcPr>
          <w:p>
            <w:pPr>
              <w:jc w:val="center"/>
              <w:ind w:left="427"/>
              <w:spacing w:after="0"/>
              <w:rPr>
                <w:sz w:val="20"/>
                <w:szCs w:val="20"/>
                <w:color w:val="auto"/>
              </w:rPr>
            </w:pPr>
            <w:r>
              <w:rPr>
                <w:rFonts w:ascii="Times New Roman" w:cs="Times New Roman" w:eastAsia="Times New Roman" w:hAnsi="Times New Roman"/>
                <w:sz w:val="16"/>
                <w:szCs w:val="16"/>
                <w:color w:val="auto"/>
                <w:w w:val="97"/>
              </w:rPr>
              <w:t>(289)</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gridSpan w:val="2"/>
          </w:tcPr>
          <w:p>
            <w:pPr>
              <w:jc w:val="center"/>
              <w:ind w:left="446"/>
              <w:spacing w:after="0"/>
              <w:rPr>
                <w:sz w:val="20"/>
                <w:szCs w:val="20"/>
                <w:color w:val="auto"/>
              </w:rPr>
            </w:pPr>
            <w:r>
              <w:rPr>
                <w:rFonts w:ascii="Times New Roman" w:cs="Times New Roman" w:eastAsia="Times New Roman" w:hAnsi="Times New Roman"/>
                <w:sz w:val="16"/>
                <w:szCs w:val="16"/>
                <w:color w:val="auto"/>
              </w:rPr>
              <w:t>(289)</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Borders>
              <w:bottom w:val="single" w:sz="8" w:color="auto"/>
            </w:tcBorders>
          </w:tcPr>
          <w:p>
            <w:pPr>
              <w:ind w:left="68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(786)</w:t>
            </w:r>
          </w:p>
        </w:tc>
        <w:tc>
          <w:tcPr>
            <w:tcW w:w="10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(786)</w:t>
            </w:r>
          </w:p>
        </w:tc>
        <w:tc>
          <w:tcPr>
            <w:tcW w:w="10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tcPr>
          <w:p>
            <w:pPr>
              <w:ind w:left="68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bl>
    <w:p>
      <w:pPr>
        <w:spacing w:after="0" w:line="3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table below presents the effect of the Company’s derivative financial instruments on the Consolidated Statements of Income for the three and six months ended June 30, 2024, and June 30, 2023 (in thousands).</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Derivatives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180" w:right="240" w:hanging="161"/>
        <w:spacing w:after="0" w:line="245" w:lineRule="auto"/>
        <w:rPr>
          <w:sz w:val="20"/>
          <w:szCs w:val="20"/>
          <w:color w:val="auto"/>
        </w:rPr>
      </w:pPr>
      <w:r>
        <w:rPr>
          <w:rFonts w:ascii="Times New Roman" w:cs="Times New Roman" w:eastAsia="Times New Roman" w:hAnsi="Times New Roman"/>
          <w:sz w:val="16"/>
          <w:szCs w:val="16"/>
          <w:color w:val="auto"/>
        </w:rPr>
        <w:t>Total amounts of income and expense line items presented in the statement of financial performance in which the effects of fair value or cash flow hedges are recorded.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24003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240030"/>
                    </a:xfrm>
                    <a:prstGeom prst="rect">
                      <a:avLst/>
                    </a:prstGeom>
                    <a:noFill/>
                  </pic:spPr>
                </pic:pic>
              </a:graphicData>
            </a:graphic>
          </wp:anchor>
        </w:drawing>
      </w:r>
    </w:p>
    <w:p>
      <w:pPr>
        <w:ind w:left="80"/>
        <w:spacing w:after="0"/>
        <w:rPr>
          <w:sz w:val="20"/>
          <w:szCs w:val="20"/>
          <w:color w:val="auto"/>
        </w:rPr>
      </w:pPr>
      <w:r>
        <w:rPr>
          <w:rFonts w:ascii="Times New Roman" w:cs="Times New Roman" w:eastAsia="Times New Roman" w:hAnsi="Times New Roman"/>
          <w:sz w:val="16"/>
          <w:szCs w:val="16"/>
          <w:b w:val="1"/>
          <w:bCs w:val="1"/>
          <w:color w:val="auto"/>
        </w:rPr>
        <w:t>The effects of fair value and cash flow hedging:</w:t>
      </w:r>
    </w:p>
    <w:p>
      <w:pPr>
        <w:spacing w:after="0" w:line="32" w:lineRule="exact"/>
        <w:rPr>
          <w:sz w:val="20"/>
          <w:szCs w:val="20"/>
          <w:color w:val="auto"/>
        </w:rPr>
      </w:pPr>
    </w:p>
    <w:p>
      <w:pPr>
        <w:ind w:left="20" w:right="860" w:firstLine="324"/>
        <w:spacing w:after="0" w:line="283" w:lineRule="auto"/>
        <w:rPr>
          <w:sz w:val="20"/>
          <w:szCs w:val="20"/>
          <w:color w:val="auto"/>
        </w:rPr>
      </w:pPr>
      <w:r>
        <w:rPr>
          <w:rFonts w:ascii="Times New Roman" w:cs="Times New Roman" w:eastAsia="Times New Roman" w:hAnsi="Times New Roman"/>
          <w:sz w:val="16"/>
          <w:szCs w:val="16"/>
          <w:b w:val="1"/>
          <w:bCs w:val="1"/>
          <w:color w:val="auto"/>
        </w:rPr>
        <w:t xml:space="preserve">Gain or (loss) on fair value hedging relationships in Subtopic 815-20 </w:t>
      </w:r>
      <w:r>
        <w:rPr>
          <w:rFonts w:ascii="Times New Roman" w:cs="Times New Roman" w:eastAsia="Times New Roman" w:hAnsi="Times New Roman"/>
          <w:sz w:val="16"/>
          <w:szCs w:val="16"/>
          <w:u w:val="single" w:color="auto"/>
          <w:color w:val="auto"/>
        </w:rPr>
        <w:t>Interest contracts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-273685</wp:posOffset>
            </wp:positionV>
            <wp:extent cx="7132320" cy="13716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140"/>
        <w:spacing w:after="0" w:line="232" w:lineRule="auto"/>
        <w:rPr>
          <w:sz w:val="20"/>
          <w:szCs w:val="20"/>
          <w:color w:val="auto"/>
        </w:rPr>
      </w:pPr>
      <w:r>
        <w:rPr>
          <w:rFonts w:ascii="Times New Roman" w:cs="Times New Roman" w:eastAsia="Times New Roman" w:hAnsi="Times New Roman"/>
          <w:sz w:val="16"/>
          <w:szCs w:val="16"/>
          <w:color w:val="auto"/>
        </w:rPr>
        <w:t xml:space="preserve">Hedged items </w:t>
      </w:r>
      <w:r>
        <w:rPr>
          <w:rFonts w:ascii="Times New Roman" w:cs="Times New Roman" w:eastAsia="Times New Roman" w:hAnsi="Times New Roman"/>
          <w:sz w:val="21"/>
          <w:szCs w:val="21"/>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-147320</wp:posOffset>
            </wp:positionV>
            <wp:extent cx="7132320" cy="13716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140"/>
        <w:spacing w:after="0"/>
        <w:rPr>
          <w:sz w:val="20"/>
          <w:szCs w:val="20"/>
          <w:color w:val="auto"/>
        </w:rPr>
      </w:pPr>
      <w:r>
        <w:rPr>
          <w:rFonts w:ascii="Times New Roman" w:cs="Times New Roman" w:eastAsia="Times New Roman" w:hAnsi="Times New Roman"/>
          <w:sz w:val="16"/>
          <w:szCs w:val="16"/>
          <w:color w:val="auto"/>
        </w:rPr>
        <w:t>Derivatives designated as hedging instruments</w:t>
      </w:r>
    </w:p>
    <w:p>
      <w:pPr>
        <w:spacing w:after="0" w:line="1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b w:val="1"/>
          <w:bCs w:val="1"/>
          <w:color w:val="auto"/>
        </w:rPr>
        <w:t>Gain or (loss) on cash flow hedging relationships in Subtopic 815-20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-114935</wp:posOffset>
            </wp:positionV>
            <wp:extent cx="7132320" cy="13716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u w:val="single" w:color="auto"/>
          <w:color w:val="auto"/>
        </w:rPr>
        <w:t>Interest contracts</w:t>
      </w:r>
    </w:p>
    <w:p>
      <w:pPr>
        <w:spacing w:after="0" w:line="32"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6"/>
          <w:szCs w:val="16"/>
          <w:color w:val="auto"/>
        </w:rPr>
        <w:t>Amount of gain or (loss) reclassified from AOCI into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7132320" cy="13716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2" w:lineRule="exact"/>
        <w:rPr>
          <w:sz w:val="20"/>
          <w:szCs w:val="20"/>
          <w:color w:val="auto"/>
        </w:rPr>
      </w:pPr>
    </w:p>
    <w:p>
      <w:pPr>
        <w:ind w:left="300" w:hanging="161"/>
        <w:spacing w:after="0" w:line="245" w:lineRule="auto"/>
        <w:rPr>
          <w:sz w:val="20"/>
          <w:szCs w:val="20"/>
          <w:color w:val="auto"/>
        </w:rPr>
      </w:pPr>
      <w:r>
        <w:rPr>
          <w:rFonts w:ascii="Times New Roman" w:cs="Times New Roman" w:eastAsia="Times New Roman" w:hAnsi="Times New Roman"/>
          <w:sz w:val="16"/>
          <w:szCs w:val="16"/>
          <w:color w:val="auto"/>
        </w:rPr>
        <w:t>Amount of gain or (loss) reclassified from AOCI into income as a result that a forecasted transaction is no longer probable of occurring</w:t>
      </w:r>
    </w:p>
    <w:p>
      <w:pPr>
        <w:spacing w:after="0" w:line="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Amount of gain or (loss) reclassified from AOCI into income - included component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7132320" cy="13716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Amount of gain or (loss) reclassified from AOCI into income - excluded component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180" w:right="240" w:hanging="161"/>
        <w:spacing w:after="0" w:line="245" w:lineRule="auto"/>
        <w:rPr>
          <w:sz w:val="20"/>
          <w:szCs w:val="20"/>
          <w:color w:val="auto"/>
        </w:rPr>
      </w:pPr>
      <w:r>
        <w:rPr>
          <w:rFonts w:ascii="Times New Roman" w:cs="Times New Roman" w:eastAsia="Times New Roman" w:hAnsi="Times New Roman"/>
          <w:sz w:val="16"/>
          <w:szCs w:val="16"/>
          <w:color w:val="auto"/>
        </w:rPr>
        <w:t>Total amounts of income and expense line items presented in the statement of financial performance in which the effects of fair value or cash flow hedges are recorded.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24003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240030"/>
                    </a:xfrm>
                    <a:prstGeom prst="rect">
                      <a:avLst/>
                    </a:prstGeom>
                    <a:noFill/>
                  </pic:spPr>
                </pic:pic>
              </a:graphicData>
            </a:graphic>
          </wp:anchor>
        </w:drawing>
      </w:r>
    </w:p>
    <w:p>
      <w:pPr>
        <w:ind w:left="80"/>
        <w:spacing w:after="0"/>
        <w:rPr>
          <w:sz w:val="20"/>
          <w:szCs w:val="20"/>
          <w:color w:val="auto"/>
        </w:rPr>
      </w:pPr>
      <w:r>
        <w:rPr>
          <w:rFonts w:ascii="Times New Roman" w:cs="Times New Roman" w:eastAsia="Times New Roman" w:hAnsi="Times New Roman"/>
          <w:sz w:val="16"/>
          <w:szCs w:val="16"/>
          <w:b w:val="1"/>
          <w:bCs w:val="1"/>
          <w:color w:val="auto"/>
        </w:rPr>
        <w:t>The effects of fair value and cash flow hedging:</w:t>
      </w:r>
    </w:p>
    <w:p>
      <w:pPr>
        <w:spacing w:after="0" w:line="32" w:lineRule="exact"/>
        <w:rPr>
          <w:sz w:val="20"/>
          <w:szCs w:val="20"/>
          <w:color w:val="auto"/>
        </w:rPr>
      </w:pPr>
    </w:p>
    <w:p>
      <w:pPr>
        <w:ind w:left="20" w:right="860" w:firstLine="324"/>
        <w:spacing w:after="0" w:line="279" w:lineRule="auto"/>
        <w:rPr>
          <w:sz w:val="20"/>
          <w:szCs w:val="20"/>
          <w:color w:val="auto"/>
        </w:rPr>
      </w:pPr>
      <w:r>
        <w:rPr>
          <w:rFonts w:ascii="Times New Roman" w:cs="Times New Roman" w:eastAsia="Times New Roman" w:hAnsi="Times New Roman"/>
          <w:sz w:val="16"/>
          <w:szCs w:val="16"/>
          <w:b w:val="1"/>
          <w:bCs w:val="1"/>
          <w:color w:val="auto"/>
        </w:rPr>
        <w:t xml:space="preserve">Gain or (loss) on fair value hedging relationships in Subtopic 815-20 </w:t>
      </w:r>
      <w:r>
        <w:rPr>
          <w:rFonts w:ascii="Times New Roman" w:cs="Times New Roman" w:eastAsia="Times New Roman" w:hAnsi="Times New Roman"/>
          <w:sz w:val="16"/>
          <w:szCs w:val="16"/>
          <w:u w:val="single" w:color="auto"/>
          <w:color w:val="auto"/>
        </w:rPr>
        <w:t>Interest contracts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-269240</wp:posOffset>
            </wp:positionV>
            <wp:extent cx="7132320" cy="13716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140"/>
        <w:spacing w:after="0" w:line="238" w:lineRule="auto"/>
        <w:rPr>
          <w:sz w:val="20"/>
          <w:szCs w:val="20"/>
          <w:color w:val="auto"/>
        </w:rPr>
      </w:pPr>
      <w:r>
        <w:rPr>
          <w:rFonts w:ascii="Times New Roman" w:cs="Times New Roman" w:eastAsia="Times New Roman" w:hAnsi="Times New Roman"/>
          <w:sz w:val="16"/>
          <w:szCs w:val="16"/>
          <w:color w:val="auto"/>
        </w:rPr>
        <w:t xml:space="preserve">Hedged items </w:t>
      </w:r>
      <w:r>
        <w:rPr>
          <w:rFonts w:ascii="Times New Roman" w:cs="Times New Roman" w:eastAsia="Times New Roman" w:hAnsi="Times New Roman"/>
          <w:sz w:val="21"/>
          <w:szCs w:val="21"/>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-147320</wp:posOffset>
            </wp:positionV>
            <wp:extent cx="7132320" cy="13716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140"/>
        <w:spacing w:after="0"/>
        <w:rPr>
          <w:sz w:val="20"/>
          <w:szCs w:val="20"/>
          <w:color w:val="auto"/>
        </w:rPr>
      </w:pPr>
      <w:r>
        <w:rPr>
          <w:rFonts w:ascii="Times New Roman" w:cs="Times New Roman" w:eastAsia="Times New Roman" w:hAnsi="Times New Roman"/>
          <w:sz w:val="16"/>
          <w:szCs w:val="16"/>
          <w:color w:val="auto"/>
        </w:rPr>
        <w:t>Derivatives designated as hedging instruments</w:t>
      </w:r>
    </w:p>
    <w:p>
      <w:pPr>
        <w:spacing w:after="0" w:line="1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b w:val="1"/>
          <w:bCs w:val="1"/>
          <w:color w:val="auto"/>
        </w:rPr>
        <w:t>Gain or (loss) on cash flow hedging relationships in Subtopic 815-20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-114935</wp:posOffset>
            </wp:positionV>
            <wp:extent cx="7132320" cy="13716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u w:val="single" w:color="auto"/>
          <w:color w:val="auto"/>
        </w:rPr>
        <w:t>Interest contracts</w:t>
      </w:r>
    </w:p>
    <w:p>
      <w:pPr>
        <w:spacing w:after="0" w:line="32"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6"/>
          <w:szCs w:val="16"/>
          <w:color w:val="auto"/>
        </w:rPr>
        <w:t>Amount of gain or (loss) reclassified from AOCI into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7132320" cy="13716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2" w:lineRule="exact"/>
        <w:rPr>
          <w:sz w:val="20"/>
          <w:szCs w:val="20"/>
          <w:color w:val="auto"/>
        </w:rPr>
      </w:pPr>
    </w:p>
    <w:p>
      <w:pPr>
        <w:ind w:left="300" w:hanging="161"/>
        <w:spacing w:after="0" w:line="245" w:lineRule="auto"/>
        <w:rPr>
          <w:sz w:val="20"/>
          <w:szCs w:val="20"/>
          <w:color w:val="auto"/>
        </w:rPr>
      </w:pPr>
      <w:r>
        <w:rPr>
          <w:rFonts w:ascii="Times New Roman" w:cs="Times New Roman" w:eastAsia="Times New Roman" w:hAnsi="Times New Roman"/>
          <w:sz w:val="16"/>
          <w:szCs w:val="16"/>
          <w:color w:val="auto"/>
        </w:rPr>
        <w:t>Amount of gain or (loss) reclassified from AOCI into income as a result that a forecasted transaction is no longer probable of occurring</w:t>
      </w:r>
    </w:p>
    <w:p>
      <w:pPr>
        <w:spacing w:after="0" w:line="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Amount of gain or (loss) reclassified from AOCI into income - included component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7132320" cy="13716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Amount of gain or (loss) reclassified from AOCI into income - excluded component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left="-19" w:right="200"/>
        <w:spacing w:after="0" w:line="248" w:lineRule="auto"/>
        <w:rPr>
          <w:sz w:val="20"/>
          <w:szCs w:val="20"/>
          <w:color w:val="auto"/>
        </w:rPr>
      </w:pPr>
      <w:r>
        <w:rPr>
          <w:rFonts w:ascii="Times New Roman" w:cs="Times New Roman" w:eastAsia="Times New Roman" w:hAnsi="Times New Roman"/>
          <w:sz w:val="16"/>
          <w:szCs w:val="16"/>
          <w:b w:val="1"/>
          <w:bCs w:val="1"/>
          <w:color w:val="auto"/>
        </w:rPr>
        <w:t>Location and Amount of Gain or (Loss) Recognized in Income on Fair Value and Cash Flow Hedging Relationships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333438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334385" cy="8255"/>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16"/>
          <w:szCs w:val="16"/>
          <w:b w:val="1"/>
          <w:bCs w:val="1"/>
          <w:color w:val="auto"/>
        </w:rPr>
        <w:t>Three months ended</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60" w:type="dxa"/>
            <w:vAlign w:val="bottom"/>
            <w:tcBorders>
              <w:top w:val="single" w:sz="8" w:color="auto"/>
            </w:tcBorders>
          </w:tcPr>
          <w:p>
            <w:pPr>
              <w:spacing w:after="0"/>
              <w:rPr>
                <w:sz w:val="18"/>
                <w:szCs w:val="18"/>
                <w:color w:val="auto"/>
              </w:rPr>
            </w:pPr>
          </w:p>
        </w:tc>
        <w:tc>
          <w:tcPr>
            <w:tcW w:w="1560" w:type="dxa"/>
            <w:vAlign w:val="bottom"/>
            <w:tcBorders>
              <w:top w:val="single" w:sz="8" w:color="auto"/>
            </w:tcBorders>
            <w:gridSpan w:val="3"/>
          </w:tcPr>
          <w:p>
            <w:pPr>
              <w:ind w:left="360"/>
              <w:spacing w:after="0"/>
              <w:rPr>
                <w:sz w:val="20"/>
                <w:szCs w:val="20"/>
                <w:color w:val="auto"/>
              </w:rPr>
            </w:pPr>
            <w:r>
              <w:rPr>
                <w:rFonts w:ascii="Times New Roman" w:cs="Times New Roman" w:eastAsia="Times New Roman" w:hAnsi="Times New Roman"/>
                <w:sz w:val="16"/>
                <w:szCs w:val="16"/>
                <w:b w:val="1"/>
                <w:bCs w:val="1"/>
                <w:color w:val="auto"/>
              </w:rPr>
              <w:t>June 30, 2024</w:t>
            </w:r>
          </w:p>
        </w:tc>
        <w:tc>
          <w:tcPr>
            <w:tcW w:w="56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1640" w:type="dxa"/>
            <w:vAlign w:val="bottom"/>
            <w:tcBorders>
              <w:top w:val="single" w:sz="8" w:color="auto"/>
            </w:tcBorders>
            <w:gridSpan w:val="3"/>
          </w:tcPr>
          <w:p>
            <w:pPr>
              <w:ind w:left="400"/>
              <w:spacing w:after="0"/>
              <w:rPr>
                <w:sz w:val="20"/>
                <w:szCs w:val="20"/>
                <w:color w:val="auto"/>
              </w:rPr>
            </w:pPr>
            <w:r>
              <w:rPr>
                <w:rFonts w:ascii="Times New Roman" w:cs="Times New Roman" w:eastAsia="Times New Roman" w:hAnsi="Times New Roman"/>
                <w:sz w:val="16"/>
                <w:szCs w:val="16"/>
                <w:b w:val="1"/>
                <w:bCs w:val="1"/>
                <w:color w:val="auto"/>
              </w:rPr>
              <w:t>June 30, 2023</w:t>
            </w:r>
          </w:p>
        </w:tc>
        <w:tc>
          <w:tcPr>
            <w:tcW w:w="520" w:type="dxa"/>
            <w:vAlign w:val="bottom"/>
            <w:tcBorders>
              <w:top w:val="single" w:sz="8" w:color="auto"/>
            </w:tcBorders>
          </w:tcPr>
          <w:p>
            <w:pPr>
              <w:spacing w:after="0"/>
              <w:rPr>
                <w:sz w:val="18"/>
                <w:szCs w:val="18"/>
                <w:color w:val="auto"/>
              </w:rPr>
            </w:pPr>
          </w:p>
        </w:tc>
      </w:tr>
      <w:tr>
        <w:trPr>
          <w:trHeight w:val="216"/>
        </w:trPr>
        <w:tc>
          <w:tcPr>
            <w:tcW w:w="1340" w:type="dxa"/>
            <w:vAlign w:val="bottom"/>
            <w:gridSpan w:val="3"/>
          </w:tcPr>
          <w:p>
            <w:pPr>
              <w:ind w:left="80"/>
              <w:spacing w:after="0"/>
              <w:rPr>
                <w:sz w:val="20"/>
                <w:szCs w:val="20"/>
                <w:color w:val="auto"/>
              </w:rPr>
            </w:pPr>
            <w:r>
              <w:rPr>
                <w:rFonts w:ascii="Times New Roman" w:cs="Times New Roman" w:eastAsia="Times New Roman" w:hAnsi="Times New Roman"/>
                <w:sz w:val="16"/>
                <w:szCs w:val="16"/>
                <w:b w:val="1"/>
                <w:bCs w:val="1"/>
                <w:color w:val="auto"/>
              </w:rPr>
              <w:t>Interest Income</w:t>
            </w:r>
          </w:p>
        </w:tc>
        <w:tc>
          <w:tcPr>
            <w:tcW w:w="1340" w:type="dxa"/>
            <w:vAlign w:val="bottom"/>
            <w:gridSpan w:val="3"/>
          </w:tcPr>
          <w:p>
            <w:pPr>
              <w:ind w:left="40"/>
              <w:spacing w:after="0"/>
              <w:rPr>
                <w:sz w:val="20"/>
                <w:szCs w:val="20"/>
                <w:color w:val="auto"/>
              </w:rPr>
            </w:pPr>
            <w:r>
              <w:rPr>
                <w:rFonts w:ascii="Times New Roman" w:cs="Times New Roman" w:eastAsia="Times New Roman" w:hAnsi="Times New Roman"/>
                <w:sz w:val="16"/>
                <w:szCs w:val="16"/>
                <w:b w:val="1"/>
                <w:bCs w:val="1"/>
                <w:color w:val="auto"/>
              </w:rPr>
              <w:t>Interest Expense</w:t>
            </w:r>
          </w:p>
        </w:tc>
        <w:tc>
          <w:tcPr>
            <w:tcW w:w="1340" w:type="dxa"/>
            <w:vAlign w:val="bottom"/>
            <w:gridSpan w:val="3"/>
          </w:tcPr>
          <w:p>
            <w:pPr>
              <w:ind w:left="80"/>
              <w:spacing w:after="0"/>
              <w:rPr>
                <w:sz w:val="20"/>
                <w:szCs w:val="20"/>
                <w:color w:val="auto"/>
              </w:rPr>
            </w:pPr>
            <w:r>
              <w:rPr>
                <w:rFonts w:ascii="Times New Roman" w:cs="Times New Roman" w:eastAsia="Times New Roman" w:hAnsi="Times New Roman"/>
                <w:sz w:val="16"/>
                <w:szCs w:val="16"/>
                <w:b w:val="1"/>
                <w:bCs w:val="1"/>
                <w:color w:val="auto"/>
              </w:rPr>
              <w:t>Interest Income</w:t>
            </w:r>
          </w:p>
        </w:tc>
        <w:tc>
          <w:tcPr>
            <w:tcW w:w="124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Interest Expense</w:t>
            </w:r>
          </w:p>
        </w:tc>
      </w:tr>
      <w:tr>
        <w:trPr>
          <w:trHeight w:val="355"/>
        </w:trPr>
        <w:tc>
          <w:tcPr>
            <w:tcW w:w="460" w:type="dxa"/>
            <w:vAlign w:val="bottom"/>
            <w:tcBorders>
              <w:top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(88)</w:t>
            </w:r>
          </w:p>
        </w:tc>
        <w:tc>
          <w:tcPr>
            <w:tcW w:w="80" w:type="dxa"/>
            <w:vAlign w:val="bottom"/>
          </w:tcPr>
          <w:p>
            <w:pPr>
              <w:spacing w:after="0"/>
              <w:rPr>
                <w:sz w:val="24"/>
                <w:szCs w:val="24"/>
                <w:color w:val="auto"/>
              </w:rPr>
            </w:pPr>
          </w:p>
        </w:tc>
        <w:tc>
          <w:tcPr>
            <w:tcW w:w="6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997</w:t>
            </w:r>
          </w:p>
        </w:tc>
        <w:tc>
          <w:tcPr>
            <w:tcW w:w="100" w:type="dxa"/>
            <w:vAlign w:val="bottom"/>
          </w:tcPr>
          <w:p>
            <w:pPr>
              <w:spacing w:after="0"/>
              <w:rPr>
                <w:sz w:val="24"/>
                <w:szCs w:val="24"/>
                <w:color w:val="auto"/>
              </w:rPr>
            </w:pPr>
          </w:p>
        </w:tc>
        <w:tc>
          <w:tcPr>
            <w:tcW w:w="420" w:type="dxa"/>
            <w:vAlign w:val="bottom"/>
            <w:tcBorders>
              <w:top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(914)</w:t>
            </w:r>
          </w:p>
        </w:tc>
        <w:tc>
          <w:tcPr>
            <w:tcW w:w="100" w:type="dxa"/>
            <w:vAlign w:val="bottom"/>
          </w:tcPr>
          <w:p>
            <w:pPr>
              <w:spacing w:after="0"/>
              <w:rPr>
                <w:sz w:val="24"/>
                <w:szCs w:val="24"/>
                <w:color w:val="auto"/>
              </w:rPr>
            </w:pPr>
          </w:p>
        </w:tc>
        <w:tc>
          <w:tcPr>
            <w:tcW w:w="7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tcBorders>
              <w:top w:val="single" w:sz="8" w:color="auto"/>
            </w:tcBorders>
          </w:tcPr>
          <w:p>
            <w:pPr>
              <w:ind w:left="300"/>
              <w:spacing w:after="0"/>
              <w:rPr>
                <w:sz w:val="20"/>
                <w:szCs w:val="20"/>
                <w:color w:val="auto"/>
              </w:rPr>
            </w:pPr>
            <w:r>
              <w:rPr>
                <w:rFonts w:ascii="Times New Roman" w:cs="Times New Roman" w:eastAsia="Times New Roman" w:hAnsi="Times New Roman"/>
                <w:sz w:val="16"/>
                <w:szCs w:val="16"/>
                <w:color w:val="auto"/>
              </w:rPr>
              <w:t>—</w:t>
            </w:r>
          </w:p>
        </w:tc>
      </w:tr>
      <w:tr>
        <w:trPr>
          <w:trHeight w:val="864"/>
        </w:trPr>
        <w:tc>
          <w:tcPr>
            <w:tcW w:w="46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(3,468)</w:t>
            </w: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2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w:t>
            </w:r>
          </w:p>
        </w:tc>
      </w:tr>
      <w:tr>
        <w:trPr>
          <w:trHeight w:val="216"/>
        </w:trPr>
        <w:tc>
          <w:tcPr>
            <w:tcW w:w="46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2,977</w:t>
            </w: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2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w:t>
            </w:r>
          </w:p>
        </w:tc>
      </w:tr>
      <w:tr>
        <w:trPr>
          <w:trHeight w:val="648"/>
        </w:trPr>
        <w:tc>
          <w:tcPr>
            <w:tcW w:w="46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(128)</w:t>
            </w: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997</w:t>
            </w: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(423)</w:t>
            </w: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2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w:t>
            </w:r>
          </w:p>
        </w:tc>
      </w:tr>
      <w:tr>
        <w:trPr>
          <w:trHeight w:val="378"/>
        </w:trPr>
        <w:tc>
          <w:tcPr>
            <w:tcW w:w="460" w:type="dxa"/>
            <w:vAlign w:val="bottom"/>
          </w:tcPr>
          <w:p>
            <w:pPr>
              <w:spacing w:after="0"/>
              <w:rPr>
                <w:sz w:val="24"/>
                <w:szCs w:val="24"/>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Pr>
          <w:p>
            <w:pPr>
              <w:spacing w:after="0"/>
              <w:rPr>
                <w:sz w:val="24"/>
                <w:szCs w:val="24"/>
                <w:color w:val="auto"/>
              </w:rPr>
            </w:pP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Pr>
          <w:p>
            <w:pPr>
              <w:spacing w:after="0"/>
              <w:rPr>
                <w:sz w:val="24"/>
                <w:szCs w:val="24"/>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Pr>
          <w:p>
            <w:pPr>
              <w:spacing w:after="0"/>
              <w:rPr>
                <w:sz w:val="24"/>
                <w:szCs w:val="24"/>
                <w:color w:val="auto"/>
              </w:rPr>
            </w:pPr>
          </w:p>
        </w:tc>
        <w:tc>
          <w:tcPr>
            <w:tcW w:w="52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w:t>
            </w:r>
          </w:p>
        </w:tc>
      </w:tr>
      <w:tr>
        <w:trPr>
          <w:trHeight w:val="216"/>
        </w:trPr>
        <w:tc>
          <w:tcPr>
            <w:tcW w:w="4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(128)</w:t>
            </w: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997</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(423)</w:t>
            </w: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2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w:t>
            </w:r>
          </w:p>
        </w:tc>
      </w:tr>
      <w:tr>
        <w:trPr>
          <w:trHeight w:val="216"/>
        </w:trPr>
        <w:tc>
          <w:tcPr>
            <w:tcW w:w="46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Pr>
          <w:p>
            <w:pPr>
              <w:spacing w:after="0"/>
              <w:rPr>
                <w:sz w:val="18"/>
                <w:szCs w:val="18"/>
                <w:color w:val="auto"/>
              </w:rPr>
            </w:pPr>
          </w:p>
        </w:tc>
        <w:tc>
          <w:tcPr>
            <w:tcW w:w="52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w:t>
            </w:r>
          </w:p>
        </w:tc>
      </w:tr>
    </w:tbl>
    <w:p>
      <w:pPr>
        <w:spacing w:after="0" w:line="287" w:lineRule="exact"/>
        <w:rPr>
          <w:sz w:val="20"/>
          <w:szCs w:val="20"/>
          <w:color w:val="auto"/>
        </w:rPr>
      </w:pPr>
    </w:p>
    <w:p>
      <w:pPr>
        <w:jc w:val="center"/>
        <w:ind w:left="-19" w:right="200"/>
        <w:spacing w:after="0" w:line="248" w:lineRule="auto"/>
        <w:rPr>
          <w:sz w:val="20"/>
          <w:szCs w:val="20"/>
          <w:color w:val="auto"/>
        </w:rPr>
      </w:pPr>
      <w:r>
        <w:rPr>
          <w:rFonts w:ascii="Times New Roman" w:cs="Times New Roman" w:eastAsia="Times New Roman" w:hAnsi="Times New Roman"/>
          <w:sz w:val="16"/>
          <w:szCs w:val="16"/>
          <w:b w:val="1"/>
          <w:bCs w:val="1"/>
          <w:color w:val="auto"/>
        </w:rPr>
        <w:t>Location and Amount of Gain or (Loss) Recognized in Income on Fair Value and Cash Flow Hedging Relationships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333438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334385" cy="8255"/>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16"/>
          <w:szCs w:val="16"/>
          <w:b w:val="1"/>
          <w:bCs w:val="1"/>
          <w:color w:val="auto"/>
        </w:rPr>
        <w:t>Six months ended</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60" w:type="dxa"/>
            <w:vAlign w:val="bottom"/>
            <w:tcBorders>
              <w:top w:val="single" w:sz="8" w:color="auto"/>
            </w:tcBorders>
          </w:tcPr>
          <w:p>
            <w:pPr>
              <w:spacing w:after="0"/>
              <w:rPr>
                <w:sz w:val="18"/>
                <w:szCs w:val="18"/>
                <w:color w:val="auto"/>
              </w:rPr>
            </w:pPr>
          </w:p>
        </w:tc>
        <w:tc>
          <w:tcPr>
            <w:tcW w:w="1500" w:type="dxa"/>
            <w:vAlign w:val="bottom"/>
            <w:tcBorders>
              <w:top w:val="single" w:sz="8" w:color="auto"/>
            </w:tcBorders>
            <w:gridSpan w:val="3"/>
          </w:tcPr>
          <w:p>
            <w:pPr>
              <w:ind w:left="360"/>
              <w:spacing w:after="0"/>
              <w:rPr>
                <w:sz w:val="20"/>
                <w:szCs w:val="20"/>
                <w:color w:val="auto"/>
              </w:rPr>
            </w:pPr>
            <w:r>
              <w:rPr>
                <w:rFonts w:ascii="Times New Roman" w:cs="Times New Roman" w:eastAsia="Times New Roman" w:hAnsi="Times New Roman"/>
                <w:sz w:val="16"/>
                <w:szCs w:val="16"/>
                <w:b w:val="1"/>
                <w:bCs w:val="1"/>
                <w:color w:val="auto"/>
              </w:rPr>
              <w:t>June 30, 2024</w:t>
            </w:r>
          </w:p>
        </w:tc>
        <w:tc>
          <w:tcPr>
            <w:tcW w:w="6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1640" w:type="dxa"/>
            <w:vAlign w:val="bottom"/>
            <w:tcBorders>
              <w:top w:val="single" w:sz="8" w:color="auto"/>
            </w:tcBorders>
            <w:gridSpan w:val="3"/>
          </w:tcPr>
          <w:p>
            <w:pPr>
              <w:ind w:left="400"/>
              <w:spacing w:after="0"/>
              <w:rPr>
                <w:sz w:val="20"/>
                <w:szCs w:val="20"/>
                <w:color w:val="auto"/>
              </w:rPr>
            </w:pPr>
            <w:r>
              <w:rPr>
                <w:rFonts w:ascii="Times New Roman" w:cs="Times New Roman" w:eastAsia="Times New Roman" w:hAnsi="Times New Roman"/>
                <w:sz w:val="16"/>
                <w:szCs w:val="16"/>
                <w:b w:val="1"/>
                <w:bCs w:val="1"/>
                <w:color w:val="auto"/>
              </w:rPr>
              <w:t>June 30, 2023</w:t>
            </w:r>
          </w:p>
        </w:tc>
        <w:tc>
          <w:tcPr>
            <w:tcW w:w="520" w:type="dxa"/>
            <w:vAlign w:val="bottom"/>
            <w:tcBorders>
              <w:top w:val="single" w:sz="8" w:color="auto"/>
            </w:tcBorders>
          </w:tcPr>
          <w:p>
            <w:pPr>
              <w:spacing w:after="0"/>
              <w:rPr>
                <w:sz w:val="18"/>
                <w:szCs w:val="18"/>
                <w:color w:val="auto"/>
              </w:rPr>
            </w:pPr>
          </w:p>
        </w:tc>
      </w:tr>
      <w:tr>
        <w:trPr>
          <w:trHeight w:val="216"/>
        </w:trPr>
        <w:tc>
          <w:tcPr>
            <w:tcW w:w="1340" w:type="dxa"/>
            <w:vAlign w:val="bottom"/>
            <w:gridSpan w:val="3"/>
          </w:tcPr>
          <w:p>
            <w:pPr>
              <w:ind w:left="80"/>
              <w:spacing w:after="0"/>
              <w:rPr>
                <w:sz w:val="20"/>
                <w:szCs w:val="20"/>
                <w:color w:val="auto"/>
              </w:rPr>
            </w:pPr>
            <w:r>
              <w:rPr>
                <w:rFonts w:ascii="Times New Roman" w:cs="Times New Roman" w:eastAsia="Times New Roman" w:hAnsi="Times New Roman"/>
                <w:sz w:val="16"/>
                <w:szCs w:val="16"/>
                <w:b w:val="1"/>
                <w:bCs w:val="1"/>
                <w:color w:val="auto"/>
              </w:rPr>
              <w:t>Interest Income</w:t>
            </w:r>
          </w:p>
        </w:tc>
        <w:tc>
          <w:tcPr>
            <w:tcW w:w="1340" w:type="dxa"/>
            <w:vAlign w:val="bottom"/>
            <w:gridSpan w:val="3"/>
          </w:tcPr>
          <w:p>
            <w:pPr>
              <w:ind w:left="40"/>
              <w:spacing w:after="0"/>
              <w:rPr>
                <w:sz w:val="20"/>
                <w:szCs w:val="20"/>
                <w:color w:val="auto"/>
              </w:rPr>
            </w:pPr>
            <w:r>
              <w:rPr>
                <w:rFonts w:ascii="Times New Roman" w:cs="Times New Roman" w:eastAsia="Times New Roman" w:hAnsi="Times New Roman"/>
                <w:sz w:val="16"/>
                <w:szCs w:val="16"/>
                <w:b w:val="1"/>
                <w:bCs w:val="1"/>
                <w:color w:val="auto"/>
              </w:rPr>
              <w:t>Interest Expense</w:t>
            </w:r>
          </w:p>
        </w:tc>
        <w:tc>
          <w:tcPr>
            <w:tcW w:w="1340" w:type="dxa"/>
            <w:vAlign w:val="bottom"/>
            <w:gridSpan w:val="3"/>
          </w:tcPr>
          <w:p>
            <w:pPr>
              <w:ind w:left="80"/>
              <w:spacing w:after="0"/>
              <w:rPr>
                <w:sz w:val="20"/>
                <w:szCs w:val="20"/>
                <w:color w:val="auto"/>
              </w:rPr>
            </w:pPr>
            <w:r>
              <w:rPr>
                <w:rFonts w:ascii="Times New Roman" w:cs="Times New Roman" w:eastAsia="Times New Roman" w:hAnsi="Times New Roman"/>
                <w:sz w:val="16"/>
                <w:szCs w:val="16"/>
                <w:b w:val="1"/>
                <w:bCs w:val="1"/>
                <w:color w:val="auto"/>
              </w:rPr>
              <w:t>Interest Income</w:t>
            </w:r>
          </w:p>
        </w:tc>
        <w:tc>
          <w:tcPr>
            <w:tcW w:w="124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Interest Expense</w:t>
            </w:r>
          </w:p>
        </w:tc>
      </w:tr>
      <w:tr>
        <w:trPr>
          <w:trHeight w:val="355"/>
        </w:trPr>
        <w:tc>
          <w:tcPr>
            <w:tcW w:w="460" w:type="dxa"/>
            <w:vAlign w:val="bottom"/>
            <w:tcBorders>
              <w:top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(531)</w:t>
            </w:r>
          </w:p>
        </w:tc>
        <w:tc>
          <w:tcPr>
            <w:tcW w:w="80" w:type="dxa"/>
            <w:vAlign w:val="bottom"/>
          </w:tcPr>
          <w:p>
            <w:pPr>
              <w:spacing w:after="0"/>
              <w:rPr>
                <w:sz w:val="24"/>
                <w:szCs w:val="24"/>
                <w:color w:val="auto"/>
              </w:rPr>
            </w:pPr>
          </w:p>
        </w:tc>
        <w:tc>
          <w:tcPr>
            <w:tcW w:w="6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1,034</w:t>
            </w:r>
          </w:p>
        </w:tc>
        <w:tc>
          <w:tcPr>
            <w:tcW w:w="100" w:type="dxa"/>
            <w:vAlign w:val="bottom"/>
          </w:tcPr>
          <w:p>
            <w:pPr>
              <w:spacing w:after="0"/>
              <w:rPr>
                <w:sz w:val="24"/>
                <w:szCs w:val="24"/>
                <w:color w:val="auto"/>
              </w:rPr>
            </w:pPr>
          </w:p>
        </w:tc>
        <w:tc>
          <w:tcPr>
            <w:tcW w:w="420" w:type="dxa"/>
            <w:vAlign w:val="bottom"/>
            <w:tcBorders>
              <w:top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(1,116)</w:t>
            </w:r>
          </w:p>
        </w:tc>
        <w:tc>
          <w:tcPr>
            <w:tcW w:w="100" w:type="dxa"/>
            <w:vAlign w:val="bottom"/>
          </w:tcPr>
          <w:p>
            <w:pPr>
              <w:spacing w:after="0"/>
              <w:rPr>
                <w:sz w:val="24"/>
                <w:szCs w:val="24"/>
                <w:color w:val="auto"/>
              </w:rPr>
            </w:pPr>
          </w:p>
        </w:tc>
        <w:tc>
          <w:tcPr>
            <w:tcW w:w="7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tcBorders>
              <w:top w:val="single" w:sz="8" w:color="auto"/>
            </w:tcBorders>
          </w:tcPr>
          <w:p>
            <w:pPr>
              <w:ind w:left="300"/>
              <w:spacing w:after="0"/>
              <w:rPr>
                <w:sz w:val="20"/>
                <w:szCs w:val="20"/>
                <w:color w:val="auto"/>
              </w:rPr>
            </w:pPr>
            <w:r>
              <w:rPr>
                <w:rFonts w:ascii="Times New Roman" w:cs="Times New Roman" w:eastAsia="Times New Roman" w:hAnsi="Times New Roman"/>
                <w:sz w:val="16"/>
                <w:szCs w:val="16"/>
                <w:color w:val="auto"/>
              </w:rPr>
              <w:t>—</w:t>
            </w:r>
          </w:p>
        </w:tc>
      </w:tr>
      <w:tr>
        <w:trPr>
          <w:trHeight w:val="864"/>
        </w:trPr>
        <w:tc>
          <w:tcPr>
            <w:tcW w:w="46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w:t>
            </w: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(1,106)</w:t>
            </w: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2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w:t>
            </w:r>
          </w:p>
        </w:tc>
      </w:tr>
      <w:tr>
        <w:trPr>
          <w:trHeight w:val="216"/>
        </w:trPr>
        <w:tc>
          <w:tcPr>
            <w:tcW w:w="46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776</w:t>
            </w: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2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w:t>
            </w:r>
          </w:p>
        </w:tc>
      </w:tr>
      <w:tr>
        <w:trPr>
          <w:trHeight w:val="648"/>
        </w:trPr>
        <w:tc>
          <w:tcPr>
            <w:tcW w:w="46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(611)</w:t>
            </w: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1,034</w:t>
            </w: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(786)</w:t>
            </w: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2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w:t>
            </w:r>
          </w:p>
        </w:tc>
      </w:tr>
      <w:tr>
        <w:trPr>
          <w:trHeight w:val="378"/>
        </w:trPr>
        <w:tc>
          <w:tcPr>
            <w:tcW w:w="460" w:type="dxa"/>
            <w:vAlign w:val="bottom"/>
          </w:tcPr>
          <w:p>
            <w:pPr>
              <w:spacing w:after="0"/>
              <w:rPr>
                <w:sz w:val="24"/>
                <w:szCs w:val="24"/>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Pr>
          <w:p>
            <w:pPr>
              <w:spacing w:after="0"/>
              <w:rPr>
                <w:sz w:val="24"/>
                <w:szCs w:val="24"/>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Pr>
          <w:p>
            <w:pPr>
              <w:spacing w:after="0"/>
              <w:rPr>
                <w:sz w:val="24"/>
                <w:szCs w:val="24"/>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Pr>
          <w:p>
            <w:pPr>
              <w:spacing w:after="0"/>
              <w:rPr>
                <w:sz w:val="24"/>
                <w:szCs w:val="24"/>
                <w:color w:val="auto"/>
              </w:rPr>
            </w:pPr>
          </w:p>
        </w:tc>
        <w:tc>
          <w:tcPr>
            <w:tcW w:w="52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w:t>
            </w:r>
          </w:p>
        </w:tc>
      </w:tr>
      <w:tr>
        <w:trPr>
          <w:trHeight w:val="216"/>
        </w:trPr>
        <w:tc>
          <w:tcPr>
            <w:tcW w:w="4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(611)</w:t>
            </w: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1,034</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(786)</w:t>
            </w: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2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w:t>
            </w:r>
          </w:p>
        </w:tc>
      </w:tr>
      <w:tr>
        <w:trPr>
          <w:trHeight w:val="216"/>
        </w:trPr>
        <w:tc>
          <w:tcPr>
            <w:tcW w:w="46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Pr>
          <w:p>
            <w:pPr>
              <w:spacing w:after="0"/>
              <w:rPr>
                <w:sz w:val="18"/>
                <w:szCs w:val="18"/>
                <w:color w:val="auto"/>
              </w:rPr>
            </w:pPr>
          </w:p>
        </w:tc>
        <w:tc>
          <w:tcPr>
            <w:tcW w:w="52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w:t>
            </w:r>
          </w:p>
        </w:tc>
      </w:tr>
    </w:tbl>
    <w:p>
      <w:pPr>
        <w:spacing w:after="0" w:line="200" w:lineRule="exact"/>
        <w:rPr>
          <w:sz w:val="20"/>
          <w:szCs w:val="20"/>
          <w:color w:val="auto"/>
        </w:rPr>
      </w:pPr>
    </w:p>
    <w:p>
      <w:pPr>
        <w:sectPr>
          <w:pgSz w:w="11900" w:h="16838" w:orient="portrait"/>
          <w:cols w:equalWidth="0" w:num="2">
            <w:col w:w="5900" w:space="80"/>
            <w:col w:w="5260"/>
          </w:cols>
          <w:pgMar w:left="320" w:top="121" w:right="339" w:bottom="1440" w:gutter="0" w:footer="0" w:header="0"/>
        </w:sectPr>
      </w:pPr>
    </w:p>
    <w:p>
      <w:pPr>
        <w:spacing w:after="0" w:line="26" w:lineRule="exact"/>
        <w:rPr>
          <w:sz w:val="20"/>
          <w:szCs w:val="20"/>
          <w:color w:val="auto"/>
        </w:rPr>
      </w:pPr>
    </w:p>
    <w:p>
      <w:pPr>
        <w:jc w:val="both"/>
        <w:ind w:firstLine="8"/>
        <w:spacing w:after="0" w:line="281" w:lineRule="auto"/>
        <w:tabs>
          <w:tab w:leader="none" w:pos="224"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voluntarily discontinued a fair value hedging relationship and these amounts include the gain or (loss) and the hedging adjustment on a voluntary discontinued hedging relationship. The Company has allocated the basis adjustment to the remaining individual assets in the closed portfolio and will amortize the basis adjustment over a period consistent with amortization of other discounts or premiums on the assets.</w:t>
      </w:r>
    </w:p>
    <w:p>
      <w:pPr>
        <w:spacing w:after="0" w:line="3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Credit-risk-related Contingent Features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Derivatives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June 30, 2024, the Company has no derivatives in a net liability position that would require the posting of collateral.</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Commitments and Contingencies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Credit extension commitments</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financial statements do not reflect various financial instruments which arise in the normal course of business and which involve elements of credit risk, interest rate risk, and liquidity risk. These financial instruments include commitments to extend credit (e.g., revolving lines of credit) and commercial letters of credit.</w:t>
      </w:r>
    </w:p>
    <w:p>
      <w:pPr>
        <w:spacing w:after="0" w:line="12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Many of our lending relationships contain both funded and unfunded elements. The funded portion is reflected on our balance sheet. The unfunded portion of these commitments is not recorded on our balance sheet until a draw is made under the loan facility. Since many of our commitments to extend credit may expire without being drawn upon, the total commitment amounts do not necessarily represent future cash flow requirements.</w:t>
      </w:r>
    </w:p>
    <w:p>
      <w:pPr>
        <w:spacing w:after="0" w:line="12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 summary of the contractual amounts of the Company’s financial instruments outstanding at June 30, 2024, and December 31, 2023, is as follows (in thousands):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8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0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160" w:type="dxa"/>
            <w:vAlign w:val="bottom"/>
          </w:tcPr>
          <w:p>
            <w:pPr>
              <w:spacing w:after="0"/>
              <w:rPr>
                <w:sz w:val="16"/>
                <w:szCs w:val="16"/>
                <w:color w:val="auto"/>
              </w:rPr>
            </w:pPr>
          </w:p>
        </w:tc>
        <w:tc>
          <w:tcPr>
            <w:tcW w:w="1460" w:type="dxa"/>
            <w:vAlign w:val="bottom"/>
          </w:tcPr>
          <w:p>
            <w:pPr>
              <w:jc w:val="right"/>
              <w:ind w:right="136"/>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23"/>
        </w:trPr>
        <w:tc>
          <w:tcPr>
            <w:tcW w:w="78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23"/>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Commitments to extend credit</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1,091,678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278,923</w:t>
            </w:r>
          </w:p>
        </w:tc>
      </w:tr>
      <w:tr>
        <w:trPr>
          <w:trHeight w:val="234"/>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Commercial letters of credit</w:t>
            </w:r>
          </w:p>
        </w:tc>
        <w:tc>
          <w:tcPr>
            <w:tcW w:w="26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68,965</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10,718</w:t>
            </w:r>
          </w:p>
        </w:tc>
      </w:tr>
    </w:tbl>
    <w:p>
      <w:pPr>
        <w:spacing w:after="0" w:line="23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Commitments to extend credit and commercial letters of credit both include exposure to some credit loss in the event of non-performance of the customer. The Company’s credit policies and procedures for credit commitments and financial guarantees are the same as those for extensions of credit that are recorded on the Consolidated Balance Sheets. Many of these instruments have fixed maturity dates, and many of them will expire without being drawn upon; accordingly, they do not generally present any significant liquidity risk to the Company.</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Allowance for credit losses - off-balance-sheet credit exposures</w:t>
      </w:r>
    </w:p>
    <w:p>
      <w:pPr>
        <w:spacing w:after="0" w:line="17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recorded a provision for credit losses on unfunded commitments of $3.8 million for the three and six months ended June 30, 2024. The Company recorded a recapture of credit losses on unfunded commitments of $96.0 thousand and $104.0 thousand for the three and six months ended June 30, 2023. The ACL on off-balance-sheet credit totaled $4.1 million and $254.2 thousand as of June 30, 2024 and December 31, 2023, and is included in accrued interest and other liabilities on the accompanying Consolidated Balance Sheets.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Litigation</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is a party to litigation, claims, and proceedings arising in the normal course of business that are ordinary and routine to the nature of the Company’s business and operations. Management, after consultation with legal counsel, believes that the liabilities, if any, arising from any currently pending or threatened litigation, claims, or proceedings will not be material to the Company’s financial position.</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Fair Value Measurements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Determination of Fair Value</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Fair value is the exchange price that would be received for an asset or paid to transfer a liability (an exit price) in the principal or most advantageous market for the asset or liability in an orderly transaction between market participants on the measurement date. There are three levels of inputs that may be used to measure fair values:</w:t>
      </w:r>
    </w:p>
    <w:p>
      <w:pPr>
        <w:spacing w:after="0" w:line="120" w:lineRule="exact"/>
        <w:rPr>
          <w:sz w:val="20"/>
          <w:szCs w:val="20"/>
          <w:color w:val="auto"/>
        </w:rPr>
      </w:pPr>
    </w:p>
    <w:p>
      <w:pPr>
        <w:ind w:left="34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Level 1 </w:t>
      </w:r>
      <w:r>
        <w:rPr>
          <w:rFonts w:ascii="Times New Roman" w:cs="Times New Roman" w:eastAsia="Times New Roman" w:hAnsi="Times New Roman"/>
          <w:sz w:val="18"/>
          <w:szCs w:val="18"/>
          <w:color w:val="auto"/>
        </w:rPr>
        <w:t>– Quoted prices (unadjusted) for identical assets or liabilities in active markets that the entity has the ability to access as of the measurement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date.</w:t>
      </w:r>
    </w:p>
    <w:p>
      <w:pPr>
        <w:spacing w:after="0" w:line="104" w:lineRule="exact"/>
        <w:rPr>
          <w:sz w:val="20"/>
          <w:szCs w:val="20"/>
          <w:color w:val="auto"/>
        </w:rPr>
      </w:pPr>
    </w:p>
    <w:p>
      <w:pPr>
        <w:ind w:left="34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Level 2 </w:t>
      </w:r>
      <w:r>
        <w:rPr>
          <w:rFonts w:ascii="Times New Roman" w:cs="Times New Roman" w:eastAsia="Times New Roman" w:hAnsi="Times New Roman"/>
          <w:sz w:val="18"/>
          <w:szCs w:val="18"/>
          <w:color w:val="auto"/>
        </w:rPr>
        <w:t>– Significant other observable inputs other than Level 1 prices such as quoted prices for similar assets or liabilities; quoted prices in markets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that are not active; or other inputs that are observable or can be corroborated by observable market data.</w:t>
      </w: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Fair Value Measurements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 xml:space="preserve">Level 3 </w:t>
      </w:r>
      <w:r>
        <w:rPr>
          <w:rFonts w:ascii="Times New Roman" w:cs="Times New Roman" w:eastAsia="Times New Roman" w:hAnsi="Times New Roman"/>
          <w:sz w:val="18"/>
          <w:szCs w:val="18"/>
          <w:color w:val="auto"/>
        </w:rPr>
        <w:t>– Significant unobservable inputs that reflect our own assumptions that market participants would use in pricing an asset or liability.</w:t>
      </w:r>
    </w:p>
    <w:p>
      <w:pPr>
        <w:spacing w:after="0" w:line="17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instances in which multiple levels of inputs are used to measure fair value, hierarchy classification is based on the lowest level input that is significant to the fair value measurement in its entirety. The Company’s assessment of the significance of a particular input to the fair value measurement in its entirety requires judgment and considers factors specific to the asset or liability.</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used the following methods and significant assumptions to estimate fair value:</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Investment securities</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fair values for investment securities are determined by quoted market prices, if available (Level 1). For securities where quoted prices are not available, fair values are calculated based on market prices of similar securities (Level 2), using matrix pricing. Matrix pricing is a mathematical technique commonly used to price debt securities without relying exclusively on quoted prices for the specific securities but rather by relying on securities’ relationship to other benchmark quoted securities (Level 2 inputs). For securities where quoted prices or market prices of similar securities are not available, fair values are calculated using discounted cash flows or other market indicators (Level 3).</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Equity Investments</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Equity investments are recorded at fair value on a recurring basis, with changes in fair value reported in net income. Through the Merger, at June 30, 2024, we acquired an investment in an S&amp;P 500 index mutual fund that is actively traded on an exchange, and we classify it as Level 1.</w:t>
      </w:r>
    </w:p>
    <w:p>
      <w:pPr>
        <w:spacing w:after="0" w:line="10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Through the Merger, we acquired perpetual preferred stock of a bank holding company issued in October 2022 in a private offering. The perpetual preferred stock does not trade on an exchange or in an active over-the-counter market; therefore, we estimate its fair value using the present value of its future cash flows using observed discount rates of similar publicly-traded securities, adjusted for a liquidity premium. We classify the perpetual preferred stock as Level 2.</w:t>
      </w:r>
    </w:p>
    <w:p>
      <w:pPr>
        <w:spacing w:after="0" w:line="12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Equity securities without readily determinable fair values are carried at cost, minus impairment, if any, plus or minus changes resulting from observable price changes in orderly transactions for an identical or similar investment. Such equity securities are included in Equity Investments on the accompanying consolidated balance sheets.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Derivatives</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fair values of derivatives are based on valuation models using observable market data as of the measurement date (Level 2). The Company has contracted with a third-party vendor to provide valuations for interest rate swaps using standard swap valuation techniques. The Company has considered counterparty credit risk in the valuation of its interest rate swap assets and has considered its own credit risk in the valuation of its interest rate swap liabilities. The Company recognizes interest rate lock commitments at fair value. Fair value of interest rate lock commitments is based on the price of underlying loans obtained from an investor for loans that will be delivered on a best effort basis (Level 2).</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Loans held-for-sale, at fair value</w:t>
      </w:r>
    </w:p>
    <w:p>
      <w:pPr>
        <w:spacing w:after="0" w:line="17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fair value of loans held-for-sale is determined using quoted prices for similar assets, adjusted for specific attributes of that loan (Level 2). These loans currently consist of one-to-four family residential loans originated for sale in the secondary market.</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Fair Value Measurements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Assets and liabilities measured at fair value on a recurring basis are summarized below (in thousands):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3240" w:type="dxa"/>
            <w:vAlign w:val="bottom"/>
            <w:gridSpan w:val="7"/>
          </w:tcPr>
          <w:p>
            <w:pPr>
              <w:ind w:left="80"/>
              <w:spacing w:after="0"/>
              <w:rPr>
                <w:sz w:val="20"/>
                <w:szCs w:val="20"/>
                <w:color w:val="auto"/>
              </w:rPr>
            </w:pPr>
            <w:r>
              <w:rPr>
                <w:rFonts w:ascii="Times New Roman" w:cs="Times New Roman" w:eastAsia="Times New Roman" w:hAnsi="Times New Roman"/>
                <w:sz w:val="14"/>
                <w:szCs w:val="14"/>
                <w:b w:val="1"/>
                <w:bCs w:val="1"/>
                <w:color w:val="auto"/>
              </w:rPr>
              <w:t>Fair Value Measurements at June 30, 2024, Using:</w:t>
            </w: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0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5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60" w:type="dxa"/>
            <w:vAlign w:val="bottom"/>
          </w:tcPr>
          <w:p>
            <w:pPr>
              <w:jc w:val="center"/>
              <w:ind w:right="48"/>
              <w:spacing w:after="0" w:line="131" w:lineRule="exact"/>
              <w:rPr>
                <w:sz w:val="20"/>
                <w:szCs w:val="20"/>
                <w:color w:val="auto"/>
              </w:rPr>
            </w:pPr>
            <w:r>
              <w:rPr>
                <w:rFonts w:ascii="Times New Roman" w:cs="Times New Roman" w:eastAsia="Times New Roman" w:hAnsi="Times New Roman"/>
                <w:sz w:val="14"/>
                <w:szCs w:val="14"/>
                <w:b w:val="1"/>
                <w:bCs w:val="1"/>
                <w:color w:val="auto"/>
              </w:rPr>
              <w:t>Quoted Prices in</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4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Significant Other</w:t>
            </w:r>
          </w:p>
        </w:tc>
        <w:tc>
          <w:tcPr>
            <w:tcW w:w="100" w:type="dxa"/>
            <w:vAlign w:val="bottom"/>
          </w:tcPr>
          <w:p>
            <w:pPr>
              <w:spacing w:after="0"/>
              <w:rPr>
                <w:sz w:val="11"/>
                <w:szCs w:val="11"/>
                <w:color w:val="auto"/>
              </w:rPr>
            </w:pPr>
          </w:p>
        </w:tc>
        <w:tc>
          <w:tcPr>
            <w:tcW w:w="148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3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5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tcPr>
          <w:p>
            <w:pPr>
              <w:jc w:val="center"/>
              <w:ind w:right="48"/>
              <w:spacing w:after="0" w:line="146" w:lineRule="exact"/>
              <w:rPr>
                <w:sz w:val="20"/>
                <w:szCs w:val="20"/>
                <w:color w:val="auto"/>
              </w:rPr>
            </w:pPr>
            <w:r>
              <w:rPr>
                <w:rFonts w:ascii="Times New Roman" w:cs="Times New Roman" w:eastAsia="Times New Roman" w:hAnsi="Times New Roman"/>
                <w:sz w:val="14"/>
                <w:szCs w:val="14"/>
                <w:b w:val="1"/>
                <w:bCs w:val="1"/>
                <w:color w:val="auto"/>
              </w:rPr>
              <w:t>Active Markets for</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4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gridSpan w:val="2"/>
            <w:vMerge w:val="continue"/>
          </w:tcPr>
          <w:p>
            <w:pPr>
              <w:spacing w:after="0"/>
              <w:rPr>
                <w:sz w:val="12"/>
                <w:szCs w:val="12"/>
                <w:color w:val="auto"/>
              </w:rPr>
            </w:pPr>
          </w:p>
        </w:tc>
        <w:tc>
          <w:tcPr>
            <w:tcW w:w="3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5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Identical Assets</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Observable Inputs</w:t>
            </w:r>
          </w:p>
        </w:tc>
        <w:tc>
          <w:tcPr>
            <w:tcW w:w="100" w:type="dxa"/>
            <w:vAlign w:val="bottom"/>
          </w:tcPr>
          <w:p>
            <w:pPr>
              <w:spacing w:after="0"/>
              <w:rPr>
                <w:sz w:val="17"/>
                <w:szCs w:val="17"/>
                <w:color w:val="auto"/>
              </w:rPr>
            </w:pPr>
          </w:p>
        </w:tc>
        <w:tc>
          <w:tcPr>
            <w:tcW w:w="14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Unobservable Inputs</w:t>
            </w: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040" w:type="dxa"/>
            <w:vAlign w:val="bottom"/>
            <w:tcBorders>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1360" w:type="dxa"/>
            <w:vAlign w:val="bottom"/>
            <w:tcBorders>
              <w:top w:val="single" w:sz="8" w:color="auto"/>
              <w:bottom w:val="single" w:sz="8" w:color="auto"/>
            </w:tcBorders>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80" w:type="dxa"/>
            <w:vAlign w:val="bottom"/>
            <w:tcBorders>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1340" w:type="dxa"/>
            <w:vAlign w:val="bottom"/>
            <w:tcBorders>
              <w:top w:val="single" w:sz="8" w:color="auto"/>
              <w:bottom w:val="single" w:sz="8" w:color="auto"/>
            </w:tcBorders>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00" w:type="dxa"/>
            <w:vAlign w:val="bottom"/>
            <w:tcBorders>
              <w:bottom w:val="single" w:sz="8" w:color="CCEEFF"/>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1380" w:type="dxa"/>
            <w:vAlign w:val="bottom"/>
            <w:tcBorders>
              <w:top w:val="single" w:sz="8" w:color="auto"/>
              <w:bottom w:val="single" w:sz="8" w:color="auto"/>
            </w:tcBorders>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50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9"/>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Financial assets</w:t>
            </w:r>
          </w:p>
        </w:tc>
        <w:tc>
          <w:tcPr>
            <w:tcW w:w="12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3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504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Investment Securities</w:t>
            </w:r>
          </w:p>
        </w:tc>
        <w:tc>
          <w:tcPr>
            <w:tcW w:w="1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50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U.S. Treasuries and government agencies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147,430</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80" w:type="dxa"/>
            <w:vAlign w:val="bottom"/>
            <w:gridSpan w:val="2"/>
            <w:shd w:val="clear" w:color="auto" w:fill="CCEEFF"/>
          </w:tcPr>
          <w:p>
            <w:pPr>
              <w:ind w:left="118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147,430</w:t>
            </w:r>
          </w:p>
        </w:tc>
        <w:tc>
          <w:tcPr>
            <w:tcW w:w="0" w:type="dxa"/>
            <w:vAlign w:val="bottom"/>
          </w:tcPr>
          <w:p>
            <w:pPr>
              <w:spacing w:after="0"/>
              <w:rPr>
                <w:sz w:val="1"/>
                <w:szCs w:val="1"/>
                <w:color w:val="auto"/>
              </w:rPr>
            </w:pPr>
          </w:p>
        </w:tc>
      </w:tr>
      <w:tr>
        <w:trPr>
          <w:trHeight w:val="195"/>
        </w:trPr>
        <w:tc>
          <w:tcPr>
            <w:tcW w:w="504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Obligations of states and municipalities</w:t>
            </w:r>
          </w:p>
        </w:tc>
        <w:tc>
          <w:tcPr>
            <w:tcW w:w="12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637,754</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gridSpan w:val="2"/>
          </w:tcPr>
          <w:p>
            <w:pPr>
              <w:ind w:left="118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637,754</w:t>
            </w:r>
          </w:p>
        </w:tc>
        <w:tc>
          <w:tcPr>
            <w:tcW w:w="0" w:type="dxa"/>
            <w:vAlign w:val="bottom"/>
          </w:tcPr>
          <w:p>
            <w:pPr>
              <w:spacing w:after="0"/>
              <w:rPr>
                <w:sz w:val="1"/>
                <w:szCs w:val="1"/>
                <w:color w:val="auto"/>
              </w:rPr>
            </w:pPr>
          </w:p>
        </w:tc>
      </w:tr>
      <w:tr>
        <w:trPr>
          <w:trHeight w:val="210"/>
        </w:trPr>
        <w:tc>
          <w:tcPr>
            <w:tcW w:w="50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Residential mortgage backed - agency</w:t>
            </w: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54,168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ind w:left="118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54,168</w:t>
            </w:r>
          </w:p>
        </w:tc>
        <w:tc>
          <w:tcPr>
            <w:tcW w:w="0" w:type="dxa"/>
            <w:vAlign w:val="bottom"/>
          </w:tcPr>
          <w:p>
            <w:pPr>
              <w:spacing w:after="0"/>
              <w:rPr>
                <w:sz w:val="1"/>
                <w:szCs w:val="1"/>
                <w:color w:val="auto"/>
              </w:rPr>
            </w:pPr>
          </w:p>
        </w:tc>
      </w:tr>
      <w:tr>
        <w:trPr>
          <w:trHeight w:val="195"/>
        </w:trPr>
        <w:tc>
          <w:tcPr>
            <w:tcW w:w="504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Residential mortgage backed - non-agency</w:t>
            </w:r>
          </w:p>
        </w:tc>
        <w:tc>
          <w:tcPr>
            <w:tcW w:w="12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267,313</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gridSpan w:val="2"/>
          </w:tcPr>
          <w:p>
            <w:pPr>
              <w:ind w:left="118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267,313</w:t>
            </w:r>
          </w:p>
        </w:tc>
        <w:tc>
          <w:tcPr>
            <w:tcW w:w="0" w:type="dxa"/>
            <w:vAlign w:val="bottom"/>
          </w:tcPr>
          <w:p>
            <w:pPr>
              <w:spacing w:after="0"/>
              <w:rPr>
                <w:sz w:val="1"/>
                <w:szCs w:val="1"/>
                <w:color w:val="auto"/>
              </w:rPr>
            </w:pPr>
          </w:p>
        </w:tc>
      </w:tr>
      <w:tr>
        <w:trPr>
          <w:trHeight w:val="210"/>
        </w:trPr>
        <w:tc>
          <w:tcPr>
            <w:tcW w:w="50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Commercial mortgage backed - agency</w:t>
            </w: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35,042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ind w:left="118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35,042</w:t>
            </w:r>
          </w:p>
        </w:tc>
        <w:tc>
          <w:tcPr>
            <w:tcW w:w="0" w:type="dxa"/>
            <w:vAlign w:val="bottom"/>
          </w:tcPr>
          <w:p>
            <w:pPr>
              <w:spacing w:after="0"/>
              <w:rPr>
                <w:sz w:val="1"/>
                <w:szCs w:val="1"/>
                <w:color w:val="auto"/>
              </w:rPr>
            </w:pPr>
          </w:p>
        </w:tc>
      </w:tr>
      <w:tr>
        <w:trPr>
          <w:trHeight w:val="195"/>
        </w:trPr>
        <w:tc>
          <w:tcPr>
            <w:tcW w:w="504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Commercial mortgage backed - non-agency</w:t>
            </w:r>
          </w:p>
        </w:tc>
        <w:tc>
          <w:tcPr>
            <w:tcW w:w="12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159,363</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gridSpan w:val="2"/>
          </w:tcPr>
          <w:p>
            <w:pPr>
              <w:ind w:left="118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159,363</w:t>
            </w:r>
          </w:p>
        </w:tc>
        <w:tc>
          <w:tcPr>
            <w:tcW w:w="0" w:type="dxa"/>
            <w:vAlign w:val="bottom"/>
          </w:tcPr>
          <w:p>
            <w:pPr>
              <w:spacing w:after="0"/>
              <w:rPr>
                <w:sz w:val="1"/>
                <w:szCs w:val="1"/>
                <w:color w:val="auto"/>
              </w:rPr>
            </w:pPr>
          </w:p>
        </w:tc>
      </w:tr>
      <w:tr>
        <w:trPr>
          <w:trHeight w:val="210"/>
        </w:trPr>
        <w:tc>
          <w:tcPr>
            <w:tcW w:w="50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Asset-backed</w:t>
            </w: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76,952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ind w:left="118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76,952</w:t>
            </w:r>
          </w:p>
        </w:tc>
        <w:tc>
          <w:tcPr>
            <w:tcW w:w="0" w:type="dxa"/>
            <w:vAlign w:val="bottom"/>
          </w:tcPr>
          <w:p>
            <w:pPr>
              <w:spacing w:after="0"/>
              <w:rPr>
                <w:sz w:val="1"/>
                <w:szCs w:val="1"/>
                <w:color w:val="auto"/>
              </w:rPr>
            </w:pPr>
          </w:p>
        </w:tc>
      </w:tr>
      <w:tr>
        <w:trPr>
          <w:trHeight w:val="196"/>
        </w:trPr>
        <w:tc>
          <w:tcPr>
            <w:tcW w:w="504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Other</w:t>
            </w:r>
          </w:p>
        </w:tc>
        <w:tc>
          <w:tcPr>
            <w:tcW w:w="12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36,848</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gridSpan w:val="2"/>
          </w:tcPr>
          <w:p>
            <w:pPr>
              <w:ind w:left="118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36,848</w:t>
            </w:r>
          </w:p>
        </w:tc>
        <w:tc>
          <w:tcPr>
            <w:tcW w:w="0" w:type="dxa"/>
            <w:vAlign w:val="bottom"/>
          </w:tcPr>
          <w:p>
            <w:pPr>
              <w:spacing w:after="0"/>
              <w:rPr>
                <w:sz w:val="1"/>
                <w:szCs w:val="1"/>
                <w:color w:val="auto"/>
              </w:rPr>
            </w:pPr>
          </w:p>
        </w:tc>
      </w:tr>
      <w:tr>
        <w:trPr>
          <w:trHeight w:val="196"/>
        </w:trPr>
        <w:tc>
          <w:tcPr>
            <w:tcW w:w="5040" w:type="dxa"/>
            <w:vAlign w:val="bottom"/>
            <w:tcBorders>
              <w:top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Total investment securities available-for-sale</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147,430</w:t>
            </w: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1,267,440</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80" w:type="dxa"/>
            <w:vAlign w:val="bottom"/>
            <w:tcBorders>
              <w:top w:val="single" w:sz="8" w:color="auto"/>
              <w:bottom w:val="single" w:sz="8" w:color="auto"/>
            </w:tcBorders>
            <w:shd w:val="clear" w:color="auto" w:fill="CCEEFF"/>
          </w:tcPr>
          <w:p>
            <w:pPr>
              <w:ind w:left="1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bottom w:val="single" w:sz="8" w:color="auto"/>
            </w:tcBorders>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1,414,870</w:t>
            </w:r>
          </w:p>
        </w:tc>
        <w:tc>
          <w:tcPr>
            <w:tcW w:w="0" w:type="dxa"/>
            <w:vAlign w:val="bottom"/>
          </w:tcPr>
          <w:p>
            <w:pPr>
              <w:spacing w:after="0"/>
              <w:rPr>
                <w:sz w:val="1"/>
                <w:szCs w:val="1"/>
                <w:color w:val="auto"/>
              </w:rPr>
            </w:pPr>
          </w:p>
        </w:tc>
      </w:tr>
      <w:tr>
        <w:trPr>
          <w:trHeight w:val="135"/>
        </w:trPr>
        <w:tc>
          <w:tcPr>
            <w:tcW w:w="5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50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Loans held-for-sale, at fair value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3,268</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80" w:type="dxa"/>
            <w:vAlign w:val="bottom"/>
            <w:gridSpan w:val="2"/>
            <w:shd w:val="clear" w:color="auto" w:fill="CCEEFF"/>
          </w:tcPr>
          <w:p>
            <w:pPr>
              <w:ind w:left="118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3,268</w:t>
            </w:r>
          </w:p>
        </w:tc>
        <w:tc>
          <w:tcPr>
            <w:tcW w:w="0" w:type="dxa"/>
            <w:vAlign w:val="bottom"/>
          </w:tcPr>
          <w:p>
            <w:pPr>
              <w:spacing w:after="0"/>
              <w:rPr>
                <w:sz w:val="1"/>
                <w:szCs w:val="1"/>
                <w:color w:val="auto"/>
              </w:rPr>
            </w:pPr>
          </w:p>
        </w:tc>
      </w:tr>
      <w:tr>
        <w:trPr>
          <w:trHeight w:val="149"/>
        </w:trPr>
        <w:tc>
          <w:tcPr>
            <w:tcW w:w="5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2"/>
        </w:trPr>
        <w:tc>
          <w:tcPr>
            <w:tcW w:w="50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Equity investments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7,351</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4,671</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80" w:type="dxa"/>
            <w:vAlign w:val="bottom"/>
            <w:gridSpan w:val="2"/>
            <w:shd w:val="clear" w:color="auto" w:fill="CCEEFF"/>
          </w:tcPr>
          <w:p>
            <w:pPr>
              <w:ind w:left="118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12,022</w:t>
            </w:r>
          </w:p>
        </w:tc>
        <w:tc>
          <w:tcPr>
            <w:tcW w:w="0" w:type="dxa"/>
            <w:vAlign w:val="bottom"/>
          </w:tcPr>
          <w:p>
            <w:pPr>
              <w:spacing w:after="0"/>
              <w:rPr>
                <w:sz w:val="1"/>
                <w:szCs w:val="1"/>
                <w:color w:val="auto"/>
              </w:rPr>
            </w:pPr>
          </w:p>
        </w:tc>
      </w:tr>
      <w:tr>
        <w:trPr>
          <w:trHeight w:val="149"/>
        </w:trPr>
        <w:tc>
          <w:tcPr>
            <w:tcW w:w="5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50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Derivatives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1,954</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80" w:type="dxa"/>
            <w:vAlign w:val="bottom"/>
            <w:gridSpan w:val="2"/>
            <w:shd w:val="clear" w:color="auto" w:fill="CCEEFF"/>
          </w:tcPr>
          <w:p>
            <w:pPr>
              <w:ind w:left="118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1,954</w:t>
            </w:r>
          </w:p>
        </w:tc>
        <w:tc>
          <w:tcPr>
            <w:tcW w:w="0" w:type="dxa"/>
            <w:vAlign w:val="bottom"/>
          </w:tcPr>
          <w:p>
            <w:pPr>
              <w:spacing w:after="0"/>
              <w:rPr>
                <w:sz w:val="1"/>
                <w:szCs w:val="1"/>
                <w:color w:val="auto"/>
              </w:rPr>
            </w:pPr>
          </w:p>
        </w:tc>
      </w:tr>
      <w:tr>
        <w:trPr>
          <w:trHeight w:val="148"/>
        </w:trPr>
        <w:tc>
          <w:tcPr>
            <w:tcW w:w="5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Financial liabilities</w:t>
            </w:r>
          </w:p>
        </w:tc>
        <w:tc>
          <w:tcPr>
            <w:tcW w:w="12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504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Derivatives</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532</w:t>
            </w:r>
          </w:p>
        </w:tc>
        <w:tc>
          <w:tcPr>
            <w:tcW w:w="10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80" w:type="dxa"/>
            <w:vAlign w:val="bottom"/>
            <w:gridSpan w:val="2"/>
          </w:tcPr>
          <w:p>
            <w:pPr>
              <w:ind w:left="118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532</w:t>
            </w:r>
          </w:p>
        </w:tc>
        <w:tc>
          <w:tcPr>
            <w:tcW w:w="0" w:type="dxa"/>
            <w:vAlign w:val="bottom"/>
          </w:tcPr>
          <w:p>
            <w:pPr>
              <w:spacing w:after="0"/>
              <w:rPr>
                <w:sz w:val="1"/>
                <w:szCs w:val="1"/>
                <w:color w:val="auto"/>
              </w:rPr>
            </w:pPr>
          </w:p>
        </w:tc>
      </w:tr>
      <w:tr>
        <w:trPr>
          <w:trHeight w:val="477"/>
        </w:trPr>
        <w:tc>
          <w:tcPr>
            <w:tcW w:w="5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940" w:type="dxa"/>
            <w:vAlign w:val="bottom"/>
            <w:gridSpan w:val="9"/>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Fair Value Measurements at December 31, 2023, Using:</w:t>
            </w: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50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5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60" w:type="dxa"/>
            <w:vAlign w:val="bottom"/>
          </w:tcPr>
          <w:p>
            <w:pPr>
              <w:jc w:val="center"/>
              <w:ind w:right="48"/>
              <w:spacing w:after="0" w:line="129" w:lineRule="exact"/>
              <w:rPr>
                <w:sz w:val="20"/>
                <w:szCs w:val="20"/>
                <w:color w:val="auto"/>
              </w:rPr>
            </w:pPr>
            <w:r>
              <w:rPr>
                <w:rFonts w:ascii="Times New Roman" w:cs="Times New Roman" w:eastAsia="Times New Roman" w:hAnsi="Times New Roman"/>
                <w:sz w:val="14"/>
                <w:szCs w:val="14"/>
                <w:b w:val="1"/>
                <w:bCs w:val="1"/>
                <w:color w:val="auto"/>
              </w:rPr>
              <w:t>Quoted Prices in</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4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Significant Other</w:t>
            </w:r>
          </w:p>
        </w:tc>
        <w:tc>
          <w:tcPr>
            <w:tcW w:w="100" w:type="dxa"/>
            <w:vAlign w:val="bottom"/>
          </w:tcPr>
          <w:p>
            <w:pPr>
              <w:spacing w:after="0"/>
              <w:rPr>
                <w:sz w:val="11"/>
                <w:szCs w:val="11"/>
                <w:color w:val="auto"/>
              </w:rPr>
            </w:pPr>
          </w:p>
        </w:tc>
        <w:tc>
          <w:tcPr>
            <w:tcW w:w="148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3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5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tcPr>
          <w:p>
            <w:pPr>
              <w:jc w:val="center"/>
              <w:ind w:right="48"/>
              <w:spacing w:after="0" w:line="149" w:lineRule="exact"/>
              <w:rPr>
                <w:sz w:val="20"/>
                <w:szCs w:val="20"/>
                <w:color w:val="auto"/>
              </w:rPr>
            </w:pPr>
            <w:r>
              <w:rPr>
                <w:rFonts w:ascii="Times New Roman" w:cs="Times New Roman" w:eastAsia="Times New Roman" w:hAnsi="Times New Roman"/>
                <w:sz w:val="14"/>
                <w:szCs w:val="14"/>
                <w:b w:val="1"/>
                <w:bCs w:val="1"/>
                <w:color w:val="auto"/>
              </w:rPr>
              <w:t>Active Markets for</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4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gridSpan w:val="2"/>
            <w:vMerge w:val="continue"/>
          </w:tcPr>
          <w:p>
            <w:pPr>
              <w:spacing w:after="0"/>
              <w:rPr>
                <w:sz w:val="12"/>
                <w:szCs w:val="12"/>
                <w:color w:val="auto"/>
              </w:rPr>
            </w:pPr>
          </w:p>
        </w:tc>
        <w:tc>
          <w:tcPr>
            <w:tcW w:w="3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5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Identical Assets</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Observable Inputs</w:t>
            </w:r>
          </w:p>
        </w:tc>
        <w:tc>
          <w:tcPr>
            <w:tcW w:w="100" w:type="dxa"/>
            <w:vAlign w:val="bottom"/>
          </w:tcPr>
          <w:p>
            <w:pPr>
              <w:spacing w:after="0"/>
              <w:rPr>
                <w:sz w:val="17"/>
                <w:szCs w:val="17"/>
                <w:color w:val="auto"/>
              </w:rPr>
            </w:pPr>
          </w:p>
        </w:tc>
        <w:tc>
          <w:tcPr>
            <w:tcW w:w="14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Unobservable Inputs</w:t>
            </w: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040" w:type="dxa"/>
            <w:vAlign w:val="bottom"/>
            <w:tcBorders>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1360" w:type="dxa"/>
            <w:vAlign w:val="bottom"/>
            <w:tcBorders>
              <w:top w:val="single" w:sz="8" w:color="auto"/>
              <w:bottom w:val="single" w:sz="8" w:color="auto"/>
            </w:tcBorders>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80" w:type="dxa"/>
            <w:vAlign w:val="bottom"/>
            <w:tcBorders>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1340" w:type="dxa"/>
            <w:vAlign w:val="bottom"/>
            <w:tcBorders>
              <w:top w:val="single" w:sz="8" w:color="auto"/>
              <w:bottom w:val="single" w:sz="8" w:color="auto"/>
            </w:tcBorders>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00" w:type="dxa"/>
            <w:vAlign w:val="bottom"/>
            <w:tcBorders>
              <w:bottom w:val="single" w:sz="8" w:color="CCEEFF"/>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1380" w:type="dxa"/>
            <w:vAlign w:val="bottom"/>
            <w:tcBorders>
              <w:top w:val="single" w:sz="8" w:color="auto"/>
              <w:bottom w:val="single" w:sz="8" w:color="auto"/>
            </w:tcBorders>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50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9"/>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Financial assets</w:t>
            </w:r>
          </w:p>
        </w:tc>
        <w:tc>
          <w:tcPr>
            <w:tcW w:w="12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3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504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Investment Securities</w:t>
            </w:r>
          </w:p>
        </w:tc>
        <w:tc>
          <w:tcPr>
            <w:tcW w:w="1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50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U.S. Treasuries and government agencies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179,071</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80" w:type="dxa"/>
            <w:vAlign w:val="bottom"/>
            <w:gridSpan w:val="2"/>
            <w:shd w:val="clear" w:color="auto" w:fill="CCEEFF"/>
          </w:tcPr>
          <w:p>
            <w:pPr>
              <w:ind w:left="118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179,071</w:t>
            </w:r>
          </w:p>
        </w:tc>
        <w:tc>
          <w:tcPr>
            <w:tcW w:w="0" w:type="dxa"/>
            <w:vAlign w:val="bottom"/>
          </w:tcPr>
          <w:p>
            <w:pPr>
              <w:spacing w:after="0"/>
              <w:rPr>
                <w:sz w:val="1"/>
                <w:szCs w:val="1"/>
                <w:color w:val="auto"/>
              </w:rPr>
            </w:pPr>
          </w:p>
        </w:tc>
      </w:tr>
      <w:tr>
        <w:trPr>
          <w:trHeight w:val="195"/>
        </w:trPr>
        <w:tc>
          <w:tcPr>
            <w:tcW w:w="504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Obligations of states and municipalities</w:t>
            </w:r>
          </w:p>
        </w:tc>
        <w:tc>
          <w:tcPr>
            <w:tcW w:w="12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463,203</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gridSpan w:val="2"/>
          </w:tcPr>
          <w:p>
            <w:pPr>
              <w:ind w:left="118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463,203</w:t>
            </w:r>
          </w:p>
        </w:tc>
        <w:tc>
          <w:tcPr>
            <w:tcW w:w="0" w:type="dxa"/>
            <w:vAlign w:val="bottom"/>
          </w:tcPr>
          <w:p>
            <w:pPr>
              <w:spacing w:after="0"/>
              <w:rPr>
                <w:sz w:val="1"/>
                <w:szCs w:val="1"/>
                <w:color w:val="auto"/>
              </w:rPr>
            </w:pPr>
          </w:p>
        </w:tc>
      </w:tr>
      <w:tr>
        <w:trPr>
          <w:trHeight w:val="210"/>
        </w:trPr>
        <w:tc>
          <w:tcPr>
            <w:tcW w:w="50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Residential mortgage backed - agency</w:t>
            </w: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42,238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ind w:left="118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42,238</w:t>
            </w:r>
          </w:p>
        </w:tc>
        <w:tc>
          <w:tcPr>
            <w:tcW w:w="0" w:type="dxa"/>
            <w:vAlign w:val="bottom"/>
          </w:tcPr>
          <w:p>
            <w:pPr>
              <w:spacing w:after="0"/>
              <w:rPr>
                <w:sz w:val="1"/>
                <w:szCs w:val="1"/>
                <w:color w:val="auto"/>
              </w:rPr>
            </w:pPr>
          </w:p>
        </w:tc>
      </w:tr>
      <w:tr>
        <w:trPr>
          <w:trHeight w:val="195"/>
        </w:trPr>
        <w:tc>
          <w:tcPr>
            <w:tcW w:w="504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Residential mortgage backed - non-agency</w:t>
            </w:r>
          </w:p>
        </w:tc>
        <w:tc>
          <w:tcPr>
            <w:tcW w:w="12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266,031</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gridSpan w:val="2"/>
          </w:tcPr>
          <w:p>
            <w:pPr>
              <w:ind w:left="118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266,031</w:t>
            </w:r>
          </w:p>
        </w:tc>
        <w:tc>
          <w:tcPr>
            <w:tcW w:w="0" w:type="dxa"/>
            <w:vAlign w:val="bottom"/>
          </w:tcPr>
          <w:p>
            <w:pPr>
              <w:spacing w:after="0"/>
              <w:rPr>
                <w:sz w:val="1"/>
                <w:szCs w:val="1"/>
                <w:color w:val="auto"/>
              </w:rPr>
            </w:pPr>
          </w:p>
        </w:tc>
      </w:tr>
      <w:tr>
        <w:trPr>
          <w:trHeight w:val="210"/>
        </w:trPr>
        <w:tc>
          <w:tcPr>
            <w:tcW w:w="50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Commercial mortgage backed - agency</w:t>
            </w: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34,885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ind w:left="118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34,885</w:t>
            </w:r>
          </w:p>
        </w:tc>
        <w:tc>
          <w:tcPr>
            <w:tcW w:w="0" w:type="dxa"/>
            <w:vAlign w:val="bottom"/>
          </w:tcPr>
          <w:p>
            <w:pPr>
              <w:spacing w:after="0"/>
              <w:rPr>
                <w:sz w:val="1"/>
                <w:szCs w:val="1"/>
                <w:color w:val="auto"/>
              </w:rPr>
            </w:pPr>
          </w:p>
        </w:tc>
      </w:tr>
      <w:tr>
        <w:trPr>
          <w:trHeight w:val="195"/>
        </w:trPr>
        <w:tc>
          <w:tcPr>
            <w:tcW w:w="504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Commercial mortgage backed - non-agency</w:t>
            </w:r>
          </w:p>
        </w:tc>
        <w:tc>
          <w:tcPr>
            <w:tcW w:w="12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177,061</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gridSpan w:val="2"/>
          </w:tcPr>
          <w:p>
            <w:pPr>
              <w:ind w:left="118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177,061</w:t>
            </w:r>
          </w:p>
        </w:tc>
        <w:tc>
          <w:tcPr>
            <w:tcW w:w="0" w:type="dxa"/>
            <w:vAlign w:val="bottom"/>
          </w:tcPr>
          <w:p>
            <w:pPr>
              <w:spacing w:after="0"/>
              <w:rPr>
                <w:sz w:val="1"/>
                <w:szCs w:val="1"/>
                <w:color w:val="auto"/>
              </w:rPr>
            </w:pPr>
          </w:p>
        </w:tc>
      </w:tr>
      <w:tr>
        <w:trPr>
          <w:trHeight w:val="210"/>
        </w:trPr>
        <w:tc>
          <w:tcPr>
            <w:tcW w:w="50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Asset-backed</w:t>
            </w: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77,936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ind w:left="118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77,936</w:t>
            </w:r>
          </w:p>
        </w:tc>
        <w:tc>
          <w:tcPr>
            <w:tcW w:w="0" w:type="dxa"/>
            <w:vAlign w:val="bottom"/>
          </w:tcPr>
          <w:p>
            <w:pPr>
              <w:spacing w:after="0"/>
              <w:rPr>
                <w:sz w:val="1"/>
                <w:szCs w:val="1"/>
                <w:color w:val="auto"/>
              </w:rPr>
            </w:pPr>
          </w:p>
        </w:tc>
      </w:tr>
      <w:tr>
        <w:trPr>
          <w:trHeight w:val="196"/>
        </w:trPr>
        <w:tc>
          <w:tcPr>
            <w:tcW w:w="504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Other</w:t>
            </w:r>
          </w:p>
        </w:tc>
        <w:tc>
          <w:tcPr>
            <w:tcW w:w="12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8,014</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gridSpan w:val="2"/>
          </w:tcPr>
          <w:p>
            <w:pPr>
              <w:ind w:left="118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8,014</w:t>
            </w:r>
          </w:p>
        </w:tc>
        <w:tc>
          <w:tcPr>
            <w:tcW w:w="0" w:type="dxa"/>
            <w:vAlign w:val="bottom"/>
          </w:tcPr>
          <w:p>
            <w:pPr>
              <w:spacing w:after="0"/>
              <w:rPr>
                <w:sz w:val="1"/>
                <w:szCs w:val="1"/>
                <w:color w:val="auto"/>
              </w:rPr>
            </w:pPr>
          </w:p>
        </w:tc>
      </w:tr>
      <w:tr>
        <w:trPr>
          <w:trHeight w:val="196"/>
        </w:trPr>
        <w:tc>
          <w:tcPr>
            <w:tcW w:w="5040" w:type="dxa"/>
            <w:vAlign w:val="bottom"/>
            <w:tcBorders>
              <w:top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Total investment securities available-for-sale</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179,071</w:t>
            </w: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1,069,368</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80" w:type="dxa"/>
            <w:vAlign w:val="bottom"/>
            <w:tcBorders>
              <w:top w:val="single" w:sz="8" w:color="auto"/>
              <w:bottom w:val="single" w:sz="8" w:color="auto"/>
            </w:tcBorders>
            <w:shd w:val="clear" w:color="auto" w:fill="CCEEFF"/>
          </w:tcPr>
          <w:p>
            <w:pPr>
              <w:ind w:left="1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bottom w:val="single" w:sz="8" w:color="auto"/>
            </w:tcBorders>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1,248,439</w:t>
            </w:r>
          </w:p>
        </w:tc>
        <w:tc>
          <w:tcPr>
            <w:tcW w:w="0" w:type="dxa"/>
            <w:vAlign w:val="bottom"/>
          </w:tcPr>
          <w:p>
            <w:pPr>
              <w:spacing w:after="0"/>
              <w:rPr>
                <w:sz w:val="1"/>
                <w:szCs w:val="1"/>
                <w:color w:val="auto"/>
              </w:rPr>
            </w:pPr>
          </w:p>
        </w:tc>
      </w:tr>
      <w:tr>
        <w:trPr>
          <w:trHeight w:val="135"/>
        </w:trPr>
        <w:tc>
          <w:tcPr>
            <w:tcW w:w="5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50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Loans held-for-sale, at fair value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1,497</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80" w:type="dxa"/>
            <w:vAlign w:val="bottom"/>
            <w:gridSpan w:val="2"/>
            <w:shd w:val="clear" w:color="auto" w:fill="CCEEFF"/>
          </w:tcPr>
          <w:p>
            <w:pPr>
              <w:ind w:left="118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1,497</w:t>
            </w:r>
          </w:p>
        </w:tc>
        <w:tc>
          <w:tcPr>
            <w:tcW w:w="0" w:type="dxa"/>
            <w:vAlign w:val="bottom"/>
          </w:tcPr>
          <w:p>
            <w:pPr>
              <w:spacing w:after="0"/>
              <w:rPr>
                <w:sz w:val="1"/>
                <w:szCs w:val="1"/>
                <w:color w:val="auto"/>
              </w:rPr>
            </w:pPr>
          </w:p>
        </w:tc>
      </w:tr>
      <w:tr>
        <w:trPr>
          <w:trHeight w:val="149"/>
        </w:trPr>
        <w:tc>
          <w:tcPr>
            <w:tcW w:w="5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220" w:type="dxa"/>
            <w:vAlign w:val="bottom"/>
            <w:gridSpan w:val="2"/>
          </w:tcPr>
          <w:p>
            <w:pPr>
              <w:spacing w:after="0"/>
              <w:rPr>
                <w:sz w:val="12"/>
                <w:szCs w:val="12"/>
                <w:color w:val="auto"/>
              </w:rPr>
            </w:pPr>
          </w:p>
        </w:tc>
        <w:tc>
          <w:tcPr>
            <w:tcW w:w="1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gridSpan w:val="2"/>
          </w:tcPr>
          <w:p>
            <w:pPr>
              <w:spacing w:after="0"/>
              <w:rPr>
                <w:sz w:val="12"/>
                <w:szCs w:val="12"/>
                <w:color w:val="auto"/>
              </w:rPr>
            </w:pPr>
          </w:p>
        </w:tc>
        <w:tc>
          <w:tcPr>
            <w:tcW w:w="3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50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Derivatives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1,063</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80" w:type="dxa"/>
            <w:vAlign w:val="bottom"/>
            <w:gridSpan w:val="2"/>
            <w:shd w:val="clear" w:color="auto" w:fill="CCEEFF"/>
          </w:tcPr>
          <w:p>
            <w:pPr>
              <w:ind w:left="118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1,063</w:t>
            </w:r>
          </w:p>
        </w:tc>
        <w:tc>
          <w:tcPr>
            <w:tcW w:w="0" w:type="dxa"/>
            <w:vAlign w:val="bottom"/>
          </w:tcPr>
          <w:p>
            <w:pPr>
              <w:spacing w:after="0"/>
              <w:rPr>
                <w:sz w:val="1"/>
                <w:szCs w:val="1"/>
                <w:color w:val="auto"/>
              </w:rPr>
            </w:pPr>
          </w:p>
        </w:tc>
      </w:tr>
      <w:tr>
        <w:trPr>
          <w:trHeight w:val="148"/>
        </w:trPr>
        <w:tc>
          <w:tcPr>
            <w:tcW w:w="5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Financial liabilities</w:t>
            </w:r>
          </w:p>
        </w:tc>
        <w:tc>
          <w:tcPr>
            <w:tcW w:w="12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504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Derivatives</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2,045</w:t>
            </w:r>
          </w:p>
        </w:tc>
        <w:tc>
          <w:tcPr>
            <w:tcW w:w="10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80" w:type="dxa"/>
            <w:vAlign w:val="bottom"/>
            <w:gridSpan w:val="2"/>
          </w:tcPr>
          <w:p>
            <w:pPr>
              <w:ind w:left="118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2,045</w:t>
            </w:r>
          </w:p>
        </w:tc>
        <w:tc>
          <w:tcPr>
            <w:tcW w:w="0" w:type="dxa"/>
            <w:vAlign w:val="bottom"/>
          </w:tcPr>
          <w:p>
            <w:pPr>
              <w:spacing w:after="0"/>
              <w:rPr>
                <w:sz w:val="1"/>
                <w:szCs w:val="1"/>
                <w:color w:val="auto"/>
              </w:rPr>
            </w:pPr>
          </w:p>
        </w:tc>
      </w:tr>
    </w:tbl>
    <w:p>
      <w:pPr>
        <w:spacing w:after="0" w:line="23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following describes the valuation techniques used by the Company to measure certain assets recorded at fair value on a non-recurring basis in the financial statements: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Collateral dependent loans</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Loans for which the borrower is experiencing financial difficulty and repayment is dependent upon the operation or sale of collateral, are considered collateral dependent. For collateral-dependent loans, the fair value is measured based on the value</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Fair Value Measurements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of the collateral securing the loans, less estimated costs of disposal. Collateral may be in the form of real estate or business assets, including equipment, inventory, and accounts receivable. The vast majority of the collateral underlying collateral dependent loans is real estate, the fair value of which is measured through an appraisal. The appraisals of the collateral supporting collateral dependent loans may utilize a single valuation approach or a combination of approaches, including comparable sales and the income approach. Any fair value adjustments are recorded in the period incurred as provision for credit losses on the Consolidated Statements of Income. Non-real estate collateral may be valued using an appraisal, net book value per the borrower’s financial statements, or aging reports, adjusted or discounted based on management’s historical knowledge, changes in market conditions from the time of the valuation, and management’s expertise and knowledge of the client and client’s business.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real estate owned</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Assets acquired through foreclosure or other proceedings are initially recorded at fair value less costs to sell when acquired, establishing a new cost basis. The fair value of foreclosed properties is determined on a nonrecurring basis generally utilizing current appraisals performed by an independent, licensed appraiser applying an income or market value approach using observable market data. Updated appraisals of foreclosed properties are generally obtained if the existing appraisal is more than 18 months old or more frequently if there is a known deterioration in value. However, if a current appraisal is not available, the original appraised value is discounted, as appropriate, to compensate for the estimated depreciation in the value of the real estate since the date of its original appraisal. Such discounts are generally estimated based upon management’s knowledge of sales of similar property within the applicable market area and its knowledge of other real estate market-related data as well as general economic trends. Upon foreclosure, any fair value adjustment is charged against the allowance for credit losses on loans. Subsequent fair value adjustments are recorded in the period incurred and included in other noninterest expense in the consolidated statements of income.</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Assets that were measured at fair value on a non-recurring basis during the period are summarized below (in thousands):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0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180" w:type="dxa"/>
            <w:vAlign w:val="bottom"/>
            <w:gridSpan w:val="11"/>
          </w:tcPr>
          <w:p>
            <w:pPr>
              <w:ind w:left="20"/>
              <w:spacing w:after="0"/>
              <w:rPr>
                <w:sz w:val="20"/>
                <w:szCs w:val="20"/>
                <w:color w:val="auto"/>
              </w:rPr>
            </w:pPr>
            <w:r>
              <w:rPr>
                <w:rFonts w:ascii="Times New Roman" w:cs="Times New Roman" w:eastAsia="Times New Roman" w:hAnsi="Times New Roman"/>
                <w:sz w:val="14"/>
                <w:szCs w:val="14"/>
                <w:b w:val="1"/>
                <w:bCs w:val="1"/>
                <w:color w:val="auto"/>
              </w:rPr>
              <w:t>Fair Value Measurements at June 30, 2024, Using:</w:t>
            </w:r>
          </w:p>
        </w:tc>
        <w:tc>
          <w:tcPr>
            <w:tcW w:w="3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0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50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60" w:type="dxa"/>
            <w:vAlign w:val="bottom"/>
            <w:gridSpan w:val="2"/>
          </w:tcPr>
          <w:p>
            <w:pPr>
              <w:jc w:val="center"/>
              <w:ind w:right="100"/>
              <w:spacing w:after="0" w:line="131" w:lineRule="exact"/>
              <w:rPr>
                <w:sz w:val="20"/>
                <w:szCs w:val="20"/>
                <w:color w:val="auto"/>
              </w:rPr>
            </w:pPr>
            <w:r>
              <w:rPr>
                <w:rFonts w:ascii="Times New Roman" w:cs="Times New Roman" w:eastAsia="Times New Roman" w:hAnsi="Times New Roman"/>
                <w:sz w:val="14"/>
                <w:szCs w:val="14"/>
                <w:b w:val="1"/>
                <w:bCs w:val="1"/>
                <w:color w:val="auto"/>
              </w:rPr>
              <w:t>Quoted Prices in</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Significant Other</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80" w:type="dxa"/>
            <w:vAlign w:val="bottom"/>
            <w:gridSpan w:val="4"/>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3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50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gridSpan w:val="2"/>
          </w:tcPr>
          <w:p>
            <w:pPr>
              <w:jc w:val="center"/>
              <w:ind w:right="120"/>
              <w:spacing w:after="0" w:line="146" w:lineRule="exact"/>
              <w:rPr>
                <w:sz w:val="20"/>
                <w:szCs w:val="20"/>
                <w:color w:val="auto"/>
              </w:rPr>
            </w:pPr>
            <w:r>
              <w:rPr>
                <w:rFonts w:ascii="Times New Roman" w:cs="Times New Roman" w:eastAsia="Times New Roman" w:hAnsi="Times New Roman"/>
                <w:sz w:val="14"/>
                <w:szCs w:val="14"/>
                <w:b w:val="1"/>
                <w:bCs w:val="1"/>
                <w:color w:val="auto"/>
              </w:rPr>
              <w:t>Active Markets for</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80" w:type="dxa"/>
            <w:vAlign w:val="bottom"/>
            <w:gridSpan w:val="4"/>
            <w:vMerge w:val="continue"/>
          </w:tcPr>
          <w:p>
            <w:pPr>
              <w:spacing w:after="0"/>
              <w:rPr>
                <w:sz w:val="12"/>
                <w:szCs w:val="12"/>
                <w:color w:val="auto"/>
              </w:rPr>
            </w:pPr>
          </w:p>
        </w:tc>
        <w:tc>
          <w:tcPr>
            <w:tcW w:w="3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50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Identical Assets</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Observable Inputs</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80" w:type="dxa"/>
            <w:vAlign w:val="bottom"/>
            <w:gridSpan w:val="4"/>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Unobservable Inputs</w:t>
            </w: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040" w:type="dxa"/>
            <w:vAlign w:val="bottom"/>
            <w:tcBorders>
              <w:bottom w:val="single" w:sz="8" w:color="CCEEFF"/>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1360" w:type="dxa"/>
            <w:vAlign w:val="bottom"/>
            <w:tcBorders>
              <w:top w:val="single" w:sz="8" w:color="auto"/>
              <w:bottom w:val="single" w:sz="8" w:color="auto"/>
            </w:tcBorders>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4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1360" w:type="dxa"/>
            <w:vAlign w:val="bottom"/>
            <w:tcBorders>
              <w:top w:val="single" w:sz="8" w:color="auto"/>
              <w:bottom w:val="single" w:sz="8" w:color="auto"/>
            </w:tcBorders>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6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80" w:type="dxa"/>
            <w:vAlign w:val="bottom"/>
            <w:tcBorders>
              <w:top w:val="single" w:sz="8" w:color="auto"/>
              <w:bottom w:val="single" w:sz="8" w:color="auto"/>
            </w:tcBorders>
          </w:tcPr>
          <w:p>
            <w:pPr>
              <w:spacing w:after="0"/>
              <w:rPr>
                <w:sz w:val="17"/>
                <w:szCs w:val="17"/>
                <w:color w:val="auto"/>
              </w:rPr>
            </w:pPr>
          </w:p>
        </w:tc>
        <w:tc>
          <w:tcPr>
            <w:tcW w:w="1400" w:type="dxa"/>
            <w:vAlign w:val="bottom"/>
            <w:tcBorders>
              <w:top w:val="single" w:sz="8" w:color="auto"/>
              <w:bottom w:val="single" w:sz="8" w:color="auto"/>
            </w:tcBorders>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6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50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9"/>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Collateral dependent loans</w:t>
            </w: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3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504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Commercial real estate</w:t>
            </w:r>
          </w:p>
        </w:tc>
        <w:tc>
          <w:tcPr>
            <w:tcW w:w="1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gridSpan w:val="2"/>
          </w:tcPr>
          <w:p>
            <w:pPr>
              <w:ind w:left="1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gridSpan w:val="2"/>
          </w:tcPr>
          <w:p>
            <w:pPr>
              <w:ind w:left="1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2,978</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2,978</w:t>
            </w:r>
          </w:p>
        </w:tc>
        <w:tc>
          <w:tcPr>
            <w:tcW w:w="0" w:type="dxa"/>
            <w:vAlign w:val="bottom"/>
          </w:tcPr>
          <w:p>
            <w:pPr>
              <w:spacing w:after="0"/>
              <w:rPr>
                <w:sz w:val="1"/>
                <w:szCs w:val="1"/>
                <w:color w:val="auto"/>
              </w:rPr>
            </w:pPr>
          </w:p>
        </w:tc>
      </w:tr>
      <w:tr>
        <w:trPr>
          <w:trHeight w:val="210"/>
        </w:trPr>
        <w:tc>
          <w:tcPr>
            <w:tcW w:w="50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Owner-occupied commercial real estate</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ind w:left="114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ind w:left="11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w:t>
            </w:r>
          </w:p>
        </w:tc>
        <w:tc>
          <w:tcPr>
            <w:tcW w:w="0" w:type="dxa"/>
            <w:vAlign w:val="bottom"/>
          </w:tcPr>
          <w:p>
            <w:pPr>
              <w:spacing w:after="0"/>
              <w:rPr>
                <w:sz w:val="1"/>
                <w:szCs w:val="1"/>
                <w:color w:val="auto"/>
              </w:rPr>
            </w:pPr>
          </w:p>
        </w:tc>
      </w:tr>
      <w:tr>
        <w:trPr>
          <w:trHeight w:val="195"/>
        </w:trPr>
        <w:tc>
          <w:tcPr>
            <w:tcW w:w="504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Acquisition, construction &amp; development</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gridSpan w:val="2"/>
          </w:tcPr>
          <w:p>
            <w:pPr>
              <w:ind w:left="114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gridSpan w:val="2"/>
          </w:tcPr>
          <w:p>
            <w:pPr>
              <w:ind w:left="11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233</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233</w:t>
            </w:r>
          </w:p>
        </w:tc>
        <w:tc>
          <w:tcPr>
            <w:tcW w:w="0" w:type="dxa"/>
            <w:vAlign w:val="bottom"/>
          </w:tcPr>
          <w:p>
            <w:pPr>
              <w:spacing w:after="0"/>
              <w:rPr>
                <w:sz w:val="1"/>
                <w:szCs w:val="1"/>
                <w:color w:val="auto"/>
              </w:rPr>
            </w:pPr>
          </w:p>
        </w:tc>
      </w:tr>
      <w:tr>
        <w:trPr>
          <w:trHeight w:val="210"/>
        </w:trPr>
        <w:tc>
          <w:tcPr>
            <w:tcW w:w="50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Commercial &amp; industrial</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ind w:left="114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ind w:left="11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8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5"/>
        </w:trPr>
        <w:tc>
          <w:tcPr>
            <w:tcW w:w="504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Single family residential</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gridSpan w:val="2"/>
          </w:tcPr>
          <w:p>
            <w:pPr>
              <w:ind w:left="114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gridSpan w:val="2"/>
          </w:tcPr>
          <w:p>
            <w:pPr>
              <w:ind w:left="11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80" w:type="dxa"/>
            <w:vAlign w:val="bottom"/>
            <w:gridSpan w:val="4"/>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50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Consumer non-real estate and other</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ind w:left="114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ind w:left="11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8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8"/>
        </w:trPr>
        <w:tc>
          <w:tcPr>
            <w:tcW w:w="5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real estate owned</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gridSpan w:val="2"/>
          </w:tcPr>
          <w:p>
            <w:pPr>
              <w:ind w:left="114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gridSpan w:val="2"/>
          </w:tcPr>
          <w:p>
            <w:pPr>
              <w:ind w:left="11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3,334</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3,334</w:t>
            </w:r>
          </w:p>
        </w:tc>
        <w:tc>
          <w:tcPr>
            <w:tcW w:w="0" w:type="dxa"/>
            <w:vAlign w:val="bottom"/>
          </w:tcPr>
          <w:p>
            <w:pPr>
              <w:spacing w:after="0"/>
              <w:rPr>
                <w:sz w:val="1"/>
                <w:szCs w:val="1"/>
                <w:color w:val="auto"/>
              </w:rPr>
            </w:pPr>
          </w:p>
        </w:tc>
      </w:tr>
      <w:tr>
        <w:trPr>
          <w:trHeight w:val="477"/>
        </w:trPr>
        <w:tc>
          <w:tcPr>
            <w:tcW w:w="50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900" w:type="dxa"/>
            <w:vAlign w:val="bottom"/>
            <w:gridSpan w:val="15"/>
          </w:tcPr>
          <w:p>
            <w:pPr>
              <w:ind w:left="1240"/>
              <w:spacing w:after="0"/>
              <w:rPr>
                <w:sz w:val="20"/>
                <w:szCs w:val="20"/>
                <w:color w:val="auto"/>
              </w:rPr>
            </w:pPr>
            <w:r>
              <w:rPr>
                <w:rFonts w:ascii="Times New Roman" w:cs="Times New Roman" w:eastAsia="Times New Roman" w:hAnsi="Times New Roman"/>
                <w:sz w:val="14"/>
                <w:szCs w:val="14"/>
                <w:b w:val="1"/>
                <w:bCs w:val="1"/>
                <w:color w:val="auto"/>
              </w:rPr>
              <w:t>Fair Value Measurements at December 31, 2023, Using:</w:t>
            </w: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5040" w:type="dxa"/>
            <w:vAlign w:val="bottom"/>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50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60" w:type="dxa"/>
            <w:vAlign w:val="bottom"/>
            <w:gridSpan w:val="2"/>
          </w:tcPr>
          <w:p>
            <w:pPr>
              <w:jc w:val="center"/>
              <w:ind w:right="200"/>
              <w:spacing w:after="0" w:line="129" w:lineRule="exact"/>
              <w:rPr>
                <w:sz w:val="20"/>
                <w:szCs w:val="20"/>
                <w:color w:val="auto"/>
              </w:rPr>
            </w:pPr>
            <w:r>
              <w:rPr>
                <w:rFonts w:ascii="Times New Roman" w:cs="Times New Roman" w:eastAsia="Times New Roman" w:hAnsi="Times New Roman"/>
                <w:sz w:val="14"/>
                <w:szCs w:val="14"/>
                <w:b w:val="1"/>
                <w:bCs w:val="1"/>
                <w:color w:val="auto"/>
              </w:rPr>
              <w:t>Quoted Prices in</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6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Significant Other</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80" w:type="dxa"/>
            <w:vAlign w:val="bottom"/>
            <w:gridSpan w:val="4"/>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3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50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Active Markets for</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80" w:type="dxa"/>
            <w:vAlign w:val="bottom"/>
            <w:gridSpan w:val="4"/>
            <w:vMerge w:val="continue"/>
          </w:tcPr>
          <w:p>
            <w:pPr>
              <w:spacing w:after="0"/>
              <w:rPr>
                <w:sz w:val="12"/>
                <w:szCs w:val="12"/>
                <w:color w:val="auto"/>
              </w:rPr>
            </w:pPr>
          </w:p>
        </w:tc>
        <w:tc>
          <w:tcPr>
            <w:tcW w:w="3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50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Identical Assets</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Observable Inputs</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560" w:type="dxa"/>
            <w:vAlign w:val="bottom"/>
            <w:gridSpan w:val="5"/>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Unobservable Inputs</w:t>
            </w: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040" w:type="dxa"/>
            <w:vAlign w:val="bottom"/>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tcPr>
          <w:p>
            <w:pPr>
              <w:jc w:val="center"/>
              <w:ind w:right="108"/>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340" w:type="dxa"/>
            <w:vAlign w:val="bottom"/>
            <w:tcBorders>
              <w:top w:val="single" w:sz="8" w:color="auto"/>
            </w:tcBorders>
          </w:tcPr>
          <w:p>
            <w:pPr>
              <w:jc w:val="center"/>
              <w:ind w:right="88"/>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380" w:type="dxa"/>
            <w:vAlign w:val="bottom"/>
            <w:tcBorders>
              <w:top w:val="single" w:sz="8" w:color="auto"/>
            </w:tcBorders>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100" w:type="dxa"/>
            <w:vAlign w:val="bottom"/>
            <w:gridSpan w:val="3"/>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jc w:val="right"/>
              <w:ind w:right="50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9"/>
        </w:trPr>
        <w:tc>
          <w:tcPr>
            <w:tcW w:w="50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Collateral dependent loans</w:t>
            </w:r>
          </w:p>
        </w:tc>
        <w:tc>
          <w:tcPr>
            <w:tcW w:w="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132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134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138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320" w:type="dxa"/>
            <w:vAlign w:val="bottom"/>
            <w:tcBorders>
              <w:top w:val="single" w:sz="8" w:color="auto"/>
            </w:tcBorders>
            <w:shd w:val="clear" w:color="auto" w:fill="CCEEFF"/>
          </w:tcPr>
          <w:p>
            <w:pPr>
              <w:spacing w:after="0"/>
              <w:rPr>
                <w:sz w:val="16"/>
                <w:szCs w:val="16"/>
                <w:color w:val="auto"/>
              </w:rPr>
            </w:pPr>
          </w:p>
        </w:tc>
        <w:tc>
          <w:tcPr>
            <w:tcW w:w="114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504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Commercial real estate</w:t>
            </w:r>
          </w:p>
        </w:tc>
        <w:tc>
          <w:tcPr>
            <w:tcW w:w="1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gridSpan w:val="2"/>
          </w:tcPr>
          <w:p>
            <w:pPr>
              <w:ind w:left="11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gridSpan w:val="3"/>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gridSpan w:val="2"/>
          </w:tcPr>
          <w:p>
            <w:pPr>
              <w:ind w:left="11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80" w:type="dxa"/>
            <w:vAlign w:val="bottom"/>
            <w:gridSpan w:val="4"/>
          </w:tcPr>
          <w:p>
            <w:pPr>
              <w:ind w:left="11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50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Owner-occupied commercial real estate</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ind w:left="110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ind w:left="112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80" w:type="dxa"/>
            <w:vAlign w:val="bottom"/>
            <w:gridSpan w:val="4"/>
            <w:shd w:val="clear" w:color="auto" w:fill="CCEEFF"/>
          </w:tcPr>
          <w:p>
            <w:pPr>
              <w:ind w:left="11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5"/>
        </w:trPr>
        <w:tc>
          <w:tcPr>
            <w:tcW w:w="504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Acquisition, construction &amp; development</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gridSpan w:val="2"/>
          </w:tcPr>
          <w:p>
            <w:pPr>
              <w:ind w:left="110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gridSpan w:val="2"/>
          </w:tcPr>
          <w:p>
            <w:pPr>
              <w:ind w:left="112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80" w:type="dxa"/>
            <w:vAlign w:val="bottom"/>
            <w:gridSpan w:val="4"/>
          </w:tcPr>
          <w:p>
            <w:pPr>
              <w:ind w:left="11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50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Commercial &amp; industrial</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ind w:left="110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ind w:left="112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80" w:type="dxa"/>
            <w:vAlign w:val="bottom"/>
            <w:gridSpan w:val="4"/>
            <w:shd w:val="clear" w:color="auto" w:fill="CCEEFF"/>
          </w:tcPr>
          <w:p>
            <w:pPr>
              <w:ind w:left="11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5"/>
        </w:trPr>
        <w:tc>
          <w:tcPr>
            <w:tcW w:w="504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Single family residential</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gridSpan w:val="2"/>
          </w:tcPr>
          <w:p>
            <w:pPr>
              <w:ind w:left="110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gridSpan w:val="2"/>
          </w:tcPr>
          <w:p>
            <w:pPr>
              <w:ind w:left="112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80" w:type="dxa"/>
            <w:vAlign w:val="bottom"/>
            <w:gridSpan w:val="4"/>
          </w:tcPr>
          <w:p>
            <w:pPr>
              <w:ind w:left="11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50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Consumer non-real estate and other</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ind w:left="110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ind w:left="112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80" w:type="dxa"/>
            <w:vAlign w:val="bottom"/>
            <w:gridSpan w:val="4"/>
            <w:shd w:val="clear" w:color="auto" w:fill="CCEEFF"/>
          </w:tcPr>
          <w:p>
            <w:pPr>
              <w:ind w:left="11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8"/>
        </w:trPr>
        <w:tc>
          <w:tcPr>
            <w:tcW w:w="5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real estate owned</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gridSpan w:val="2"/>
          </w:tcPr>
          <w:p>
            <w:pPr>
              <w:ind w:left="110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gridSpan w:val="2"/>
          </w:tcPr>
          <w:p>
            <w:pPr>
              <w:ind w:left="112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80" w:type="dxa"/>
            <w:vAlign w:val="bottom"/>
            <w:gridSpan w:val="4"/>
          </w:tcPr>
          <w:p>
            <w:pPr>
              <w:ind w:left="11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Fair Value Measurements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quantitative information about Level 3 Fair Value Measurements for assets measured at fair value on a non-recurring basis at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30, 2024, and December 31, 2023 (in thousands except for percentages):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720" w:type="dxa"/>
            <w:vAlign w:val="bottom"/>
            <w:gridSpan w:val="2"/>
          </w:tcPr>
          <w:p>
            <w:pPr>
              <w:ind w:left="96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180" w:type="dxa"/>
            <w:vAlign w:val="bottom"/>
          </w:tcPr>
          <w:p>
            <w:pPr>
              <w:spacing w:after="0"/>
              <w:rPr>
                <w:sz w:val="16"/>
                <w:szCs w:val="16"/>
                <w:color w:val="auto"/>
              </w:rPr>
            </w:pPr>
          </w:p>
        </w:tc>
        <w:tc>
          <w:tcPr>
            <w:tcW w:w="108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84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Valuation Techniques</w:t>
            </w:r>
          </w:p>
        </w:tc>
        <w:tc>
          <w:tcPr>
            <w:tcW w:w="2580" w:type="dxa"/>
            <w:vAlign w:val="bottom"/>
            <w:gridSpan w:val="2"/>
          </w:tcPr>
          <w:p>
            <w:pPr>
              <w:ind w:left="600"/>
              <w:spacing w:after="0"/>
              <w:rPr>
                <w:sz w:val="20"/>
                <w:szCs w:val="20"/>
                <w:color w:val="auto"/>
              </w:rPr>
            </w:pPr>
            <w:r>
              <w:rPr>
                <w:rFonts w:ascii="Times New Roman" w:cs="Times New Roman" w:eastAsia="Times New Roman" w:hAnsi="Times New Roman"/>
                <w:sz w:val="14"/>
                <w:szCs w:val="14"/>
                <w:b w:val="1"/>
                <w:bCs w:val="1"/>
                <w:color w:val="auto"/>
              </w:rPr>
              <w:t>Unobservable Inputs</w:t>
            </w:r>
          </w:p>
        </w:tc>
        <w:tc>
          <w:tcPr>
            <w:tcW w:w="2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Range</w:t>
            </w:r>
          </w:p>
        </w:tc>
        <w:tc>
          <w:tcPr>
            <w:tcW w:w="0" w:type="dxa"/>
            <w:vAlign w:val="bottom"/>
          </w:tcPr>
          <w:p>
            <w:pPr>
              <w:spacing w:after="0"/>
              <w:rPr>
                <w:sz w:val="1"/>
                <w:szCs w:val="1"/>
                <w:color w:val="auto"/>
              </w:rPr>
            </w:pPr>
          </w:p>
        </w:tc>
      </w:tr>
      <w:tr>
        <w:trPr>
          <w:trHeight w:val="23"/>
        </w:trPr>
        <w:tc>
          <w:tcPr>
            <w:tcW w:w="2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6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5"/>
        </w:trPr>
        <w:tc>
          <w:tcPr>
            <w:tcW w:w="2720" w:type="dxa"/>
            <w:vAlign w:val="bottom"/>
            <w:gridSpan w:val="2"/>
            <w:vMerge w:val="restart"/>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Collateral dependent loans</w:t>
            </w:r>
          </w:p>
        </w:tc>
        <w:tc>
          <w:tcPr>
            <w:tcW w:w="18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3,288</w:t>
            </w:r>
          </w:p>
        </w:tc>
        <w:tc>
          <w:tcPr>
            <w:tcW w:w="100" w:type="dxa"/>
            <w:vAlign w:val="bottom"/>
            <w:shd w:val="clear" w:color="auto" w:fill="CCEEFF"/>
          </w:tcPr>
          <w:p>
            <w:pPr>
              <w:spacing w:after="0"/>
              <w:rPr>
                <w:sz w:val="12"/>
                <w:szCs w:val="12"/>
                <w:color w:val="auto"/>
              </w:rPr>
            </w:pPr>
          </w:p>
        </w:tc>
        <w:tc>
          <w:tcPr>
            <w:tcW w:w="184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Appraisal of collateral</w:t>
            </w:r>
          </w:p>
        </w:tc>
        <w:tc>
          <w:tcPr>
            <w:tcW w:w="2580" w:type="dxa"/>
            <w:vAlign w:val="bottom"/>
            <w:gridSpan w:val="2"/>
            <w:shd w:val="clear" w:color="auto" w:fill="CCEEFF"/>
          </w:tcPr>
          <w:p>
            <w:pPr>
              <w:ind w:left="20"/>
              <w:spacing w:after="0" w:line="145" w:lineRule="exact"/>
              <w:rPr>
                <w:sz w:val="20"/>
                <w:szCs w:val="20"/>
                <w:color w:val="auto"/>
              </w:rPr>
            </w:pPr>
            <w:r>
              <w:rPr>
                <w:rFonts w:ascii="Times New Roman" w:cs="Times New Roman" w:eastAsia="Times New Roman" w:hAnsi="Times New Roman"/>
                <w:sz w:val="14"/>
                <w:szCs w:val="14"/>
                <w:color w:val="auto"/>
              </w:rPr>
              <w:t>Management adjustments (e.g. liquidity,</w:t>
            </w:r>
          </w:p>
        </w:tc>
        <w:tc>
          <w:tcPr>
            <w:tcW w:w="2840" w:type="dxa"/>
            <w:vAlign w:val="bottom"/>
            <w:shd w:val="clear" w:color="auto" w:fill="CCEEFF"/>
          </w:tcPr>
          <w:p>
            <w:pPr>
              <w:jc w:val="center"/>
              <w:spacing w:after="0" w:line="145" w:lineRule="exact"/>
              <w:rPr>
                <w:sz w:val="20"/>
                <w:szCs w:val="20"/>
                <w:color w:val="auto"/>
              </w:rPr>
            </w:pPr>
            <w:r>
              <w:rPr>
                <w:rFonts w:ascii="Times New Roman" w:cs="Times New Roman" w:eastAsia="Times New Roman" w:hAnsi="Times New Roman"/>
                <w:sz w:val="14"/>
                <w:szCs w:val="14"/>
                <w:color w:val="auto"/>
              </w:rPr>
              <w:t>5.0% to 20.0% for liquidity, 6.0% to 8.0% for</w:t>
            </w:r>
          </w:p>
        </w:tc>
        <w:tc>
          <w:tcPr>
            <w:tcW w:w="0" w:type="dxa"/>
            <w:vAlign w:val="bottom"/>
          </w:tcPr>
          <w:p>
            <w:pPr>
              <w:spacing w:after="0"/>
              <w:rPr>
                <w:sz w:val="1"/>
                <w:szCs w:val="1"/>
                <w:color w:val="auto"/>
              </w:rPr>
            </w:pPr>
          </w:p>
        </w:tc>
      </w:tr>
      <w:tr>
        <w:trPr>
          <w:trHeight w:val="198"/>
        </w:trPr>
        <w:tc>
          <w:tcPr>
            <w:tcW w:w="2720" w:type="dxa"/>
            <w:vAlign w:val="bottom"/>
            <w:gridSpan w:val="2"/>
            <w:vMerge w:val="continue"/>
            <w:shd w:val="clear" w:color="auto" w:fill="CCEEFF"/>
          </w:tcPr>
          <w:p>
            <w:pPr>
              <w:spacing w:after="0"/>
              <w:rPr>
                <w:sz w:val="17"/>
                <w:szCs w:val="17"/>
                <w:color w:val="auto"/>
              </w:rPr>
            </w:pPr>
          </w:p>
        </w:tc>
        <w:tc>
          <w:tcPr>
            <w:tcW w:w="180" w:type="dxa"/>
            <w:vAlign w:val="bottom"/>
            <w:vMerge w:val="continue"/>
            <w:shd w:val="clear" w:color="auto" w:fill="CCEEFF"/>
          </w:tcPr>
          <w:p>
            <w:pPr>
              <w:spacing w:after="0"/>
              <w:rPr>
                <w:sz w:val="17"/>
                <w:szCs w:val="17"/>
                <w:color w:val="auto"/>
              </w:rPr>
            </w:pPr>
          </w:p>
        </w:tc>
        <w:tc>
          <w:tcPr>
            <w:tcW w:w="98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40" w:type="dxa"/>
            <w:vAlign w:val="bottom"/>
            <w:gridSpan w:val="2"/>
            <w:vMerge w:val="continue"/>
            <w:shd w:val="clear" w:color="auto" w:fill="CCEEFF"/>
          </w:tcPr>
          <w:p>
            <w:pPr>
              <w:spacing w:after="0"/>
              <w:rPr>
                <w:sz w:val="17"/>
                <w:szCs w:val="17"/>
                <w:color w:val="auto"/>
              </w:rPr>
            </w:pPr>
          </w:p>
        </w:tc>
        <w:tc>
          <w:tcPr>
            <w:tcW w:w="2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selling costs, etc.)</w:t>
            </w:r>
          </w:p>
        </w:tc>
        <w:tc>
          <w:tcPr>
            <w:tcW w:w="2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selling costs</w:t>
            </w:r>
          </w:p>
        </w:tc>
        <w:tc>
          <w:tcPr>
            <w:tcW w:w="0" w:type="dxa"/>
            <w:vAlign w:val="bottom"/>
          </w:tcPr>
          <w:p>
            <w:pPr>
              <w:spacing w:after="0"/>
              <w:rPr>
                <w:sz w:val="1"/>
                <w:szCs w:val="1"/>
                <w:color w:val="auto"/>
              </w:rPr>
            </w:pPr>
          </w:p>
        </w:tc>
      </w:tr>
      <w:tr>
        <w:trPr>
          <w:trHeight w:val="139"/>
        </w:trPr>
        <w:tc>
          <w:tcPr>
            <w:tcW w:w="2720" w:type="dxa"/>
            <w:vAlign w:val="bottom"/>
            <w:gridSpan w:val="2"/>
            <w:vMerge w:val="restart"/>
          </w:tcPr>
          <w:p>
            <w:pPr>
              <w:ind w:left="240"/>
              <w:spacing w:after="0"/>
              <w:rPr>
                <w:sz w:val="20"/>
                <w:szCs w:val="20"/>
                <w:color w:val="auto"/>
              </w:rPr>
            </w:pPr>
            <w:r>
              <w:rPr>
                <w:rFonts w:ascii="Times New Roman" w:cs="Times New Roman" w:eastAsia="Times New Roman" w:hAnsi="Times New Roman"/>
                <w:sz w:val="14"/>
                <w:szCs w:val="14"/>
                <w:color w:val="auto"/>
              </w:rPr>
              <w:t>Other real estate owned</w:t>
            </w:r>
          </w:p>
        </w:tc>
        <w:tc>
          <w:tcPr>
            <w:tcW w:w="180" w:type="dxa"/>
            <w:vAlign w:val="bottom"/>
          </w:tcPr>
          <w:p>
            <w:pPr>
              <w:spacing w:after="0"/>
              <w:rPr>
                <w:sz w:val="12"/>
                <w:szCs w:val="12"/>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3,334</w:t>
            </w:r>
          </w:p>
        </w:tc>
        <w:tc>
          <w:tcPr>
            <w:tcW w:w="100" w:type="dxa"/>
            <w:vAlign w:val="bottom"/>
          </w:tcPr>
          <w:p>
            <w:pPr>
              <w:spacing w:after="0"/>
              <w:rPr>
                <w:sz w:val="12"/>
                <w:szCs w:val="12"/>
                <w:color w:val="auto"/>
              </w:rPr>
            </w:pPr>
          </w:p>
        </w:tc>
        <w:tc>
          <w:tcPr>
            <w:tcW w:w="18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Appraisal of collateral</w:t>
            </w:r>
          </w:p>
        </w:tc>
        <w:tc>
          <w:tcPr>
            <w:tcW w:w="2580" w:type="dxa"/>
            <w:vAlign w:val="bottom"/>
            <w:gridSpan w:val="2"/>
          </w:tcPr>
          <w:p>
            <w:pPr>
              <w:ind w:left="20"/>
              <w:spacing w:after="0" w:line="139" w:lineRule="exact"/>
              <w:rPr>
                <w:sz w:val="20"/>
                <w:szCs w:val="20"/>
                <w:color w:val="auto"/>
              </w:rPr>
            </w:pPr>
            <w:r>
              <w:rPr>
                <w:rFonts w:ascii="Times New Roman" w:cs="Times New Roman" w:eastAsia="Times New Roman" w:hAnsi="Times New Roman"/>
                <w:sz w:val="14"/>
                <w:szCs w:val="14"/>
                <w:color w:val="auto"/>
              </w:rPr>
              <w:t>Management adjustments (e.g. liquidity,</w:t>
            </w:r>
          </w:p>
        </w:tc>
        <w:tc>
          <w:tcPr>
            <w:tcW w:w="2840" w:type="dxa"/>
            <w:vAlign w:val="bottom"/>
          </w:tcPr>
          <w:p>
            <w:pPr>
              <w:jc w:val="center"/>
              <w:spacing w:after="0" w:line="139" w:lineRule="exact"/>
              <w:rPr>
                <w:sz w:val="20"/>
                <w:szCs w:val="20"/>
                <w:color w:val="auto"/>
              </w:rPr>
            </w:pPr>
            <w:r>
              <w:rPr>
                <w:rFonts w:ascii="Times New Roman" w:cs="Times New Roman" w:eastAsia="Times New Roman" w:hAnsi="Times New Roman"/>
                <w:sz w:val="14"/>
                <w:szCs w:val="14"/>
                <w:color w:val="auto"/>
              </w:rPr>
              <w:t>5.0% to 20.0% for liquidity, 6.0% to 8.0% for</w:t>
            </w:r>
          </w:p>
        </w:tc>
        <w:tc>
          <w:tcPr>
            <w:tcW w:w="0" w:type="dxa"/>
            <w:vAlign w:val="bottom"/>
          </w:tcPr>
          <w:p>
            <w:pPr>
              <w:spacing w:after="0"/>
              <w:rPr>
                <w:sz w:val="1"/>
                <w:szCs w:val="1"/>
                <w:color w:val="auto"/>
              </w:rPr>
            </w:pPr>
          </w:p>
        </w:tc>
      </w:tr>
      <w:tr>
        <w:trPr>
          <w:trHeight w:val="193"/>
        </w:trPr>
        <w:tc>
          <w:tcPr>
            <w:tcW w:w="272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840" w:type="dxa"/>
            <w:vAlign w:val="bottom"/>
            <w:gridSpan w:val="2"/>
            <w:vMerge w:val="continue"/>
          </w:tcPr>
          <w:p>
            <w:pPr>
              <w:spacing w:after="0"/>
              <w:rPr>
                <w:sz w:val="16"/>
                <w:szCs w:val="16"/>
                <w:color w:val="auto"/>
              </w:rPr>
            </w:pPr>
          </w:p>
        </w:tc>
        <w:tc>
          <w:tcPr>
            <w:tcW w:w="25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selling costs, etc.)</w:t>
            </w:r>
          </w:p>
        </w:tc>
        <w:tc>
          <w:tcPr>
            <w:tcW w:w="28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selling costs</w:t>
            </w:r>
          </w:p>
        </w:tc>
        <w:tc>
          <w:tcPr>
            <w:tcW w:w="0" w:type="dxa"/>
            <w:vAlign w:val="bottom"/>
          </w:tcPr>
          <w:p>
            <w:pPr>
              <w:spacing w:after="0"/>
              <w:rPr>
                <w:sz w:val="1"/>
                <w:szCs w:val="1"/>
                <w:color w:val="auto"/>
              </w:rPr>
            </w:pPr>
          </w:p>
        </w:tc>
      </w:tr>
      <w:tr>
        <w:trPr>
          <w:trHeight w:val="275"/>
        </w:trPr>
        <w:tc>
          <w:tcPr>
            <w:tcW w:w="26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7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8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196"/>
        </w:trPr>
        <w:tc>
          <w:tcPr>
            <w:tcW w:w="27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5"/>
        </w:trPr>
        <w:tc>
          <w:tcPr>
            <w:tcW w:w="2720" w:type="dxa"/>
            <w:vAlign w:val="bottom"/>
            <w:gridSpan w:val="2"/>
            <w:vMerge w:val="restart"/>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Collateral dependent loans</w:t>
            </w:r>
          </w:p>
        </w:tc>
        <w:tc>
          <w:tcPr>
            <w:tcW w:w="18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4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Appraisal of collateral</w:t>
            </w:r>
          </w:p>
        </w:tc>
        <w:tc>
          <w:tcPr>
            <w:tcW w:w="2580" w:type="dxa"/>
            <w:vAlign w:val="bottom"/>
            <w:gridSpan w:val="2"/>
            <w:shd w:val="clear" w:color="auto" w:fill="CCEEFF"/>
          </w:tcPr>
          <w:p>
            <w:pPr>
              <w:ind w:left="20"/>
              <w:spacing w:after="0" w:line="145" w:lineRule="exact"/>
              <w:rPr>
                <w:sz w:val="20"/>
                <w:szCs w:val="20"/>
                <w:color w:val="auto"/>
              </w:rPr>
            </w:pPr>
            <w:r>
              <w:rPr>
                <w:rFonts w:ascii="Times New Roman" w:cs="Times New Roman" w:eastAsia="Times New Roman" w:hAnsi="Times New Roman"/>
                <w:sz w:val="14"/>
                <w:szCs w:val="14"/>
                <w:color w:val="auto"/>
              </w:rPr>
              <w:t>Management adjustments (e.g. liquidity,</w:t>
            </w:r>
          </w:p>
        </w:tc>
        <w:tc>
          <w:tcPr>
            <w:tcW w:w="2840" w:type="dxa"/>
            <w:vAlign w:val="bottom"/>
            <w:shd w:val="clear" w:color="auto" w:fill="CCEEFF"/>
          </w:tcPr>
          <w:p>
            <w:pPr>
              <w:jc w:val="center"/>
              <w:spacing w:after="0" w:line="145" w:lineRule="exact"/>
              <w:rPr>
                <w:sz w:val="20"/>
                <w:szCs w:val="20"/>
                <w:color w:val="auto"/>
              </w:rPr>
            </w:pPr>
            <w:r>
              <w:rPr>
                <w:rFonts w:ascii="Times New Roman" w:cs="Times New Roman" w:eastAsia="Times New Roman" w:hAnsi="Times New Roman"/>
                <w:sz w:val="14"/>
                <w:szCs w:val="14"/>
                <w:color w:val="auto"/>
              </w:rPr>
              <w:t>5.0% to 20.0% for liquidity, 6.0% to 8.0% for</w:t>
            </w:r>
          </w:p>
        </w:tc>
        <w:tc>
          <w:tcPr>
            <w:tcW w:w="0" w:type="dxa"/>
            <w:vAlign w:val="bottom"/>
          </w:tcPr>
          <w:p>
            <w:pPr>
              <w:spacing w:after="0"/>
              <w:rPr>
                <w:sz w:val="1"/>
                <w:szCs w:val="1"/>
                <w:color w:val="auto"/>
              </w:rPr>
            </w:pPr>
          </w:p>
        </w:tc>
      </w:tr>
      <w:tr>
        <w:trPr>
          <w:trHeight w:val="198"/>
        </w:trPr>
        <w:tc>
          <w:tcPr>
            <w:tcW w:w="2720" w:type="dxa"/>
            <w:vAlign w:val="bottom"/>
            <w:gridSpan w:val="2"/>
            <w:vMerge w:val="continue"/>
            <w:shd w:val="clear" w:color="auto" w:fill="CCEEFF"/>
          </w:tcPr>
          <w:p>
            <w:pPr>
              <w:spacing w:after="0"/>
              <w:rPr>
                <w:sz w:val="17"/>
                <w:szCs w:val="17"/>
                <w:color w:val="auto"/>
              </w:rPr>
            </w:pPr>
          </w:p>
        </w:tc>
        <w:tc>
          <w:tcPr>
            <w:tcW w:w="180" w:type="dxa"/>
            <w:vAlign w:val="bottom"/>
            <w:vMerge w:val="continue"/>
            <w:shd w:val="clear" w:color="auto" w:fill="CCEEFF"/>
          </w:tcPr>
          <w:p>
            <w:pPr>
              <w:spacing w:after="0"/>
              <w:rPr>
                <w:sz w:val="17"/>
                <w:szCs w:val="17"/>
                <w:color w:val="auto"/>
              </w:rPr>
            </w:pPr>
          </w:p>
        </w:tc>
        <w:tc>
          <w:tcPr>
            <w:tcW w:w="1080" w:type="dxa"/>
            <w:vAlign w:val="bottom"/>
            <w:gridSpan w:val="2"/>
            <w:vMerge w:val="continue"/>
            <w:shd w:val="clear" w:color="auto" w:fill="CCEEFF"/>
          </w:tcPr>
          <w:p>
            <w:pPr>
              <w:spacing w:after="0"/>
              <w:rPr>
                <w:sz w:val="17"/>
                <w:szCs w:val="17"/>
                <w:color w:val="auto"/>
              </w:rPr>
            </w:pPr>
          </w:p>
        </w:tc>
        <w:tc>
          <w:tcPr>
            <w:tcW w:w="1840" w:type="dxa"/>
            <w:vAlign w:val="bottom"/>
            <w:gridSpan w:val="2"/>
            <w:vMerge w:val="continue"/>
            <w:shd w:val="clear" w:color="auto" w:fill="CCEEFF"/>
          </w:tcPr>
          <w:p>
            <w:pPr>
              <w:spacing w:after="0"/>
              <w:rPr>
                <w:sz w:val="17"/>
                <w:szCs w:val="17"/>
                <w:color w:val="auto"/>
              </w:rPr>
            </w:pPr>
          </w:p>
        </w:tc>
        <w:tc>
          <w:tcPr>
            <w:tcW w:w="2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selling costs, etc.)</w:t>
            </w:r>
          </w:p>
        </w:tc>
        <w:tc>
          <w:tcPr>
            <w:tcW w:w="2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selling costs</w:t>
            </w:r>
          </w:p>
        </w:tc>
        <w:tc>
          <w:tcPr>
            <w:tcW w:w="0" w:type="dxa"/>
            <w:vAlign w:val="bottom"/>
          </w:tcPr>
          <w:p>
            <w:pPr>
              <w:spacing w:after="0"/>
              <w:rPr>
                <w:sz w:val="1"/>
                <w:szCs w:val="1"/>
                <w:color w:val="auto"/>
              </w:rPr>
            </w:pP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Fair value of financial instruments</w:t>
      </w:r>
    </w:p>
    <w:p>
      <w:pPr>
        <w:spacing w:after="0" w:line="17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carrying amounts and estimated fair values of financial instruments not carried at fair value, at June 30, 2024, and December 31, 2023, were as follows (in thousands):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3240" w:type="dxa"/>
            <w:vAlign w:val="bottom"/>
            <w:gridSpan w:val="7"/>
          </w:tcPr>
          <w:p>
            <w:pPr>
              <w:ind w:left="80"/>
              <w:spacing w:after="0"/>
              <w:rPr>
                <w:sz w:val="20"/>
                <w:szCs w:val="20"/>
                <w:color w:val="auto"/>
              </w:rPr>
            </w:pPr>
            <w:r>
              <w:rPr>
                <w:rFonts w:ascii="Times New Roman" w:cs="Times New Roman" w:eastAsia="Times New Roman" w:hAnsi="Times New Roman"/>
                <w:sz w:val="14"/>
                <w:szCs w:val="14"/>
                <w:b w:val="1"/>
                <w:bCs w:val="1"/>
                <w:color w:val="auto"/>
              </w:rPr>
              <w:t>Fair Value Measurements at June 30, 2024, Using:</w:t>
            </w: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7"/>
        </w:trPr>
        <w:tc>
          <w:tcPr>
            <w:tcW w:w="3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Quoted Prices in</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2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Significant Other</w:t>
            </w:r>
          </w:p>
        </w:tc>
        <w:tc>
          <w:tcPr>
            <w:tcW w:w="100" w:type="dxa"/>
            <w:vAlign w:val="bottom"/>
          </w:tcPr>
          <w:p>
            <w:pPr>
              <w:spacing w:after="0"/>
              <w:rPr>
                <w:sz w:val="24"/>
                <w:szCs w:val="24"/>
                <w:color w:val="auto"/>
              </w:rPr>
            </w:pPr>
          </w:p>
        </w:tc>
        <w:tc>
          <w:tcPr>
            <w:tcW w:w="148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3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tcPr>
          <w:p>
            <w:pPr>
              <w:jc w:val="center"/>
              <w:ind w:right="48"/>
              <w:spacing w:after="0" w:line="149" w:lineRule="exact"/>
              <w:rPr>
                <w:sz w:val="20"/>
                <w:szCs w:val="20"/>
                <w:color w:val="auto"/>
              </w:rPr>
            </w:pPr>
            <w:r>
              <w:rPr>
                <w:rFonts w:ascii="Times New Roman" w:cs="Times New Roman" w:eastAsia="Times New Roman" w:hAnsi="Times New Roman"/>
                <w:sz w:val="14"/>
                <w:szCs w:val="14"/>
                <w:b w:val="1"/>
                <w:bCs w:val="1"/>
                <w:color w:val="auto"/>
              </w:rPr>
              <w:t>Active Markets for</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gridSpan w:val="2"/>
            <w:vMerge w:val="continue"/>
          </w:tcPr>
          <w:p>
            <w:pPr>
              <w:spacing w:after="0"/>
              <w:rPr>
                <w:sz w:val="12"/>
                <w:szCs w:val="12"/>
                <w:color w:val="auto"/>
              </w:rPr>
            </w:pPr>
          </w:p>
        </w:tc>
        <w:tc>
          <w:tcPr>
            <w:tcW w:w="3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3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Identical Assets</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Observable Inputs</w:t>
            </w:r>
          </w:p>
        </w:tc>
        <w:tc>
          <w:tcPr>
            <w:tcW w:w="100" w:type="dxa"/>
            <w:vAlign w:val="bottom"/>
          </w:tcPr>
          <w:p>
            <w:pPr>
              <w:spacing w:after="0"/>
              <w:rPr>
                <w:sz w:val="17"/>
                <w:szCs w:val="17"/>
                <w:color w:val="auto"/>
              </w:rPr>
            </w:pPr>
          </w:p>
        </w:tc>
        <w:tc>
          <w:tcPr>
            <w:tcW w:w="148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Unobservable Inputs</w:t>
            </w: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4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Carrying Amount</w:t>
            </w:r>
          </w:p>
        </w:tc>
        <w:tc>
          <w:tcPr>
            <w:tcW w:w="120" w:type="dxa"/>
            <w:vAlign w:val="bottom"/>
            <w:tcBorders>
              <w:top w:val="single" w:sz="8" w:color="auto"/>
            </w:tcBorders>
          </w:tcPr>
          <w:p>
            <w:pPr>
              <w:spacing w:after="0"/>
              <w:rPr>
                <w:sz w:val="17"/>
                <w:szCs w:val="17"/>
                <w:color w:val="auto"/>
              </w:rPr>
            </w:pPr>
          </w:p>
        </w:tc>
        <w:tc>
          <w:tcPr>
            <w:tcW w:w="1340" w:type="dxa"/>
            <w:vAlign w:val="bottom"/>
            <w:tcBorders>
              <w:top w:val="single" w:sz="8" w:color="auto"/>
            </w:tcBorders>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340" w:type="dxa"/>
            <w:vAlign w:val="bottom"/>
            <w:tcBorders>
              <w:top w:val="single" w:sz="8" w:color="auto"/>
            </w:tcBorders>
          </w:tcPr>
          <w:p>
            <w:pPr>
              <w:jc w:val="center"/>
              <w:ind w:right="88"/>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8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400" w:type="dxa"/>
            <w:vAlign w:val="bottom"/>
            <w:tcBorders>
              <w:top w:val="single" w:sz="8" w:color="auto"/>
            </w:tcBorders>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ind w:right="50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9"/>
        </w:trPr>
        <w:tc>
          <w:tcPr>
            <w:tcW w:w="35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Financial Assets</w:t>
            </w:r>
          </w:p>
        </w:tc>
        <w:tc>
          <w:tcPr>
            <w:tcW w:w="120" w:type="dxa"/>
            <w:vAlign w:val="bottom"/>
            <w:tcBorders>
              <w:top w:val="single" w:sz="8" w:color="auto"/>
            </w:tcBorders>
            <w:shd w:val="clear" w:color="auto" w:fill="CCEEFF"/>
          </w:tcPr>
          <w:p>
            <w:pPr>
              <w:spacing w:after="0"/>
              <w:rPr>
                <w:sz w:val="16"/>
                <w:szCs w:val="16"/>
                <w:color w:val="auto"/>
              </w:rPr>
            </w:pPr>
          </w:p>
        </w:tc>
        <w:tc>
          <w:tcPr>
            <w:tcW w:w="13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13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134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140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340" w:type="dxa"/>
            <w:vAlign w:val="bottom"/>
            <w:tcBorders>
              <w:top w:val="single" w:sz="8" w:color="auto"/>
            </w:tcBorders>
            <w:shd w:val="clear" w:color="auto" w:fill="CCEEFF"/>
          </w:tcPr>
          <w:p>
            <w:pPr>
              <w:spacing w:after="0"/>
              <w:rPr>
                <w:sz w:val="16"/>
                <w:szCs w:val="16"/>
                <w:color w:val="auto"/>
              </w:rPr>
            </w:pPr>
          </w:p>
        </w:tc>
        <w:tc>
          <w:tcPr>
            <w:tcW w:w="114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350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Cash and due from banks</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35,072</w:t>
            </w:r>
          </w:p>
        </w:tc>
        <w:tc>
          <w:tcPr>
            <w:tcW w:w="1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35,072</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14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35,072</w:t>
            </w:r>
          </w:p>
        </w:tc>
        <w:tc>
          <w:tcPr>
            <w:tcW w:w="0" w:type="dxa"/>
            <w:vAlign w:val="bottom"/>
          </w:tcPr>
          <w:p>
            <w:pPr>
              <w:spacing w:after="0"/>
              <w:rPr>
                <w:sz w:val="1"/>
                <w:szCs w:val="1"/>
                <w:color w:val="auto"/>
              </w:rPr>
            </w:pPr>
          </w:p>
        </w:tc>
      </w:tr>
      <w:tr>
        <w:trPr>
          <w:trHeight w:val="210"/>
        </w:trPr>
        <w:tc>
          <w:tcPr>
            <w:tcW w:w="35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Interest-earning deposits with banks</w:t>
            </w: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176,848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176,848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176,848</w:t>
            </w:r>
          </w:p>
        </w:tc>
        <w:tc>
          <w:tcPr>
            <w:tcW w:w="0" w:type="dxa"/>
            <w:vAlign w:val="bottom"/>
          </w:tcPr>
          <w:p>
            <w:pPr>
              <w:spacing w:after="0"/>
              <w:rPr>
                <w:sz w:val="1"/>
                <w:szCs w:val="1"/>
                <w:color w:val="auto"/>
              </w:rPr>
            </w:pPr>
          </w:p>
        </w:tc>
      </w:tr>
      <w:tr>
        <w:trPr>
          <w:trHeight w:val="195"/>
        </w:trPr>
        <w:tc>
          <w:tcPr>
            <w:tcW w:w="350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Loans, net</w:t>
            </w:r>
          </w:p>
        </w:tc>
        <w:tc>
          <w:tcPr>
            <w:tcW w:w="12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5,548,707</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5,262,394</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5,262,394</w:t>
            </w:r>
          </w:p>
        </w:tc>
        <w:tc>
          <w:tcPr>
            <w:tcW w:w="0" w:type="dxa"/>
            <w:vAlign w:val="bottom"/>
          </w:tcPr>
          <w:p>
            <w:pPr>
              <w:spacing w:after="0"/>
              <w:rPr>
                <w:sz w:val="1"/>
                <w:szCs w:val="1"/>
                <w:color w:val="auto"/>
              </w:rPr>
            </w:pPr>
          </w:p>
        </w:tc>
      </w:tr>
      <w:tr>
        <w:trPr>
          <w:trHeight w:val="210"/>
        </w:trPr>
        <w:tc>
          <w:tcPr>
            <w:tcW w:w="35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Accrued interest</w:t>
            </w: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33,371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33,371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33,371</w:t>
            </w:r>
          </w:p>
        </w:tc>
        <w:tc>
          <w:tcPr>
            <w:tcW w:w="0" w:type="dxa"/>
            <w:vAlign w:val="bottom"/>
          </w:tcPr>
          <w:p>
            <w:pPr>
              <w:spacing w:after="0"/>
              <w:rPr>
                <w:sz w:val="1"/>
                <w:szCs w:val="1"/>
                <w:color w:val="auto"/>
              </w:rPr>
            </w:pPr>
          </w:p>
        </w:tc>
      </w:tr>
      <w:tr>
        <w:trPr>
          <w:trHeight w:val="270"/>
        </w:trPr>
        <w:tc>
          <w:tcPr>
            <w:tcW w:w="35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3"/>
        </w:trPr>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Financial Liabilities</w:t>
            </w:r>
          </w:p>
        </w:tc>
        <w:tc>
          <w:tcPr>
            <w:tcW w:w="12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350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Non-interest-bearing deposits</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1,397,030</w:t>
            </w:r>
          </w:p>
        </w:tc>
        <w:tc>
          <w:tcPr>
            <w:tcW w:w="1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1,397,030</w:t>
            </w:r>
          </w:p>
        </w:tc>
        <w:tc>
          <w:tcPr>
            <w:tcW w:w="8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1,397,030</w:t>
            </w:r>
          </w:p>
        </w:tc>
        <w:tc>
          <w:tcPr>
            <w:tcW w:w="0" w:type="dxa"/>
            <w:vAlign w:val="bottom"/>
          </w:tcPr>
          <w:p>
            <w:pPr>
              <w:spacing w:after="0"/>
              <w:rPr>
                <w:sz w:val="1"/>
                <w:szCs w:val="1"/>
                <w:color w:val="auto"/>
              </w:rPr>
            </w:pPr>
          </w:p>
        </w:tc>
      </w:tr>
      <w:tr>
        <w:trPr>
          <w:trHeight w:val="210"/>
        </w:trPr>
        <w:tc>
          <w:tcPr>
            <w:tcW w:w="35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Interest-bearing deposits</w:t>
            </w: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5,242,541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5,230,701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5,230,701</w:t>
            </w:r>
          </w:p>
        </w:tc>
        <w:tc>
          <w:tcPr>
            <w:tcW w:w="0" w:type="dxa"/>
            <w:vAlign w:val="bottom"/>
          </w:tcPr>
          <w:p>
            <w:pPr>
              <w:spacing w:after="0"/>
              <w:rPr>
                <w:sz w:val="1"/>
                <w:szCs w:val="1"/>
                <w:color w:val="auto"/>
              </w:rPr>
            </w:pPr>
          </w:p>
        </w:tc>
      </w:tr>
      <w:tr>
        <w:trPr>
          <w:trHeight w:val="195"/>
        </w:trPr>
        <w:tc>
          <w:tcPr>
            <w:tcW w:w="350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Short-term borrowings</w:t>
            </w:r>
          </w:p>
        </w:tc>
        <w:tc>
          <w:tcPr>
            <w:tcW w:w="12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285,161</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281,404</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281,404</w:t>
            </w:r>
          </w:p>
        </w:tc>
        <w:tc>
          <w:tcPr>
            <w:tcW w:w="0" w:type="dxa"/>
            <w:vAlign w:val="bottom"/>
          </w:tcPr>
          <w:p>
            <w:pPr>
              <w:spacing w:after="0"/>
              <w:rPr>
                <w:sz w:val="1"/>
                <w:szCs w:val="1"/>
                <w:color w:val="auto"/>
              </w:rPr>
            </w:pPr>
          </w:p>
        </w:tc>
      </w:tr>
      <w:tr>
        <w:trPr>
          <w:trHeight w:val="210"/>
        </w:trPr>
        <w:tc>
          <w:tcPr>
            <w:tcW w:w="35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Subordinated debentures, net</w:t>
            </w: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92,178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92,178</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92,178</w:t>
            </w:r>
          </w:p>
        </w:tc>
        <w:tc>
          <w:tcPr>
            <w:tcW w:w="0" w:type="dxa"/>
            <w:vAlign w:val="bottom"/>
          </w:tcPr>
          <w:p>
            <w:pPr>
              <w:spacing w:after="0"/>
              <w:rPr>
                <w:sz w:val="1"/>
                <w:szCs w:val="1"/>
                <w:color w:val="auto"/>
              </w:rPr>
            </w:pPr>
          </w:p>
        </w:tc>
      </w:tr>
      <w:tr>
        <w:trPr>
          <w:trHeight w:val="135"/>
        </w:trPr>
        <w:tc>
          <w:tcPr>
            <w:tcW w:w="3500" w:type="dxa"/>
            <w:vAlign w:val="bottom"/>
          </w:tcPr>
          <w:p>
            <w:pPr>
              <w:ind w:left="240"/>
              <w:spacing w:after="0" w:line="135" w:lineRule="exact"/>
              <w:rPr>
                <w:sz w:val="20"/>
                <w:szCs w:val="20"/>
                <w:color w:val="auto"/>
              </w:rPr>
            </w:pPr>
            <w:r>
              <w:rPr>
                <w:rFonts w:ascii="Times New Roman" w:cs="Times New Roman" w:eastAsia="Times New Roman" w:hAnsi="Times New Roman"/>
                <w:sz w:val="14"/>
                <w:szCs w:val="14"/>
                <w:color w:val="auto"/>
              </w:rPr>
              <w:t>Subordinated debentures owed to unconsolidated</w:t>
            </w:r>
          </w:p>
        </w:tc>
        <w:tc>
          <w:tcPr>
            <w:tcW w:w="120" w:type="dxa"/>
            <w:vAlign w:val="bottom"/>
          </w:tcPr>
          <w:p>
            <w:pPr>
              <w:spacing w:after="0"/>
              <w:rPr>
                <w:sz w:val="11"/>
                <w:szCs w:val="11"/>
                <w:color w:val="auto"/>
              </w:rPr>
            </w:pP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16,886</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16,886</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1"/>
                <w:szCs w:val="11"/>
                <w:color w:val="auto"/>
              </w:rPr>
            </w:pP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16,886</w:t>
            </w:r>
          </w:p>
        </w:tc>
        <w:tc>
          <w:tcPr>
            <w:tcW w:w="0" w:type="dxa"/>
            <w:vAlign w:val="bottom"/>
          </w:tcPr>
          <w:p>
            <w:pPr>
              <w:spacing w:after="0"/>
              <w:rPr>
                <w:sz w:val="1"/>
                <w:szCs w:val="1"/>
                <w:color w:val="auto"/>
              </w:rPr>
            </w:pPr>
          </w:p>
        </w:tc>
      </w:tr>
      <w:tr>
        <w:trPr>
          <w:trHeight w:val="195"/>
        </w:trPr>
        <w:tc>
          <w:tcPr>
            <w:tcW w:w="350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subsidiary trusts</w:t>
            </w:r>
          </w:p>
        </w:tc>
        <w:tc>
          <w:tcPr>
            <w:tcW w:w="120" w:type="dxa"/>
            <w:vAlign w:val="bottom"/>
          </w:tcPr>
          <w:p>
            <w:pPr>
              <w:spacing w:after="0"/>
              <w:rPr>
                <w:sz w:val="16"/>
                <w:szCs w:val="16"/>
                <w:color w:val="auto"/>
              </w:rPr>
            </w:pPr>
          </w:p>
        </w:tc>
        <w:tc>
          <w:tcPr>
            <w:tcW w:w="13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gridSpan w:val="2"/>
            <w:vMerge w:val="continue"/>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35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Accrued interest</w:t>
            </w: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7,476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7,476</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7,476</w:t>
            </w:r>
          </w:p>
        </w:tc>
        <w:tc>
          <w:tcPr>
            <w:tcW w:w="0" w:type="dxa"/>
            <w:vAlign w:val="bottom"/>
          </w:tcPr>
          <w:p>
            <w:pPr>
              <w:spacing w:after="0"/>
              <w:rPr>
                <w:sz w:val="1"/>
                <w:szCs w:val="1"/>
                <w:color w:val="auto"/>
              </w:rPr>
            </w:pPr>
          </w:p>
        </w:tc>
      </w:tr>
      <w:tr>
        <w:trPr>
          <w:trHeight w:val="449"/>
        </w:trPr>
        <w:tc>
          <w:tcPr>
            <w:tcW w:w="3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920" w:type="dxa"/>
            <w:vAlign w:val="bottom"/>
            <w:gridSpan w:val="9"/>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Fair Value Measurements at December 31, 2023, Using:</w:t>
            </w: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3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9"/>
        </w:trPr>
        <w:tc>
          <w:tcPr>
            <w:tcW w:w="3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Quoted Prices in</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2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Significant Other</w:t>
            </w:r>
          </w:p>
        </w:tc>
        <w:tc>
          <w:tcPr>
            <w:tcW w:w="100" w:type="dxa"/>
            <w:vAlign w:val="bottom"/>
          </w:tcPr>
          <w:p>
            <w:pPr>
              <w:spacing w:after="0"/>
              <w:rPr>
                <w:sz w:val="24"/>
                <w:szCs w:val="24"/>
                <w:color w:val="auto"/>
              </w:rPr>
            </w:pPr>
          </w:p>
        </w:tc>
        <w:tc>
          <w:tcPr>
            <w:tcW w:w="148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3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tcPr>
          <w:p>
            <w:pPr>
              <w:jc w:val="center"/>
              <w:ind w:right="48"/>
              <w:spacing w:after="0" w:line="149" w:lineRule="exact"/>
              <w:rPr>
                <w:sz w:val="20"/>
                <w:szCs w:val="20"/>
                <w:color w:val="auto"/>
              </w:rPr>
            </w:pPr>
            <w:r>
              <w:rPr>
                <w:rFonts w:ascii="Times New Roman" w:cs="Times New Roman" w:eastAsia="Times New Roman" w:hAnsi="Times New Roman"/>
                <w:sz w:val="14"/>
                <w:szCs w:val="14"/>
                <w:b w:val="1"/>
                <w:bCs w:val="1"/>
                <w:color w:val="auto"/>
              </w:rPr>
              <w:t>Active Markets for</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gridSpan w:val="2"/>
            <w:vMerge w:val="continue"/>
          </w:tcPr>
          <w:p>
            <w:pPr>
              <w:spacing w:after="0"/>
              <w:rPr>
                <w:sz w:val="12"/>
                <w:szCs w:val="12"/>
                <w:color w:val="auto"/>
              </w:rPr>
            </w:pPr>
          </w:p>
        </w:tc>
        <w:tc>
          <w:tcPr>
            <w:tcW w:w="3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3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Identical Assets</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Observable Inputs</w:t>
            </w:r>
          </w:p>
        </w:tc>
        <w:tc>
          <w:tcPr>
            <w:tcW w:w="100" w:type="dxa"/>
            <w:vAlign w:val="bottom"/>
          </w:tcPr>
          <w:p>
            <w:pPr>
              <w:spacing w:after="0"/>
              <w:rPr>
                <w:sz w:val="16"/>
                <w:szCs w:val="16"/>
                <w:color w:val="auto"/>
              </w:rPr>
            </w:pPr>
          </w:p>
        </w:tc>
        <w:tc>
          <w:tcPr>
            <w:tcW w:w="148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Unobservable Inputs</w:t>
            </w: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3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4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Carrying Amount</w:t>
            </w:r>
          </w:p>
        </w:tc>
        <w:tc>
          <w:tcPr>
            <w:tcW w:w="120" w:type="dxa"/>
            <w:vAlign w:val="bottom"/>
            <w:tcBorders>
              <w:top w:val="single" w:sz="8" w:color="auto"/>
            </w:tcBorders>
          </w:tcPr>
          <w:p>
            <w:pPr>
              <w:spacing w:after="0"/>
              <w:rPr>
                <w:sz w:val="17"/>
                <w:szCs w:val="17"/>
                <w:color w:val="auto"/>
              </w:rPr>
            </w:pPr>
          </w:p>
        </w:tc>
        <w:tc>
          <w:tcPr>
            <w:tcW w:w="1340" w:type="dxa"/>
            <w:vAlign w:val="bottom"/>
            <w:tcBorders>
              <w:top w:val="single" w:sz="8" w:color="auto"/>
            </w:tcBorders>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340" w:type="dxa"/>
            <w:vAlign w:val="bottom"/>
            <w:tcBorders>
              <w:top w:val="single" w:sz="8" w:color="auto"/>
            </w:tcBorders>
          </w:tcPr>
          <w:p>
            <w:pPr>
              <w:jc w:val="center"/>
              <w:ind w:right="88"/>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8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400" w:type="dxa"/>
            <w:vAlign w:val="bottom"/>
            <w:tcBorders>
              <w:top w:val="single" w:sz="8" w:color="auto"/>
            </w:tcBorders>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ind w:right="50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9"/>
        </w:trPr>
        <w:tc>
          <w:tcPr>
            <w:tcW w:w="35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Financial Assets</w:t>
            </w:r>
          </w:p>
        </w:tc>
        <w:tc>
          <w:tcPr>
            <w:tcW w:w="120" w:type="dxa"/>
            <w:vAlign w:val="bottom"/>
            <w:tcBorders>
              <w:top w:val="single" w:sz="8" w:color="auto"/>
            </w:tcBorders>
            <w:shd w:val="clear" w:color="auto" w:fill="CCEEFF"/>
          </w:tcPr>
          <w:p>
            <w:pPr>
              <w:spacing w:after="0"/>
              <w:rPr>
                <w:sz w:val="16"/>
                <w:szCs w:val="16"/>
                <w:color w:val="auto"/>
              </w:rPr>
            </w:pPr>
          </w:p>
        </w:tc>
        <w:tc>
          <w:tcPr>
            <w:tcW w:w="13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13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134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140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340" w:type="dxa"/>
            <w:vAlign w:val="bottom"/>
            <w:tcBorders>
              <w:top w:val="single" w:sz="8" w:color="auto"/>
            </w:tcBorders>
            <w:shd w:val="clear" w:color="auto" w:fill="CCEEFF"/>
          </w:tcPr>
          <w:p>
            <w:pPr>
              <w:spacing w:after="0"/>
              <w:rPr>
                <w:sz w:val="16"/>
                <w:szCs w:val="16"/>
                <w:color w:val="auto"/>
              </w:rPr>
            </w:pPr>
          </w:p>
        </w:tc>
        <w:tc>
          <w:tcPr>
            <w:tcW w:w="114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350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Cash and due from banks</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8,896</w:t>
            </w:r>
          </w:p>
        </w:tc>
        <w:tc>
          <w:tcPr>
            <w:tcW w:w="1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8,896</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14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8,896</w:t>
            </w:r>
          </w:p>
        </w:tc>
        <w:tc>
          <w:tcPr>
            <w:tcW w:w="0" w:type="dxa"/>
            <w:vAlign w:val="bottom"/>
          </w:tcPr>
          <w:p>
            <w:pPr>
              <w:spacing w:after="0"/>
              <w:rPr>
                <w:sz w:val="1"/>
                <w:szCs w:val="1"/>
                <w:color w:val="auto"/>
              </w:rPr>
            </w:pPr>
          </w:p>
        </w:tc>
      </w:tr>
      <w:tr>
        <w:trPr>
          <w:trHeight w:val="210"/>
        </w:trPr>
        <w:tc>
          <w:tcPr>
            <w:tcW w:w="35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Interest-bearing deposits with banks</w:t>
            </w: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35,602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35,602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35,602</w:t>
            </w:r>
          </w:p>
        </w:tc>
        <w:tc>
          <w:tcPr>
            <w:tcW w:w="0" w:type="dxa"/>
            <w:vAlign w:val="bottom"/>
          </w:tcPr>
          <w:p>
            <w:pPr>
              <w:spacing w:after="0"/>
              <w:rPr>
                <w:sz w:val="1"/>
                <w:szCs w:val="1"/>
                <w:color w:val="auto"/>
              </w:rPr>
            </w:pPr>
          </w:p>
        </w:tc>
      </w:tr>
      <w:tr>
        <w:trPr>
          <w:trHeight w:val="195"/>
        </w:trPr>
        <w:tc>
          <w:tcPr>
            <w:tcW w:w="350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Loans, net</w:t>
            </w:r>
          </w:p>
        </w:tc>
        <w:tc>
          <w:tcPr>
            <w:tcW w:w="12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2,062,455</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1,897,459</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1,897,459</w:t>
            </w:r>
          </w:p>
        </w:tc>
        <w:tc>
          <w:tcPr>
            <w:tcW w:w="0" w:type="dxa"/>
            <w:vAlign w:val="bottom"/>
          </w:tcPr>
          <w:p>
            <w:pPr>
              <w:spacing w:after="0"/>
              <w:rPr>
                <w:sz w:val="1"/>
                <w:szCs w:val="1"/>
                <w:color w:val="auto"/>
              </w:rPr>
            </w:pPr>
          </w:p>
        </w:tc>
      </w:tr>
      <w:tr>
        <w:trPr>
          <w:trHeight w:val="210"/>
        </w:trPr>
        <w:tc>
          <w:tcPr>
            <w:tcW w:w="35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Accrued interest</w:t>
            </w: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15,895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15,895</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15,895</w:t>
            </w:r>
          </w:p>
        </w:tc>
        <w:tc>
          <w:tcPr>
            <w:tcW w:w="0" w:type="dxa"/>
            <w:vAlign w:val="bottom"/>
          </w:tcPr>
          <w:p>
            <w:pPr>
              <w:spacing w:after="0"/>
              <w:rPr>
                <w:sz w:val="1"/>
                <w:szCs w:val="1"/>
                <w:color w:val="auto"/>
              </w:rPr>
            </w:pPr>
          </w:p>
        </w:tc>
      </w:tr>
      <w:tr>
        <w:trPr>
          <w:trHeight w:val="270"/>
        </w:trPr>
        <w:tc>
          <w:tcPr>
            <w:tcW w:w="35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3"/>
        </w:trPr>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Financial Liabilities</w:t>
            </w:r>
          </w:p>
        </w:tc>
        <w:tc>
          <w:tcPr>
            <w:tcW w:w="12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350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Non-interest-bearing deposits</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830,320</w:t>
            </w:r>
          </w:p>
        </w:tc>
        <w:tc>
          <w:tcPr>
            <w:tcW w:w="1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830,320</w:t>
            </w:r>
          </w:p>
        </w:tc>
        <w:tc>
          <w:tcPr>
            <w:tcW w:w="8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830,320</w:t>
            </w:r>
          </w:p>
        </w:tc>
        <w:tc>
          <w:tcPr>
            <w:tcW w:w="0" w:type="dxa"/>
            <w:vAlign w:val="bottom"/>
          </w:tcPr>
          <w:p>
            <w:pPr>
              <w:spacing w:after="0"/>
              <w:rPr>
                <w:sz w:val="1"/>
                <w:szCs w:val="1"/>
                <w:color w:val="auto"/>
              </w:rPr>
            </w:pPr>
          </w:p>
        </w:tc>
      </w:tr>
      <w:tr>
        <w:trPr>
          <w:trHeight w:val="210"/>
        </w:trPr>
        <w:tc>
          <w:tcPr>
            <w:tcW w:w="35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Interest-bearing deposits</w:t>
            </w: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2,171,561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2,167,218</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2,167,218</w:t>
            </w:r>
          </w:p>
        </w:tc>
        <w:tc>
          <w:tcPr>
            <w:tcW w:w="0" w:type="dxa"/>
            <w:vAlign w:val="bottom"/>
          </w:tcPr>
          <w:p>
            <w:pPr>
              <w:spacing w:after="0"/>
              <w:rPr>
                <w:sz w:val="1"/>
                <w:szCs w:val="1"/>
                <w:color w:val="auto"/>
              </w:rPr>
            </w:pPr>
          </w:p>
        </w:tc>
      </w:tr>
      <w:tr>
        <w:trPr>
          <w:trHeight w:val="195"/>
        </w:trPr>
        <w:tc>
          <w:tcPr>
            <w:tcW w:w="350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Short-term borrowings</w:t>
            </w:r>
          </w:p>
        </w:tc>
        <w:tc>
          <w:tcPr>
            <w:tcW w:w="12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272,000</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271,716</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271,716</w:t>
            </w:r>
          </w:p>
        </w:tc>
        <w:tc>
          <w:tcPr>
            <w:tcW w:w="0" w:type="dxa"/>
            <w:vAlign w:val="bottom"/>
          </w:tcPr>
          <w:p>
            <w:pPr>
              <w:spacing w:after="0"/>
              <w:rPr>
                <w:sz w:val="1"/>
                <w:szCs w:val="1"/>
                <w:color w:val="auto"/>
              </w:rPr>
            </w:pPr>
          </w:p>
        </w:tc>
      </w:tr>
      <w:tr>
        <w:trPr>
          <w:trHeight w:val="210"/>
        </w:trPr>
        <w:tc>
          <w:tcPr>
            <w:tcW w:w="35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Accrued interest</w:t>
            </w: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8,954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8,954</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8,954</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Accumulated Other Comprehensive Income (Loss)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changes in accumulated other comprehensive income (loss) by component, net of tax, for the three and six months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30, 2024, and June 30, 2023 (in thousands):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0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040" w:type="dxa"/>
            <w:vAlign w:val="bottom"/>
            <w:tcBorders>
              <w:bottom w:val="single" w:sz="8" w:color="auto"/>
            </w:tcBorders>
            <w:gridSpan w:val="5"/>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Three months ended June 30, 2024</w:t>
            </w:r>
          </w:p>
        </w:tc>
        <w:tc>
          <w:tcPr>
            <w:tcW w:w="1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5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60" w:type="dxa"/>
            <w:vAlign w:val="bottom"/>
            <w:gridSpan w:val="2"/>
          </w:tcPr>
          <w:p>
            <w:pPr>
              <w:jc w:val="center"/>
              <w:ind w:right="180"/>
              <w:spacing w:after="0" w:line="158" w:lineRule="exact"/>
              <w:rPr>
                <w:sz w:val="20"/>
                <w:szCs w:val="20"/>
                <w:color w:val="auto"/>
              </w:rPr>
            </w:pPr>
            <w:r>
              <w:rPr>
                <w:rFonts w:ascii="Times New Roman" w:cs="Times New Roman" w:eastAsia="Times New Roman" w:hAnsi="Times New Roman"/>
                <w:sz w:val="16"/>
                <w:szCs w:val="16"/>
                <w:b w:val="1"/>
                <w:bCs w:val="1"/>
                <w:color w:val="auto"/>
              </w:rPr>
              <w:t>Unrealized Gains</w:t>
            </w:r>
          </w:p>
        </w:tc>
        <w:tc>
          <w:tcPr>
            <w:tcW w:w="16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Accumulated Other</w:t>
            </w:r>
          </w:p>
        </w:tc>
        <w:tc>
          <w:tcPr>
            <w:tcW w:w="0" w:type="dxa"/>
            <w:vAlign w:val="bottom"/>
          </w:tcPr>
          <w:p>
            <w:pPr>
              <w:spacing w:after="0"/>
              <w:rPr>
                <w:sz w:val="1"/>
                <w:szCs w:val="1"/>
                <w:color w:val="auto"/>
              </w:rPr>
            </w:pPr>
          </w:p>
        </w:tc>
      </w:tr>
      <w:tr>
        <w:trPr>
          <w:trHeight w:val="162"/>
        </w:trPr>
        <w:tc>
          <w:tcPr>
            <w:tcW w:w="5040" w:type="dxa"/>
            <w:vAlign w:val="bottom"/>
          </w:tcPr>
          <w:p>
            <w:pPr>
              <w:spacing w:after="0"/>
              <w:rPr>
                <w:sz w:val="14"/>
                <w:szCs w:val="14"/>
                <w:color w:val="auto"/>
              </w:rPr>
            </w:pPr>
          </w:p>
        </w:tc>
        <w:tc>
          <w:tcPr>
            <w:tcW w:w="1560" w:type="dxa"/>
            <w:vAlign w:val="bottom"/>
            <w:gridSpan w:val="3"/>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Gains and Losses on</w:t>
            </w:r>
          </w:p>
        </w:tc>
        <w:tc>
          <w:tcPr>
            <w:tcW w:w="120" w:type="dxa"/>
            <w:vAlign w:val="bottom"/>
          </w:tcPr>
          <w:p>
            <w:pPr>
              <w:spacing w:after="0"/>
              <w:rPr>
                <w:sz w:val="14"/>
                <w:szCs w:val="14"/>
                <w:color w:val="auto"/>
              </w:rPr>
            </w:pPr>
          </w:p>
        </w:tc>
        <w:tc>
          <w:tcPr>
            <w:tcW w:w="1460" w:type="dxa"/>
            <w:vAlign w:val="bottom"/>
            <w:gridSpan w:val="2"/>
          </w:tcPr>
          <w:p>
            <w:pPr>
              <w:jc w:val="center"/>
              <w:ind w:right="180"/>
              <w:spacing w:after="0" w:line="162" w:lineRule="exact"/>
              <w:rPr>
                <w:sz w:val="20"/>
                <w:szCs w:val="20"/>
                <w:color w:val="auto"/>
              </w:rPr>
            </w:pPr>
            <w:r>
              <w:rPr>
                <w:rFonts w:ascii="Times New Roman" w:cs="Times New Roman" w:eastAsia="Times New Roman" w:hAnsi="Times New Roman"/>
                <w:sz w:val="16"/>
                <w:szCs w:val="16"/>
                <w:b w:val="1"/>
                <w:bCs w:val="1"/>
                <w:color w:val="auto"/>
              </w:rPr>
              <w:t>and Losses on</w:t>
            </w:r>
          </w:p>
        </w:tc>
        <w:tc>
          <w:tcPr>
            <w:tcW w:w="160" w:type="dxa"/>
            <w:vAlign w:val="bottom"/>
          </w:tcPr>
          <w:p>
            <w:pPr>
              <w:spacing w:after="0"/>
              <w:rPr>
                <w:sz w:val="14"/>
                <w:szCs w:val="14"/>
                <w:color w:val="auto"/>
              </w:rPr>
            </w:pPr>
          </w:p>
        </w:tc>
        <w:tc>
          <w:tcPr>
            <w:tcW w:w="142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Defined Benefit</w:t>
            </w:r>
          </w:p>
        </w:tc>
        <w:tc>
          <w:tcPr>
            <w:tcW w:w="14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040" w:type="dxa"/>
            <w:vAlign w:val="bottom"/>
          </w:tcPr>
          <w:p>
            <w:pPr>
              <w:spacing w:after="0"/>
              <w:rPr>
                <w:sz w:val="14"/>
                <w:szCs w:val="14"/>
                <w:color w:val="auto"/>
              </w:rPr>
            </w:pPr>
          </w:p>
        </w:tc>
        <w:tc>
          <w:tcPr>
            <w:tcW w:w="1560" w:type="dxa"/>
            <w:vAlign w:val="bottom"/>
            <w:gridSpan w:val="3"/>
            <w:vMerge w:val="continue"/>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gridSpan w:val="2"/>
          </w:tcPr>
          <w:p>
            <w:pPr>
              <w:jc w:val="center"/>
              <w:ind w:right="180"/>
              <w:spacing w:after="0" w:line="162" w:lineRule="exact"/>
              <w:rPr>
                <w:sz w:val="20"/>
                <w:szCs w:val="20"/>
                <w:color w:val="auto"/>
              </w:rPr>
            </w:pPr>
            <w:r>
              <w:rPr>
                <w:rFonts w:ascii="Times New Roman" w:cs="Times New Roman" w:eastAsia="Times New Roman" w:hAnsi="Times New Roman"/>
                <w:sz w:val="16"/>
                <w:szCs w:val="16"/>
                <w:b w:val="1"/>
                <w:bCs w:val="1"/>
                <w:color w:val="auto"/>
                <w:w w:val="99"/>
              </w:rPr>
              <w:t>Available-for-Sale</w:t>
            </w:r>
          </w:p>
        </w:tc>
        <w:tc>
          <w:tcPr>
            <w:tcW w:w="160" w:type="dxa"/>
            <w:vAlign w:val="bottom"/>
          </w:tcPr>
          <w:p>
            <w:pPr>
              <w:spacing w:after="0"/>
              <w:rPr>
                <w:sz w:val="14"/>
                <w:szCs w:val="14"/>
                <w:color w:val="auto"/>
              </w:rPr>
            </w:pPr>
          </w:p>
        </w:tc>
        <w:tc>
          <w:tcPr>
            <w:tcW w:w="142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340" w:type="dxa"/>
            <w:vAlign w:val="bottom"/>
          </w:tcPr>
          <w:p>
            <w:pPr>
              <w:jc w:val="center"/>
              <w:ind w:right="59"/>
              <w:spacing w:after="0" w:line="162" w:lineRule="exact"/>
              <w:rPr>
                <w:sz w:val="20"/>
                <w:szCs w:val="20"/>
                <w:color w:val="auto"/>
              </w:rPr>
            </w:pPr>
            <w:r>
              <w:rPr>
                <w:rFonts w:ascii="Times New Roman" w:cs="Times New Roman" w:eastAsia="Times New Roman" w:hAnsi="Times New Roman"/>
                <w:sz w:val="16"/>
                <w:szCs w:val="16"/>
                <w:b w:val="1"/>
                <w:bCs w:val="1"/>
                <w:color w:val="auto"/>
              </w:rPr>
              <w:t>Comprehensive</w:t>
            </w:r>
          </w:p>
        </w:tc>
        <w:tc>
          <w:tcPr>
            <w:tcW w:w="0" w:type="dxa"/>
            <w:vAlign w:val="bottom"/>
          </w:tcPr>
          <w:p>
            <w:pPr>
              <w:spacing w:after="0"/>
              <w:rPr>
                <w:sz w:val="1"/>
                <w:szCs w:val="1"/>
                <w:color w:val="auto"/>
              </w:rPr>
            </w:pPr>
          </w:p>
        </w:tc>
      </w:tr>
      <w:tr>
        <w:trPr>
          <w:trHeight w:val="214"/>
        </w:trPr>
        <w:tc>
          <w:tcPr>
            <w:tcW w:w="5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Cash Flow Hedges</w:t>
            </w:r>
          </w:p>
        </w:tc>
        <w:tc>
          <w:tcPr>
            <w:tcW w:w="120" w:type="dxa"/>
            <w:vAlign w:val="bottom"/>
          </w:tcPr>
          <w:p>
            <w:pPr>
              <w:spacing w:after="0"/>
              <w:rPr>
                <w:sz w:val="18"/>
                <w:szCs w:val="18"/>
                <w:color w:val="auto"/>
              </w:rPr>
            </w:pPr>
          </w:p>
        </w:tc>
        <w:tc>
          <w:tcPr>
            <w:tcW w:w="146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8"/>
              </w:rPr>
              <w:t>Securities</w:t>
            </w:r>
          </w:p>
        </w:tc>
        <w:tc>
          <w:tcPr>
            <w:tcW w:w="160" w:type="dxa"/>
            <w:vAlign w:val="bottom"/>
          </w:tcPr>
          <w:p>
            <w:pPr>
              <w:spacing w:after="0"/>
              <w:rPr>
                <w:sz w:val="18"/>
                <w:szCs w:val="18"/>
                <w:color w:val="auto"/>
              </w:rPr>
            </w:pPr>
          </w:p>
        </w:tc>
        <w:tc>
          <w:tcPr>
            <w:tcW w:w="142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Pension Items</w:t>
            </w:r>
          </w:p>
        </w:tc>
        <w:tc>
          <w:tcPr>
            <w:tcW w:w="140" w:type="dxa"/>
            <w:vAlign w:val="bottom"/>
          </w:tcPr>
          <w:p>
            <w:pPr>
              <w:spacing w:after="0"/>
              <w:rPr>
                <w:sz w:val="18"/>
                <w:szCs w:val="18"/>
                <w:color w:val="auto"/>
              </w:rPr>
            </w:pPr>
          </w:p>
        </w:tc>
        <w:tc>
          <w:tcPr>
            <w:tcW w:w="1340" w:type="dxa"/>
            <w:vAlign w:val="bottom"/>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Income</w:t>
            </w:r>
          </w:p>
        </w:tc>
        <w:tc>
          <w:tcPr>
            <w:tcW w:w="0" w:type="dxa"/>
            <w:vAlign w:val="bottom"/>
          </w:tcPr>
          <w:p>
            <w:pPr>
              <w:spacing w:after="0"/>
              <w:rPr>
                <w:sz w:val="1"/>
                <w:szCs w:val="1"/>
                <w:color w:val="auto"/>
              </w:rPr>
            </w:pPr>
          </w:p>
        </w:tc>
      </w:tr>
      <w:tr>
        <w:trPr>
          <w:trHeight w:val="211"/>
        </w:trPr>
        <w:tc>
          <w:tcPr>
            <w:tcW w:w="50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Beginning Balance</w:t>
            </w:r>
          </w:p>
        </w:tc>
        <w:tc>
          <w:tcPr>
            <w:tcW w:w="1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74"/>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2,523</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(97,732)</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top w:val="single" w:sz="8" w:color="auto"/>
            </w:tcBorders>
            <w:shd w:val="clear" w:color="auto" w:fill="CCEEFF"/>
          </w:tcPr>
          <w:p>
            <w:pPr>
              <w:ind w:left="820"/>
              <w:spacing w:after="0"/>
              <w:rPr>
                <w:sz w:val="20"/>
                <w:szCs w:val="20"/>
                <w:color w:val="auto"/>
              </w:rPr>
            </w:pPr>
            <w:r>
              <w:rPr>
                <w:rFonts w:ascii="Times New Roman" w:cs="Times New Roman" w:eastAsia="Times New Roman" w:hAnsi="Times New Roman"/>
                <w:sz w:val="16"/>
                <w:szCs w:val="16"/>
                <w:color w:val="auto"/>
              </w:rPr>
              <w:t>(5,745)</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(100,954)</w:t>
            </w:r>
          </w:p>
        </w:tc>
        <w:tc>
          <w:tcPr>
            <w:tcW w:w="0" w:type="dxa"/>
            <w:vAlign w:val="bottom"/>
          </w:tcPr>
          <w:p>
            <w:pPr>
              <w:spacing w:after="0"/>
              <w:rPr>
                <w:sz w:val="1"/>
                <w:szCs w:val="1"/>
                <w:color w:val="auto"/>
              </w:rPr>
            </w:pPr>
          </w:p>
        </w:tc>
      </w:tr>
      <w:tr>
        <w:trPr>
          <w:trHeight w:val="213"/>
        </w:trPr>
        <w:tc>
          <w:tcPr>
            <w:tcW w:w="50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Net unrealized gains (losses)</w:t>
            </w:r>
          </w:p>
        </w:tc>
        <w:tc>
          <w:tcPr>
            <w:tcW w:w="1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894</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833</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ind w:left="11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1,727</w:t>
            </w:r>
          </w:p>
        </w:tc>
        <w:tc>
          <w:tcPr>
            <w:tcW w:w="0" w:type="dxa"/>
            <w:vAlign w:val="bottom"/>
          </w:tcPr>
          <w:p>
            <w:pPr>
              <w:spacing w:after="0"/>
              <w:rPr>
                <w:sz w:val="1"/>
                <w:szCs w:val="1"/>
                <w:color w:val="auto"/>
              </w:rPr>
            </w:pPr>
          </w:p>
        </w:tc>
      </w:tr>
      <w:tr>
        <w:trPr>
          <w:trHeight w:val="219"/>
        </w:trPr>
        <w:tc>
          <w:tcPr>
            <w:tcW w:w="50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Less: net realized (gains) losses reclassified to earnings</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(687)</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(516)</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ind w:left="11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(1,203)</w:t>
            </w:r>
          </w:p>
        </w:tc>
        <w:tc>
          <w:tcPr>
            <w:tcW w:w="0" w:type="dxa"/>
            <w:vAlign w:val="bottom"/>
          </w:tcPr>
          <w:p>
            <w:pPr>
              <w:spacing w:after="0"/>
              <w:rPr>
                <w:sz w:val="1"/>
                <w:szCs w:val="1"/>
                <w:color w:val="auto"/>
              </w:rPr>
            </w:pPr>
          </w:p>
        </w:tc>
      </w:tr>
      <w:tr>
        <w:trPr>
          <w:trHeight w:val="213"/>
        </w:trPr>
        <w:tc>
          <w:tcPr>
            <w:tcW w:w="50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Net change in pension plan benefits</w:t>
            </w:r>
          </w:p>
        </w:tc>
        <w:tc>
          <w:tcPr>
            <w:tcW w:w="100" w:type="dxa"/>
            <w:vAlign w:val="bottom"/>
          </w:tcPr>
          <w:p>
            <w:pPr>
              <w:spacing w:after="0"/>
              <w:rPr>
                <w:sz w:val="18"/>
                <w:szCs w:val="18"/>
                <w:color w:val="auto"/>
              </w:rPr>
            </w:pPr>
          </w:p>
        </w:tc>
        <w:tc>
          <w:tcPr>
            <w:tcW w:w="14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4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420" w:type="dxa"/>
            <w:vAlign w:val="bottom"/>
            <w:gridSpan w:val="2"/>
          </w:tcPr>
          <w:p>
            <w:pPr>
              <w:ind w:left="11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9"/>
        </w:trPr>
        <w:tc>
          <w:tcPr>
            <w:tcW w:w="50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Ending Balance</w:t>
            </w:r>
          </w:p>
        </w:tc>
        <w:tc>
          <w:tcPr>
            <w:tcW w:w="10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74"/>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2,730</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(97,415)</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top w:val="single" w:sz="8" w:color="auto"/>
              <w:bottom w:val="single" w:sz="8" w:color="auto"/>
            </w:tcBorders>
            <w:shd w:val="clear" w:color="auto" w:fill="CCEEFF"/>
          </w:tcPr>
          <w:p>
            <w:pPr>
              <w:ind w:left="820"/>
              <w:spacing w:after="0"/>
              <w:rPr>
                <w:sz w:val="20"/>
                <w:szCs w:val="20"/>
                <w:color w:val="auto"/>
              </w:rPr>
            </w:pPr>
            <w:r>
              <w:rPr>
                <w:rFonts w:ascii="Times New Roman" w:cs="Times New Roman" w:eastAsia="Times New Roman" w:hAnsi="Times New Roman"/>
                <w:sz w:val="16"/>
                <w:szCs w:val="16"/>
                <w:color w:val="auto"/>
              </w:rPr>
              <w:t>(5,745)</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(100,430)</w:t>
            </w:r>
          </w:p>
        </w:tc>
        <w:tc>
          <w:tcPr>
            <w:tcW w:w="0" w:type="dxa"/>
            <w:vAlign w:val="bottom"/>
          </w:tcPr>
          <w:p>
            <w:pPr>
              <w:spacing w:after="0"/>
              <w:rPr>
                <w:sz w:val="1"/>
                <w:szCs w:val="1"/>
                <w:color w:val="auto"/>
              </w:rPr>
            </w:pPr>
          </w:p>
        </w:tc>
      </w:tr>
      <w:tr>
        <w:trPr>
          <w:trHeight w:val="466"/>
        </w:trPr>
        <w:tc>
          <w:tcPr>
            <w:tcW w:w="504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040" w:type="dxa"/>
            <w:vAlign w:val="bottom"/>
            <w:tcBorders>
              <w:bottom w:val="single" w:sz="8" w:color="auto"/>
            </w:tcBorders>
            <w:gridSpan w:val="5"/>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Three months ended June 30, 2023</w:t>
            </w:r>
          </w:p>
        </w:tc>
        <w:tc>
          <w:tcPr>
            <w:tcW w:w="14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8"/>
        </w:trPr>
        <w:tc>
          <w:tcPr>
            <w:tcW w:w="5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60" w:type="dxa"/>
            <w:vAlign w:val="bottom"/>
            <w:gridSpan w:val="2"/>
          </w:tcPr>
          <w:p>
            <w:pPr>
              <w:jc w:val="center"/>
              <w:ind w:right="180"/>
              <w:spacing w:after="0" w:line="158" w:lineRule="exact"/>
              <w:rPr>
                <w:sz w:val="20"/>
                <w:szCs w:val="20"/>
                <w:color w:val="auto"/>
              </w:rPr>
            </w:pPr>
            <w:r>
              <w:rPr>
                <w:rFonts w:ascii="Times New Roman" w:cs="Times New Roman" w:eastAsia="Times New Roman" w:hAnsi="Times New Roman"/>
                <w:sz w:val="16"/>
                <w:szCs w:val="16"/>
                <w:b w:val="1"/>
                <w:bCs w:val="1"/>
                <w:color w:val="auto"/>
              </w:rPr>
              <w:t>Unrealized Gains</w:t>
            </w:r>
          </w:p>
        </w:tc>
        <w:tc>
          <w:tcPr>
            <w:tcW w:w="16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Accumulated Other</w:t>
            </w:r>
          </w:p>
        </w:tc>
        <w:tc>
          <w:tcPr>
            <w:tcW w:w="0" w:type="dxa"/>
            <w:vAlign w:val="bottom"/>
          </w:tcPr>
          <w:p>
            <w:pPr>
              <w:spacing w:after="0"/>
              <w:rPr>
                <w:sz w:val="1"/>
                <w:szCs w:val="1"/>
                <w:color w:val="auto"/>
              </w:rPr>
            </w:pPr>
          </w:p>
        </w:tc>
      </w:tr>
      <w:tr>
        <w:trPr>
          <w:trHeight w:val="162"/>
        </w:trPr>
        <w:tc>
          <w:tcPr>
            <w:tcW w:w="5040" w:type="dxa"/>
            <w:vAlign w:val="bottom"/>
          </w:tcPr>
          <w:p>
            <w:pPr>
              <w:spacing w:after="0"/>
              <w:rPr>
                <w:sz w:val="14"/>
                <w:szCs w:val="14"/>
                <w:color w:val="auto"/>
              </w:rPr>
            </w:pPr>
          </w:p>
        </w:tc>
        <w:tc>
          <w:tcPr>
            <w:tcW w:w="1560" w:type="dxa"/>
            <w:vAlign w:val="bottom"/>
            <w:gridSpan w:val="3"/>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Gains and Losses on</w:t>
            </w:r>
          </w:p>
        </w:tc>
        <w:tc>
          <w:tcPr>
            <w:tcW w:w="120" w:type="dxa"/>
            <w:vAlign w:val="bottom"/>
          </w:tcPr>
          <w:p>
            <w:pPr>
              <w:spacing w:after="0"/>
              <w:rPr>
                <w:sz w:val="14"/>
                <w:szCs w:val="14"/>
                <w:color w:val="auto"/>
              </w:rPr>
            </w:pPr>
          </w:p>
        </w:tc>
        <w:tc>
          <w:tcPr>
            <w:tcW w:w="1460" w:type="dxa"/>
            <w:vAlign w:val="bottom"/>
            <w:gridSpan w:val="2"/>
          </w:tcPr>
          <w:p>
            <w:pPr>
              <w:jc w:val="center"/>
              <w:ind w:right="180"/>
              <w:spacing w:after="0" w:line="162" w:lineRule="exact"/>
              <w:rPr>
                <w:sz w:val="20"/>
                <w:szCs w:val="20"/>
                <w:color w:val="auto"/>
              </w:rPr>
            </w:pPr>
            <w:r>
              <w:rPr>
                <w:rFonts w:ascii="Times New Roman" w:cs="Times New Roman" w:eastAsia="Times New Roman" w:hAnsi="Times New Roman"/>
                <w:sz w:val="16"/>
                <w:szCs w:val="16"/>
                <w:b w:val="1"/>
                <w:bCs w:val="1"/>
                <w:color w:val="auto"/>
              </w:rPr>
              <w:t>and Losses on</w:t>
            </w:r>
          </w:p>
        </w:tc>
        <w:tc>
          <w:tcPr>
            <w:tcW w:w="160" w:type="dxa"/>
            <w:vAlign w:val="bottom"/>
          </w:tcPr>
          <w:p>
            <w:pPr>
              <w:spacing w:after="0"/>
              <w:rPr>
                <w:sz w:val="14"/>
                <w:szCs w:val="14"/>
                <w:color w:val="auto"/>
              </w:rPr>
            </w:pPr>
          </w:p>
        </w:tc>
        <w:tc>
          <w:tcPr>
            <w:tcW w:w="142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Defined Benefit</w:t>
            </w:r>
          </w:p>
        </w:tc>
        <w:tc>
          <w:tcPr>
            <w:tcW w:w="14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040" w:type="dxa"/>
            <w:vAlign w:val="bottom"/>
          </w:tcPr>
          <w:p>
            <w:pPr>
              <w:spacing w:after="0"/>
              <w:rPr>
                <w:sz w:val="14"/>
                <w:szCs w:val="14"/>
                <w:color w:val="auto"/>
              </w:rPr>
            </w:pPr>
          </w:p>
        </w:tc>
        <w:tc>
          <w:tcPr>
            <w:tcW w:w="1560" w:type="dxa"/>
            <w:vAlign w:val="bottom"/>
            <w:gridSpan w:val="3"/>
            <w:vMerge w:val="continue"/>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gridSpan w:val="2"/>
          </w:tcPr>
          <w:p>
            <w:pPr>
              <w:jc w:val="center"/>
              <w:ind w:right="180"/>
              <w:spacing w:after="0" w:line="162" w:lineRule="exact"/>
              <w:rPr>
                <w:sz w:val="20"/>
                <w:szCs w:val="20"/>
                <w:color w:val="auto"/>
              </w:rPr>
            </w:pPr>
            <w:r>
              <w:rPr>
                <w:rFonts w:ascii="Times New Roman" w:cs="Times New Roman" w:eastAsia="Times New Roman" w:hAnsi="Times New Roman"/>
                <w:sz w:val="16"/>
                <w:szCs w:val="16"/>
                <w:b w:val="1"/>
                <w:bCs w:val="1"/>
                <w:color w:val="auto"/>
                <w:w w:val="99"/>
              </w:rPr>
              <w:t>Available-for-Sale</w:t>
            </w:r>
          </w:p>
        </w:tc>
        <w:tc>
          <w:tcPr>
            <w:tcW w:w="160" w:type="dxa"/>
            <w:vAlign w:val="bottom"/>
          </w:tcPr>
          <w:p>
            <w:pPr>
              <w:spacing w:after="0"/>
              <w:rPr>
                <w:sz w:val="14"/>
                <w:szCs w:val="14"/>
                <w:color w:val="auto"/>
              </w:rPr>
            </w:pPr>
          </w:p>
        </w:tc>
        <w:tc>
          <w:tcPr>
            <w:tcW w:w="142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340" w:type="dxa"/>
            <w:vAlign w:val="bottom"/>
          </w:tcPr>
          <w:p>
            <w:pPr>
              <w:jc w:val="center"/>
              <w:ind w:right="59"/>
              <w:spacing w:after="0" w:line="162" w:lineRule="exact"/>
              <w:rPr>
                <w:sz w:val="20"/>
                <w:szCs w:val="20"/>
                <w:color w:val="auto"/>
              </w:rPr>
            </w:pPr>
            <w:r>
              <w:rPr>
                <w:rFonts w:ascii="Times New Roman" w:cs="Times New Roman" w:eastAsia="Times New Roman" w:hAnsi="Times New Roman"/>
                <w:sz w:val="16"/>
                <w:szCs w:val="16"/>
                <w:b w:val="1"/>
                <w:bCs w:val="1"/>
                <w:color w:val="auto"/>
              </w:rPr>
              <w:t>Comprehensive</w:t>
            </w:r>
          </w:p>
        </w:tc>
        <w:tc>
          <w:tcPr>
            <w:tcW w:w="0" w:type="dxa"/>
            <w:vAlign w:val="bottom"/>
          </w:tcPr>
          <w:p>
            <w:pPr>
              <w:spacing w:after="0"/>
              <w:rPr>
                <w:sz w:val="1"/>
                <w:szCs w:val="1"/>
                <w:color w:val="auto"/>
              </w:rPr>
            </w:pPr>
          </w:p>
        </w:tc>
      </w:tr>
      <w:tr>
        <w:trPr>
          <w:trHeight w:val="214"/>
        </w:trPr>
        <w:tc>
          <w:tcPr>
            <w:tcW w:w="5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Cash Flow Hedges</w:t>
            </w:r>
          </w:p>
        </w:tc>
        <w:tc>
          <w:tcPr>
            <w:tcW w:w="120" w:type="dxa"/>
            <w:vAlign w:val="bottom"/>
          </w:tcPr>
          <w:p>
            <w:pPr>
              <w:spacing w:after="0"/>
              <w:rPr>
                <w:sz w:val="18"/>
                <w:szCs w:val="18"/>
                <w:color w:val="auto"/>
              </w:rPr>
            </w:pPr>
          </w:p>
        </w:tc>
        <w:tc>
          <w:tcPr>
            <w:tcW w:w="146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8"/>
              </w:rPr>
              <w:t>Securities</w:t>
            </w:r>
          </w:p>
        </w:tc>
        <w:tc>
          <w:tcPr>
            <w:tcW w:w="160" w:type="dxa"/>
            <w:vAlign w:val="bottom"/>
          </w:tcPr>
          <w:p>
            <w:pPr>
              <w:spacing w:after="0"/>
              <w:rPr>
                <w:sz w:val="18"/>
                <w:szCs w:val="18"/>
                <w:color w:val="auto"/>
              </w:rPr>
            </w:pPr>
          </w:p>
        </w:tc>
        <w:tc>
          <w:tcPr>
            <w:tcW w:w="142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Pension Items</w:t>
            </w:r>
          </w:p>
        </w:tc>
        <w:tc>
          <w:tcPr>
            <w:tcW w:w="140" w:type="dxa"/>
            <w:vAlign w:val="bottom"/>
          </w:tcPr>
          <w:p>
            <w:pPr>
              <w:spacing w:after="0"/>
              <w:rPr>
                <w:sz w:val="18"/>
                <w:szCs w:val="18"/>
                <w:color w:val="auto"/>
              </w:rPr>
            </w:pPr>
          </w:p>
        </w:tc>
        <w:tc>
          <w:tcPr>
            <w:tcW w:w="1340" w:type="dxa"/>
            <w:vAlign w:val="bottom"/>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Income</w:t>
            </w:r>
          </w:p>
        </w:tc>
        <w:tc>
          <w:tcPr>
            <w:tcW w:w="0" w:type="dxa"/>
            <w:vAlign w:val="bottom"/>
          </w:tcPr>
          <w:p>
            <w:pPr>
              <w:spacing w:after="0"/>
              <w:rPr>
                <w:sz w:val="1"/>
                <w:szCs w:val="1"/>
                <w:color w:val="auto"/>
              </w:rPr>
            </w:pPr>
          </w:p>
        </w:tc>
      </w:tr>
      <w:tr>
        <w:trPr>
          <w:trHeight w:val="211"/>
        </w:trPr>
        <w:tc>
          <w:tcPr>
            <w:tcW w:w="50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Beginning Balance</w:t>
            </w:r>
          </w:p>
        </w:tc>
        <w:tc>
          <w:tcPr>
            <w:tcW w:w="1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74"/>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(1,255)</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(115,523)</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top w:val="single" w:sz="8" w:color="auto"/>
            </w:tcBorders>
            <w:shd w:val="clear" w:color="auto" w:fill="CCEEFF"/>
          </w:tcPr>
          <w:p>
            <w:pPr>
              <w:ind w:left="820"/>
              <w:spacing w:after="0"/>
              <w:rPr>
                <w:sz w:val="20"/>
                <w:szCs w:val="20"/>
                <w:color w:val="auto"/>
              </w:rPr>
            </w:pPr>
            <w:r>
              <w:rPr>
                <w:rFonts w:ascii="Times New Roman" w:cs="Times New Roman" w:eastAsia="Times New Roman" w:hAnsi="Times New Roman"/>
                <w:sz w:val="16"/>
                <w:szCs w:val="16"/>
                <w:color w:val="auto"/>
              </w:rPr>
              <w:t>(7,031)</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(123,809)</w:t>
            </w:r>
          </w:p>
        </w:tc>
        <w:tc>
          <w:tcPr>
            <w:tcW w:w="0" w:type="dxa"/>
            <w:vAlign w:val="bottom"/>
          </w:tcPr>
          <w:p>
            <w:pPr>
              <w:spacing w:after="0"/>
              <w:rPr>
                <w:sz w:val="1"/>
                <w:szCs w:val="1"/>
                <w:color w:val="auto"/>
              </w:rPr>
            </w:pPr>
          </w:p>
        </w:tc>
      </w:tr>
      <w:tr>
        <w:trPr>
          <w:trHeight w:val="213"/>
        </w:trPr>
        <w:tc>
          <w:tcPr>
            <w:tcW w:w="50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Net unrealized gains (losses)</w:t>
            </w:r>
          </w:p>
        </w:tc>
        <w:tc>
          <w:tcPr>
            <w:tcW w:w="1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(275)</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(5,254)</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ind w:left="11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(5,529)</w:t>
            </w:r>
          </w:p>
        </w:tc>
        <w:tc>
          <w:tcPr>
            <w:tcW w:w="0" w:type="dxa"/>
            <w:vAlign w:val="bottom"/>
          </w:tcPr>
          <w:p>
            <w:pPr>
              <w:spacing w:after="0"/>
              <w:rPr>
                <w:sz w:val="1"/>
                <w:szCs w:val="1"/>
                <w:color w:val="auto"/>
              </w:rPr>
            </w:pPr>
          </w:p>
        </w:tc>
      </w:tr>
      <w:tr>
        <w:trPr>
          <w:trHeight w:val="219"/>
        </w:trPr>
        <w:tc>
          <w:tcPr>
            <w:tcW w:w="50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Less: net realized (gains) losses reclassified to earnings</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334</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2,827</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ind w:left="11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3,161</w:t>
            </w:r>
          </w:p>
        </w:tc>
        <w:tc>
          <w:tcPr>
            <w:tcW w:w="0" w:type="dxa"/>
            <w:vAlign w:val="bottom"/>
          </w:tcPr>
          <w:p>
            <w:pPr>
              <w:spacing w:after="0"/>
              <w:rPr>
                <w:sz w:val="1"/>
                <w:szCs w:val="1"/>
                <w:color w:val="auto"/>
              </w:rPr>
            </w:pPr>
          </w:p>
        </w:tc>
      </w:tr>
      <w:tr>
        <w:trPr>
          <w:trHeight w:val="213"/>
        </w:trPr>
        <w:tc>
          <w:tcPr>
            <w:tcW w:w="50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Net change in pension plan benefits</w:t>
            </w:r>
          </w:p>
        </w:tc>
        <w:tc>
          <w:tcPr>
            <w:tcW w:w="100" w:type="dxa"/>
            <w:vAlign w:val="bottom"/>
          </w:tcPr>
          <w:p>
            <w:pPr>
              <w:spacing w:after="0"/>
              <w:rPr>
                <w:sz w:val="18"/>
                <w:szCs w:val="18"/>
                <w:color w:val="auto"/>
              </w:rPr>
            </w:pPr>
          </w:p>
        </w:tc>
        <w:tc>
          <w:tcPr>
            <w:tcW w:w="14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4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420" w:type="dxa"/>
            <w:vAlign w:val="bottom"/>
            <w:gridSpan w:val="2"/>
          </w:tcPr>
          <w:p>
            <w:pPr>
              <w:ind w:left="11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9"/>
        </w:trPr>
        <w:tc>
          <w:tcPr>
            <w:tcW w:w="50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Ending Balance</w:t>
            </w:r>
          </w:p>
        </w:tc>
        <w:tc>
          <w:tcPr>
            <w:tcW w:w="10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74"/>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(1,196)</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(117,950)</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top w:val="single" w:sz="8" w:color="auto"/>
              <w:bottom w:val="single" w:sz="8" w:color="auto"/>
            </w:tcBorders>
            <w:shd w:val="clear" w:color="auto" w:fill="CCEEFF"/>
          </w:tcPr>
          <w:p>
            <w:pPr>
              <w:ind w:left="820"/>
              <w:spacing w:after="0"/>
              <w:rPr>
                <w:sz w:val="20"/>
                <w:szCs w:val="20"/>
                <w:color w:val="auto"/>
              </w:rPr>
            </w:pPr>
            <w:r>
              <w:rPr>
                <w:rFonts w:ascii="Times New Roman" w:cs="Times New Roman" w:eastAsia="Times New Roman" w:hAnsi="Times New Roman"/>
                <w:sz w:val="16"/>
                <w:szCs w:val="16"/>
                <w:color w:val="auto"/>
              </w:rPr>
              <w:t>(7,031)</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(126,177)</w:t>
            </w:r>
          </w:p>
        </w:tc>
        <w:tc>
          <w:tcPr>
            <w:tcW w:w="0" w:type="dxa"/>
            <w:vAlign w:val="bottom"/>
          </w:tcPr>
          <w:p>
            <w:pPr>
              <w:spacing w:after="0"/>
              <w:rPr>
                <w:sz w:val="1"/>
                <w:szCs w:val="1"/>
                <w:color w:val="auto"/>
              </w:rPr>
            </w:pPr>
          </w:p>
        </w:tc>
      </w:tr>
      <w:tr>
        <w:trPr>
          <w:trHeight w:val="749"/>
        </w:trPr>
        <w:tc>
          <w:tcPr>
            <w:tcW w:w="504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040" w:type="dxa"/>
            <w:vAlign w:val="bottom"/>
            <w:tcBorders>
              <w:bottom w:val="single" w:sz="8" w:color="auto"/>
            </w:tcBorders>
            <w:gridSpan w:val="5"/>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Six months ended June 30, 2024</w:t>
            </w:r>
          </w:p>
        </w:tc>
        <w:tc>
          <w:tcPr>
            <w:tcW w:w="14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9"/>
        </w:trPr>
        <w:tc>
          <w:tcPr>
            <w:tcW w:w="5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60" w:type="dxa"/>
            <w:vAlign w:val="bottom"/>
            <w:gridSpan w:val="2"/>
          </w:tcPr>
          <w:p>
            <w:pPr>
              <w:jc w:val="center"/>
              <w:ind w:right="180"/>
              <w:spacing w:after="0" w:line="158" w:lineRule="exact"/>
              <w:rPr>
                <w:sz w:val="20"/>
                <w:szCs w:val="20"/>
                <w:color w:val="auto"/>
              </w:rPr>
            </w:pPr>
            <w:r>
              <w:rPr>
                <w:rFonts w:ascii="Times New Roman" w:cs="Times New Roman" w:eastAsia="Times New Roman" w:hAnsi="Times New Roman"/>
                <w:sz w:val="16"/>
                <w:szCs w:val="16"/>
                <w:b w:val="1"/>
                <w:bCs w:val="1"/>
                <w:color w:val="auto"/>
              </w:rPr>
              <w:t>Unrealized Gains</w:t>
            </w:r>
          </w:p>
        </w:tc>
        <w:tc>
          <w:tcPr>
            <w:tcW w:w="16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Accumulated Other</w:t>
            </w:r>
          </w:p>
        </w:tc>
        <w:tc>
          <w:tcPr>
            <w:tcW w:w="0" w:type="dxa"/>
            <w:vAlign w:val="bottom"/>
          </w:tcPr>
          <w:p>
            <w:pPr>
              <w:spacing w:after="0"/>
              <w:rPr>
                <w:sz w:val="1"/>
                <w:szCs w:val="1"/>
                <w:color w:val="auto"/>
              </w:rPr>
            </w:pPr>
          </w:p>
        </w:tc>
      </w:tr>
      <w:tr>
        <w:trPr>
          <w:trHeight w:val="162"/>
        </w:trPr>
        <w:tc>
          <w:tcPr>
            <w:tcW w:w="5040" w:type="dxa"/>
            <w:vAlign w:val="bottom"/>
          </w:tcPr>
          <w:p>
            <w:pPr>
              <w:spacing w:after="0"/>
              <w:rPr>
                <w:sz w:val="14"/>
                <w:szCs w:val="14"/>
                <w:color w:val="auto"/>
              </w:rPr>
            </w:pPr>
          </w:p>
        </w:tc>
        <w:tc>
          <w:tcPr>
            <w:tcW w:w="1560" w:type="dxa"/>
            <w:vAlign w:val="bottom"/>
            <w:gridSpan w:val="3"/>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Gains and Losses on</w:t>
            </w:r>
          </w:p>
        </w:tc>
        <w:tc>
          <w:tcPr>
            <w:tcW w:w="120" w:type="dxa"/>
            <w:vAlign w:val="bottom"/>
          </w:tcPr>
          <w:p>
            <w:pPr>
              <w:spacing w:after="0"/>
              <w:rPr>
                <w:sz w:val="14"/>
                <w:szCs w:val="14"/>
                <w:color w:val="auto"/>
              </w:rPr>
            </w:pPr>
          </w:p>
        </w:tc>
        <w:tc>
          <w:tcPr>
            <w:tcW w:w="1460" w:type="dxa"/>
            <w:vAlign w:val="bottom"/>
            <w:gridSpan w:val="2"/>
          </w:tcPr>
          <w:p>
            <w:pPr>
              <w:jc w:val="center"/>
              <w:ind w:right="180"/>
              <w:spacing w:after="0" w:line="162" w:lineRule="exact"/>
              <w:rPr>
                <w:sz w:val="20"/>
                <w:szCs w:val="20"/>
                <w:color w:val="auto"/>
              </w:rPr>
            </w:pPr>
            <w:r>
              <w:rPr>
                <w:rFonts w:ascii="Times New Roman" w:cs="Times New Roman" w:eastAsia="Times New Roman" w:hAnsi="Times New Roman"/>
                <w:sz w:val="16"/>
                <w:szCs w:val="16"/>
                <w:b w:val="1"/>
                <w:bCs w:val="1"/>
                <w:color w:val="auto"/>
              </w:rPr>
              <w:t>and Losses on</w:t>
            </w:r>
          </w:p>
        </w:tc>
        <w:tc>
          <w:tcPr>
            <w:tcW w:w="160" w:type="dxa"/>
            <w:vAlign w:val="bottom"/>
          </w:tcPr>
          <w:p>
            <w:pPr>
              <w:spacing w:after="0"/>
              <w:rPr>
                <w:sz w:val="14"/>
                <w:szCs w:val="14"/>
                <w:color w:val="auto"/>
              </w:rPr>
            </w:pPr>
          </w:p>
        </w:tc>
        <w:tc>
          <w:tcPr>
            <w:tcW w:w="142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Defined Benefit</w:t>
            </w:r>
          </w:p>
        </w:tc>
        <w:tc>
          <w:tcPr>
            <w:tcW w:w="14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040" w:type="dxa"/>
            <w:vAlign w:val="bottom"/>
          </w:tcPr>
          <w:p>
            <w:pPr>
              <w:spacing w:after="0"/>
              <w:rPr>
                <w:sz w:val="14"/>
                <w:szCs w:val="14"/>
                <w:color w:val="auto"/>
              </w:rPr>
            </w:pPr>
          </w:p>
        </w:tc>
        <w:tc>
          <w:tcPr>
            <w:tcW w:w="1560" w:type="dxa"/>
            <w:vAlign w:val="bottom"/>
            <w:gridSpan w:val="3"/>
            <w:vMerge w:val="continue"/>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gridSpan w:val="2"/>
          </w:tcPr>
          <w:p>
            <w:pPr>
              <w:jc w:val="center"/>
              <w:ind w:right="180"/>
              <w:spacing w:after="0" w:line="162" w:lineRule="exact"/>
              <w:rPr>
                <w:sz w:val="20"/>
                <w:szCs w:val="20"/>
                <w:color w:val="auto"/>
              </w:rPr>
            </w:pPr>
            <w:r>
              <w:rPr>
                <w:rFonts w:ascii="Times New Roman" w:cs="Times New Roman" w:eastAsia="Times New Roman" w:hAnsi="Times New Roman"/>
                <w:sz w:val="16"/>
                <w:szCs w:val="16"/>
                <w:b w:val="1"/>
                <w:bCs w:val="1"/>
                <w:color w:val="auto"/>
                <w:w w:val="99"/>
              </w:rPr>
              <w:t>Available-for-Sale</w:t>
            </w:r>
          </w:p>
        </w:tc>
        <w:tc>
          <w:tcPr>
            <w:tcW w:w="160" w:type="dxa"/>
            <w:vAlign w:val="bottom"/>
          </w:tcPr>
          <w:p>
            <w:pPr>
              <w:spacing w:after="0"/>
              <w:rPr>
                <w:sz w:val="14"/>
                <w:szCs w:val="14"/>
                <w:color w:val="auto"/>
              </w:rPr>
            </w:pPr>
          </w:p>
        </w:tc>
        <w:tc>
          <w:tcPr>
            <w:tcW w:w="142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340" w:type="dxa"/>
            <w:vAlign w:val="bottom"/>
          </w:tcPr>
          <w:p>
            <w:pPr>
              <w:jc w:val="center"/>
              <w:ind w:right="59"/>
              <w:spacing w:after="0" w:line="162" w:lineRule="exact"/>
              <w:rPr>
                <w:sz w:val="20"/>
                <w:szCs w:val="20"/>
                <w:color w:val="auto"/>
              </w:rPr>
            </w:pPr>
            <w:r>
              <w:rPr>
                <w:rFonts w:ascii="Times New Roman" w:cs="Times New Roman" w:eastAsia="Times New Roman" w:hAnsi="Times New Roman"/>
                <w:sz w:val="16"/>
                <w:szCs w:val="16"/>
                <w:b w:val="1"/>
                <w:bCs w:val="1"/>
                <w:color w:val="auto"/>
              </w:rPr>
              <w:t>Comprehensive</w:t>
            </w:r>
          </w:p>
        </w:tc>
        <w:tc>
          <w:tcPr>
            <w:tcW w:w="0" w:type="dxa"/>
            <w:vAlign w:val="bottom"/>
          </w:tcPr>
          <w:p>
            <w:pPr>
              <w:spacing w:after="0"/>
              <w:rPr>
                <w:sz w:val="1"/>
                <w:szCs w:val="1"/>
                <w:color w:val="auto"/>
              </w:rPr>
            </w:pPr>
          </w:p>
        </w:tc>
      </w:tr>
      <w:tr>
        <w:trPr>
          <w:trHeight w:val="214"/>
        </w:trPr>
        <w:tc>
          <w:tcPr>
            <w:tcW w:w="5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Cash Flow Hedges</w:t>
            </w:r>
          </w:p>
        </w:tc>
        <w:tc>
          <w:tcPr>
            <w:tcW w:w="120" w:type="dxa"/>
            <w:vAlign w:val="bottom"/>
          </w:tcPr>
          <w:p>
            <w:pPr>
              <w:spacing w:after="0"/>
              <w:rPr>
                <w:sz w:val="18"/>
                <w:szCs w:val="18"/>
                <w:color w:val="auto"/>
              </w:rPr>
            </w:pPr>
          </w:p>
        </w:tc>
        <w:tc>
          <w:tcPr>
            <w:tcW w:w="146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8"/>
              </w:rPr>
              <w:t>Securities</w:t>
            </w:r>
          </w:p>
        </w:tc>
        <w:tc>
          <w:tcPr>
            <w:tcW w:w="160" w:type="dxa"/>
            <w:vAlign w:val="bottom"/>
          </w:tcPr>
          <w:p>
            <w:pPr>
              <w:spacing w:after="0"/>
              <w:rPr>
                <w:sz w:val="18"/>
                <w:szCs w:val="18"/>
                <w:color w:val="auto"/>
              </w:rPr>
            </w:pPr>
          </w:p>
        </w:tc>
        <w:tc>
          <w:tcPr>
            <w:tcW w:w="142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Pension Items</w:t>
            </w:r>
          </w:p>
        </w:tc>
        <w:tc>
          <w:tcPr>
            <w:tcW w:w="140" w:type="dxa"/>
            <w:vAlign w:val="bottom"/>
          </w:tcPr>
          <w:p>
            <w:pPr>
              <w:spacing w:after="0"/>
              <w:rPr>
                <w:sz w:val="18"/>
                <w:szCs w:val="18"/>
                <w:color w:val="auto"/>
              </w:rPr>
            </w:pPr>
          </w:p>
        </w:tc>
        <w:tc>
          <w:tcPr>
            <w:tcW w:w="1340" w:type="dxa"/>
            <w:vAlign w:val="bottom"/>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Income</w:t>
            </w:r>
          </w:p>
        </w:tc>
        <w:tc>
          <w:tcPr>
            <w:tcW w:w="0" w:type="dxa"/>
            <w:vAlign w:val="bottom"/>
          </w:tcPr>
          <w:p>
            <w:pPr>
              <w:spacing w:after="0"/>
              <w:rPr>
                <w:sz w:val="1"/>
                <w:szCs w:val="1"/>
                <w:color w:val="auto"/>
              </w:rPr>
            </w:pPr>
          </w:p>
        </w:tc>
      </w:tr>
      <w:tr>
        <w:trPr>
          <w:trHeight w:val="211"/>
        </w:trPr>
        <w:tc>
          <w:tcPr>
            <w:tcW w:w="50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Beginning Balance</w:t>
            </w:r>
          </w:p>
        </w:tc>
        <w:tc>
          <w:tcPr>
            <w:tcW w:w="1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74"/>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(490)</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(97,259)</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top w:val="single" w:sz="8" w:color="auto"/>
            </w:tcBorders>
            <w:shd w:val="clear" w:color="auto" w:fill="CCEEFF"/>
          </w:tcPr>
          <w:p>
            <w:pPr>
              <w:ind w:left="820"/>
              <w:spacing w:after="0"/>
              <w:rPr>
                <w:sz w:val="20"/>
                <w:szCs w:val="20"/>
                <w:color w:val="auto"/>
              </w:rPr>
            </w:pPr>
            <w:r>
              <w:rPr>
                <w:rFonts w:ascii="Times New Roman" w:cs="Times New Roman" w:eastAsia="Times New Roman" w:hAnsi="Times New Roman"/>
                <w:sz w:val="16"/>
                <w:szCs w:val="16"/>
                <w:color w:val="auto"/>
              </w:rPr>
              <w:t>(5,745)</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(103,494)</w:t>
            </w:r>
          </w:p>
        </w:tc>
        <w:tc>
          <w:tcPr>
            <w:tcW w:w="0" w:type="dxa"/>
            <w:vAlign w:val="bottom"/>
          </w:tcPr>
          <w:p>
            <w:pPr>
              <w:spacing w:after="0"/>
              <w:rPr>
                <w:sz w:val="1"/>
                <w:szCs w:val="1"/>
                <w:color w:val="auto"/>
              </w:rPr>
            </w:pPr>
          </w:p>
        </w:tc>
      </w:tr>
      <w:tr>
        <w:trPr>
          <w:trHeight w:val="213"/>
        </w:trPr>
        <w:tc>
          <w:tcPr>
            <w:tcW w:w="50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Net unrealized gains (losses)</w:t>
            </w:r>
          </w:p>
        </w:tc>
        <w:tc>
          <w:tcPr>
            <w:tcW w:w="1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3,554</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392</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ind w:left="11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3,946</w:t>
            </w:r>
          </w:p>
        </w:tc>
        <w:tc>
          <w:tcPr>
            <w:tcW w:w="0" w:type="dxa"/>
            <w:vAlign w:val="bottom"/>
          </w:tcPr>
          <w:p>
            <w:pPr>
              <w:spacing w:after="0"/>
              <w:rPr>
                <w:sz w:val="1"/>
                <w:szCs w:val="1"/>
                <w:color w:val="auto"/>
              </w:rPr>
            </w:pPr>
          </w:p>
        </w:tc>
      </w:tr>
      <w:tr>
        <w:trPr>
          <w:trHeight w:val="219"/>
        </w:trPr>
        <w:tc>
          <w:tcPr>
            <w:tcW w:w="50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Less: net realized (gains) losses reclassified to earnings</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(334)</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(548)</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ind w:left="11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(882)</w:t>
            </w:r>
          </w:p>
        </w:tc>
        <w:tc>
          <w:tcPr>
            <w:tcW w:w="0" w:type="dxa"/>
            <w:vAlign w:val="bottom"/>
          </w:tcPr>
          <w:p>
            <w:pPr>
              <w:spacing w:after="0"/>
              <w:rPr>
                <w:sz w:val="1"/>
                <w:szCs w:val="1"/>
                <w:color w:val="auto"/>
              </w:rPr>
            </w:pPr>
          </w:p>
        </w:tc>
      </w:tr>
      <w:tr>
        <w:trPr>
          <w:trHeight w:val="213"/>
        </w:trPr>
        <w:tc>
          <w:tcPr>
            <w:tcW w:w="50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Net change in pension plan benefits</w:t>
            </w:r>
          </w:p>
        </w:tc>
        <w:tc>
          <w:tcPr>
            <w:tcW w:w="100" w:type="dxa"/>
            <w:vAlign w:val="bottom"/>
          </w:tcPr>
          <w:p>
            <w:pPr>
              <w:spacing w:after="0"/>
              <w:rPr>
                <w:sz w:val="18"/>
                <w:szCs w:val="18"/>
                <w:color w:val="auto"/>
              </w:rPr>
            </w:pPr>
          </w:p>
        </w:tc>
        <w:tc>
          <w:tcPr>
            <w:tcW w:w="14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4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420" w:type="dxa"/>
            <w:vAlign w:val="bottom"/>
            <w:gridSpan w:val="2"/>
          </w:tcPr>
          <w:p>
            <w:pPr>
              <w:ind w:left="11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9"/>
        </w:trPr>
        <w:tc>
          <w:tcPr>
            <w:tcW w:w="50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Ending Balance</w:t>
            </w:r>
          </w:p>
        </w:tc>
        <w:tc>
          <w:tcPr>
            <w:tcW w:w="10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74"/>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2,730</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(97,415)</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top w:val="single" w:sz="8" w:color="auto"/>
              <w:bottom w:val="single" w:sz="8" w:color="auto"/>
            </w:tcBorders>
            <w:shd w:val="clear" w:color="auto" w:fill="CCEEFF"/>
          </w:tcPr>
          <w:p>
            <w:pPr>
              <w:ind w:left="820"/>
              <w:spacing w:after="0"/>
              <w:rPr>
                <w:sz w:val="20"/>
                <w:szCs w:val="20"/>
                <w:color w:val="auto"/>
              </w:rPr>
            </w:pPr>
            <w:r>
              <w:rPr>
                <w:rFonts w:ascii="Times New Roman" w:cs="Times New Roman" w:eastAsia="Times New Roman" w:hAnsi="Times New Roman"/>
                <w:sz w:val="16"/>
                <w:szCs w:val="16"/>
                <w:color w:val="auto"/>
              </w:rPr>
              <w:t>(5,745)</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(100,430)</w:t>
            </w:r>
          </w:p>
        </w:tc>
        <w:tc>
          <w:tcPr>
            <w:tcW w:w="0" w:type="dxa"/>
            <w:vAlign w:val="bottom"/>
          </w:tcPr>
          <w:p>
            <w:pPr>
              <w:spacing w:after="0"/>
              <w:rPr>
                <w:sz w:val="1"/>
                <w:szCs w:val="1"/>
                <w:color w:val="auto"/>
              </w:rPr>
            </w:pPr>
          </w:p>
        </w:tc>
      </w:tr>
      <w:tr>
        <w:trPr>
          <w:trHeight w:val="466"/>
        </w:trPr>
        <w:tc>
          <w:tcPr>
            <w:tcW w:w="504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040" w:type="dxa"/>
            <w:vAlign w:val="bottom"/>
            <w:tcBorders>
              <w:bottom w:val="single" w:sz="8" w:color="auto"/>
            </w:tcBorders>
            <w:gridSpan w:val="5"/>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Six months ended June 30, 2023</w:t>
            </w:r>
          </w:p>
        </w:tc>
        <w:tc>
          <w:tcPr>
            <w:tcW w:w="14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9"/>
        </w:trPr>
        <w:tc>
          <w:tcPr>
            <w:tcW w:w="5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60" w:type="dxa"/>
            <w:vAlign w:val="bottom"/>
            <w:gridSpan w:val="2"/>
          </w:tcPr>
          <w:p>
            <w:pPr>
              <w:jc w:val="center"/>
              <w:ind w:right="180"/>
              <w:spacing w:after="0" w:line="158" w:lineRule="exact"/>
              <w:rPr>
                <w:sz w:val="20"/>
                <w:szCs w:val="20"/>
                <w:color w:val="auto"/>
              </w:rPr>
            </w:pPr>
            <w:r>
              <w:rPr>
                <w:rFonts w:ascii="Times New Roman" w:cs="Times New Roman" w:eastAsia="Times New Roman" w:hAnsi="Times New Roman"/>
                <w:sz w:val="16"/>
                <w:szCs w:val="16"/>
                <w:b w:val="1"/>
                <w:bCs w:val="1"/>
                <w:color w:val="auto"/>
              </w:rPr>
              <w:t>Unrealized Gains</w:t>
            </w:r>
          </w:p>
        </w:tc>
        <w:tc>
          <w:tcPr>
            <w:tcW w:w="16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Accumulated Other</w:t>
            </w:r>
          </w:p>
        </w:tc>
        <w:tc>
          <w:tcPr>
            <w:tcW w:w="0" w:type="dxa"/>
            <w:vAlign w:val="bottom"/>
          </w:tcPr>
          <w:p>
            <w:pPr>
              <w:spacing w:after="0"/>
              <w:rPr>
                <w:sz w:val="1"/>
                <w:szCs w:val="1"/>
                <w:color w:val="auto"/>
              </w:rPr>
            </w:pPr>
          </w:p>
        </w:tc>
      </w:tr>
      <w:tr>
        <w:trPr>
          <w:trHeight w:val="162"/>
        </w:trPr>
        <w:tc>
          <w:tcPr>
            <w:tcW w:w="5040" w:type="dxa"/>
            <w:vAlign w:val="bottom"/>
          </w:tcPr>
          <w:p>
            <w:pPr>
              <w:spacing w:after="0"/>
              <w:rPr>
                <w:sz w:val="14"/>
                <w:szCs w:val="14"/>
                <w:color w:val="auto"/>
              </w:rPr>
            </w:pPr>
          </w:p>
        </w:tc>
        <w:tc>
          <w:tcPr>
            <w:tcW w:w="1560" w:type="dxa"/>
            <w:vAlign w:val="bottom"/>
            <w:gridSpan w:val="3"/>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Gains and Losses on</w:t>
            </w:r>
          </w:p>
        </w:tc>
        <w:tc>
          <w:tcPr>
            <w:tcW w:w="120" w:type="dxa"/>
            <w:vAlign w:val="bottom"/>
          </w:tcPr>
          <w:p>
            <w:pPr>
              <w:spacing w:after="0"/>
              <w:rPr>
                <w:sz w:val="14"/>
                <w:szCs w:val="14"/>
                <w:color w:val="auto"/>
              </w:rPr>
            </w:pPr>
          </w:p>
        </w:tc>
        <w:tc>
          <w:tcPr>
            <w:tcW w:w="1460" w:type="dxa"/>
            <w:vAlign w:val="bottom"/>
            <w:gridSpan w:val="2"/>
          </w:tcPr>
          <w:p>
            <w:pPr>
              <w:jc w:val="center"/>
              <w:ind w:right="180"/>
              <w:spacing w:after="0" w:line="162" w:lineRule="exact"/>
              <w:rPr>
                <w:sz w:val="20"/>
                <w:szCs w:val="20"/>
                <w:color w:val="auto"/>
              </w:rPr>
            </w:pPr>
            <w:r>
              <w:rPr>
                <w:rFonts w:ascii="Times New Roman" w:cs="Times New Roman" w:eastAsia="Times New Roman" w:hAnsi="Times New Roman"/>
                <w:sz w:val="16"/>
                <w:szCs w:val="16"/>
                <w:b w:val="1"/>
                <w:bCs w:val="1"/>
                <w:color w:val="auto"/>
              </w:rPr>
              <w:t>and Losses on</w:t>
            </w:r>
          </w:p>
        </w:tc>
        <w:tc>
          <w:tcPr>
            <w:tcW w:w="160" w:type="dxa"/>
            <w:vAlign w:val="bottom"/>
          </w:tcPr>
          <w:p>
            <w:pPr>
              <w:spacing w:after="0"/>
              <w:rPr>
                <w:sz w:val="14"/>
                <w:szCs w:val="14"/>
                <w:color w:val="auto"/>
              </w:rPr>
            </w:pPr>
          </w:p>
        </w:tc>
        <w:tc>
          <w:tcPr>
            <w:tcW w:w="142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Defined Benefit</w:t>
            </w:r>
          </w:p>
        </w:tc>
        <w:tc>
          <w:tcPr>
            <w:tcW w:w="14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040" w:type="dxa"/>
            <w:vAlign w:val="bottom"/>
          </w:tcPr>
          <w:p>
            <w:pPr>
              <w:spacing w:after="0"/>
              <w:rPr>
                <w:sz w:val="14"/>
                <w:szCs w:val="14"/>
                <w:color w:val="auto"/>
              </w:rPr>
            </w:pPr>
          </w:p>
        </w:tc>
        <w:tc>
          <w:tcPr>
            <w:tcW w:w="1560" w:type="dxa"/>
            <w:vAlign w:val="bottom"/>
            <w:gridSpan w:val="3"/>
            <w:vMerge w:val="continue"/>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gridSpan w:val="2"/>
          </w:tcPr>
          <w:p>
            <w:pPr>
              <w:jc w:val="center"/>
              <w:ind w:right="180"/>
              <w:spacing w:after="0" w:line="162" w:lineRule="exact"/>
              <w:rPr>
                <w:sz w:val="20"/>
                <w:szCs w:val="20"/>
                <w:color w:val="auto"/>
              </w:rPr>
            </w:pPr>
            <w:r>
              <w:rPr>
                <w:rFonts w:ascii="Times New Roman" w:cs="Times New Roman" w:eastAsia="Times New Roman" w:hAnsi="Times New Roman"/>
                <w:sz w:val="16"/>
                <w:szCs w:val="16"/>
                <w:b w:val="1"/>
                <w:bCs w:val="1"/>
                <w:color w:val="auto"/>
                <w:w w:val="99"/>
              </w:rPr>
              <w:t>Available-for-Sale</w:t>
            </w:r>
          </w:p>
        </w:tc>
        <w:tc>
          <w:tcPr>
            <w:tcW w:w="160" w:type="dxa"/>
            <w:vAlign w:val="bottom"/>
          </w:tcPr>
          <w:p>
            <w:pPr>
              <w:spacing w:after="0"/>
              <w:rPr>
                <w:sz w:val="14"/>
                <w:szCs w:val="14"/>
                <w:color w:val="auto"/>
              </w:rPr>
            </w:pPr>
          </w:p>
        </w:tc>
        <w:tc>
          <w:tcPr>
            <w:tcW w:w="142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340" w:type="dxa"/>
            <w:vAlign w:val="bottom"/>
          </w:tcPr>
          <w:p>
            <w:pPr>
              <w:jc w:val="center"/>
              <w:ind w:right="59"/>
              <w:spacing w:after="0" w:line="162" w:lineRule="exact"/>
              <w:rPr>
                <w:sz w:val="20"/>
                <w:szCs w:val="20"/>
                <w:color w:val="auto"/>
              </w:rPr>
            </w:pPr>
            <w:r>
              <w:rPr>
                <w:rFonts w:ascii="Times New Roman" w:cs="Times New Roman" w:eastAsia="Times New Roman" w:hAnsi="Times New Roman"/>
                <w:sz w:val="16"/>
                <w:szCs w:val="16"/>
                <w:b w:val="1"/>
                <w:bCs w:val="1"/>
                <w:color w:val="auto"/>
              </w:rPr>
              <w:t>Comprehensive</w:t>
            </w:r>
          </w:p>
        </w:tc>
        <w:tc>
          <w:tcPr>
            <w:tcW w:w="0" w:type="dxa"/>
            <w:vAlign w:val="bottom"/>
          </w:tcPr>
          <w:p>
            <w:pPr>
              <w:spacing w:after="0"/>
              <w:rPr>
                <w:sz w:val="1"/>
                <w:szCs w:val="1"/>
                <w:color w:val="auto"/>
              </w:rPr>
            </w:pPr>
          </w:p>
        </w:tc>
      </w:tr>
      <w:tr>
        <w:trPr>
          <w:trHeight w:val="214"/>
        </w:trPr>
        <w:tc>
          <w:tcPr>
            <w:tcW w:w="5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Cash Flow Hedges</w:t>
            </w:r>
          </w:p>
        </w:tc>
        <w:tc>
          <w:tcPr>
            <w:tcW w:w="120" w:type="dxa"/>
            <w:vAlign w:val="bottom"/>
          </w:tcPr>
          <w:p>
            <w:pPr>
              <w:spacing w:after="0"/>
              <w:rPr>
                <w:sz w:val="18"/>
                <w:szCs w:val="18"/>
                <w:color w:val="auto"/>
              </w:rPr>
            </w:pPr>
          </w:p>
        </w:tc>
        <w:tc>
          <w:tcPr>
            <w:tcW w:w="146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8"/>
              </w:rPr>
              <w:t>Securities</w:t>
            </w:r>
          </w:p>
        </w:tc>
        <w:tc>
          <w:tcPr>
            <w:tcW w:w="160" w:type="dxa"/>
            <w:vAlign w:val="bottom"/>
          </w:tcPr>
          <w:p>
            <w:pPr>
              <w:spacing w:after="0"/>
              <w:rPr>
                <w:sz w:val="18"/>
                <w:szCs w:val="18"/>
                <w:color w:val="auto"/>
              </w:rPr>
            </w:pPr>
          </w:p>
        </w:tc>
        <w:tc>
          <w:tcPr>
            <w:tcW w:w="142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Pension Items</w:t>
            </w:r>
          </w:p>
        </w:tc>
        <w:tc>
          <w:tcPr>
            <w:tcW w:w="140" w:type="dxa"/>
            <w:vAlign w:val="bottom"/>
          </w:tcPr>
          <w:p>
            <w:pPr>
              <w:spacing w:after="0"/>
              <w:rPr>
                <w:sz w:val="18"/>
                <w:szCs w:val="18"/>
                <w:color w:val="auto"/>
              </w:rPr>
            </w:pPr>
          </w:p>
        </w:tc>
        <w:tc>
          <w:tcPr>
            <w:tcW w:w="1340" w:type="dxa"/>
            <w:vAlign w:val="bottom"/>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Income</w:t>
            </w:r>
          </w:p>
        </w:tc>
        <w:tc>
          <w:tcPr>
            <w:tcW w:w="0" w:type="dxa"/>
            <w:vAlign w:val="bottom"/>
          </w:tcPr>
          <w:p>
            <w:pPr>
              <w:spacing w:after="0"/>
              <w:rPr>
                <w:sz w:val="1"/>
                <w:szCs w:val="1"/>
                <w:color w:val="auto"/>
              </w:rPr>
            </w:pPr>
          </w:p>
        </w:tc>
      </w:tr>
      <w:tr>
        <w:trPr>
          <w:trHeight w:val="211"/>
        </w:trPr>
        <w:tc>
          <w:tcPr>
            <w:tcW w:w="50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Beginning Balance</w:t>
            </w:r>
          </w:p>
        </w:tc>
        <w:tc>
          <w:tcPr>
            <w:tcW w:w="1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74"/>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(1,589)</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(130,875)</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top w:val="single" w:sz="8" w:color="auto"/>
            </w:tcBorders>
            <w:shd w:val="clear" w:color="auto" w:fill="CCEEFF"/>
          </w:tcPr>
          <w:p>
            <w:pPr>
              <w:ind w:left="820"/>
              <w:spacing w:after="0"/>
              <w:rPr>
                <w:sz w:val="20"/>
                <w:szCs w:val="20"/>
                <w:color w:val="auto"/>
              </w:rPr>
            </w:pPr>
            <w:r>
              <w:rPr>
                <w:rFonts w:ascii="Times New Roman" w:cs="Times New Roman" w:eastAsia="Times New Roman" w:hAnsi="Times New Roman"/>
                <w:sz w:val="16"/>
                <w:szCs w:val="16"/>
                <w:color w:val="auto"/>
              </w:rPr>
              <w:t>(7,031)</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(139,495)</w:t>
            </w:r>
          </w:p>
        </w:tc>
        <w:tc>
          <w:tcPr>
            <w:tcW w:w="0" w:type="dxa"/>
            <w:vAlign w:val="bottom"/>
          </w:tcPr>
          <w:p>
            <w:pPr>
              <w:spacing w:after="0"/>
              <w:rPr>
                <w:sz w:val="1"/>
                <w:szCs w:val="1"/>
                <w:color w:val="auto"/>
              </w:rPr>
            </w:pPr>
          </w:p>
        </w:tc>
      </w:tr>
      <w:tr>
        <w:trPr>
          <w:trHeight w:val="213"/>
        </w:trPr>
        <w:tc>
          <w:tcPr>
            <w:tcW w:w="50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Net unrealized gains (losses)</w:t>
            </w:r>
          </w:p>
        </w:tc>
        <w:tc>
          <w:tcPr>
            <w:tcW w:w="1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(228)</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11,964</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ind w:left="11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11,736</w:t>
            </w:r>
          </w:p>
        </w:tc>
        <w:tc>
          <w:tcPr>
            <w:tcW w:w="0" w:type="dxa"/>
            <w:vAlign w:val="bottom"/>
          </w:tcPr>
          <w:p>
            <w:pPr>
              <w:spacing w:after="0"/>
              <w:rPr>
                <w:sz w:val="1"/>
                <w:szCs w:val="1"/>
                <w:color w:val="auto"/>
              </w:rPr>
            </w:pPr>
          </w:p>
        </w:tc>
      </w:tr>
      <w:tr>
        <w:trPr>
          <w:trHeight w:val="219"/>
        </w:trPr>
        <w:tc>
          <w:tcPr>
            <w:tcW w:w="50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Less: net realized (gains) losses reclassified to earnings</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621</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961</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ind w:left="11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1,582</w:t>
            </w:r>
          </w:p>
        </w:tc>
        <w:tc>
          <w:tcPr>
            <w:tcW w:w="0" w:type="dxa"/>
            <w:vAlign w:val="bottom"/>
          </w:tcPr>
          <w:p>
            <w:pPr>
              <w:spacing w:after="0"/>
              <w:rPr>
                <w:sz w:val="1"/>
                <w:szCs w:val="1"/>
                <w:color w:val="auto"/>
              </w:rPr>
            </w:pPr>
          </w:p>
        </w:tc>
      </w:tr>
      <w:tr>
        <w:trPr>
          <w:trHeight w:val="213"/>
        </w:trPr>
        <w:tc>
          <w:tcPr>
            <w:tcW w:w="50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Net change in pension plan benefits</w:t>
            </w:r>
          </w:p>
        </w:tc>
        <w:tc>
          <w:tcPr>
            <w:tcW w:w="100" w:type="dxa"/>
            <w:vAlign w:val="bottom"/>
          </w:tcPr>
          <w:p>
            <w:pPr>
              <w:spacing w:after="0"/>
              <w:rPr>
                <w:sz w:val="18"/>
                <w:szCs w:val="18"/>
                <w:color w:val="auto"/>
              </w:rPr>
            </w:pPr>
          </w:p>
        </w:tc>
        <w:tc>
          <w:tcPr>
            <w:tcW w:w="14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4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420" w:type="dxa"/>
            <w:vAlign w:val="bottom"/>
            <w:gridSpan w:val="2"/>
          </w:tcPr>
          <w:p>
            <w:pPr>
              <w:ind w:left="11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0"/>
        </w:trPr>
        <w:tc>
          <w:tcPr>
            <w:tcW w:w="50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Ending Balance</w:t>
            </w:r>
          </w:p>
        </w:tc>
        <w:tc>
          <w:tcPr>
            <w:tcW w:w="10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74"/>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(1,196)</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(117,950)</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top w:val="single" w:sz="8" w:color="auto"/>
              <w:bottom w:val="single" w:sz="8" w:color="auto"/>
            </w:tcBorders>
            <w:shd w:val="clear" w:color="auto" w:fill="CCEEFF"/>
          </w:tcPr>
          <w:p>
            <w:pPr>
              <w:ind w:left="820"/>
              <w:spacing w:after="0"/>
              <w:rPr>
                <w:sz w:val="20"/>
                <w:szCs w:val="20"/>
                <w:color w:val="auto"/>
              </w:rPr>
            </w:pPr>
            <w:r>
              <w:rPr>
                <w:rFonts w:ascii="Times New Roman" w:cs="Times New Roman" w:eastAsia="Times New Roman" w:hAnsi="Times New Roman"/>
                <w:sz w:val="16"/>
                <w:szCs w:val="16"/>
                <w:color w:val="auto"/>
              </w:rPr>
              <w:t>(7,031)</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(126,177)</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Accumulated Other Comprehensive Income (Loss)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presents amounts reclassified out of each component of accumulated other comprehensive income (loss) for the three and six months ended June 30, 2024, and June 30, 2023 (in thousands).</w:t>
      </w: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5960" w:type="dxa"/>
            <w:vAlign w:val="bottom"/>
            <w:tcBorders>
              <w:bottom w:val="single" w:sz="8" w:color="auto"/>
            </w:tcBorders>
            <w:gridSpan w:val="10"/>
          </w:tcPr>
          <w:p>
            <w:pPr>
              <w:jc w:val="right"/>
              <w:ind w:right="519"/>
              <w:spacing w:after="0"/>
              <w:rPr>
                <w:sz w:val="20"/>
                <w:szCs w:val="20"/>
                <w:color w:val="auto"/>
              </w:rPr>
            </w:pPr>
            <w:r>
              <w:rPr>
                <w:rFonts w:ascii="Times New Roman" w:cs="Times New Roman" w:eastAsia="Times New Roman" w:hAnsi="Times New Roman"/>
                <w:sz w:val="16"/>
                <w:szCs w:val="16"/>
                <w:b w:val="1"/>
                <w:bCs w:val="1"/>
                <w:color w:val="auto"/>
              </w:rPr>
              <w:t>Amount Reclassified From Accumulated Other Comprehensive Income</w:t>
            </w:r>
          </w:p>
        </w:tc>
        <w:tc>
          <w:tcPr>
            <w:tcW w:w="10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840" w:type="dxa"/>
            <w:vAlign w:val="bottom"/>
            <w:tcBorders>
              <w:bottom w:val="single" w:sz="8" w:color="auto"/>
            </w:tcBorders>
            <w:gridSpan w:val="4"/>
          </w:tcPr>
          <w:p>
            <w:pPr>
              <w:jc w:val="right"/>
              <w:ind w:right="719"/>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840" w:type="dxa"/>
            <w:vAlign w:val="bottom"/>
            <w:tcBorders>
              <w:bottom w:val="single" w:sz="8" w:color="auto"/>
            </w:tcBorders>
            <w:gridSpan w:val="4"/>
          </w:tcPr>
          <w:p>
            <w:pPr>
              <w:jc w:val="right"/>
              <w:ind w:right="819"/>
              <w:spacing w:after="0"/>
              <w:rPr>
                <w:sz w:val="20"/>
                <w:szCs w:val="20"/>
                <w:color w:val="auto"/>
              </w:rPr>
            </w:pPr>
            <w:r>
              <w:rPr>
                <w:rFonts w:ascii="Times New Roman" w:cs="Times New Roman" w:eastAsia="Times New Roman" w:hAnsi="Times New Roman"/>
                <w:sz w:val="16"/>
                <w:szCs w:val="16"/>
                <w:b w:val="1"/>
                <w:bCs w:val="1"/>
                <w:color w:val="auto"/>
              </w:rPr>
              <w:t>Six months ended</w:t>
            </w:r>
          </w:p>
        </w:tc>
        <w:tc>
          <w:tcPr>
            <w:tcW w:w="10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6"/>
        </w:trPr>
        <w:tc>
          <w:tcPr>
            <w:tcW w:w="3200" w:type="dxa"/>
            <w:vAlign w:val="bottom"/>
            <w:gridSpan w:val="2"/>
          </w:tcPr>
          <w:p>
            <w:pPr>
              <w:ind w:left="20"/>
              <w:spacing w:after="0" w:line="146" w:lineRule="exact"/>
              <w:rPr>
                <w:sz w:val="20"/>
                <w:szCs w:val="20"/>
                <w:color w:val="auto"/>
              </w:rPr>
            </w:pPr>
            <w:r>
              <w:rPr>
                <w:rFonts w:ascii="Times New Roman" w:cs="Times New Roman" w:eastAsia="Times New Roman" w:hAnsi="Times New Roman"/>
                <w:sz w:val="16"/>
                <w:szCs w:val="16"/>
                <w:b w:val="1"/>
                <w:bCs w:val="1"/>
                <w:color w:val="auto"/>
              </w:rPr>
              <w:t>Details about Accumulated Other</w:t>
            </w:r>
          </w:p>
        </w:tc>
        <w:tc>
          <w:tcPr>
            <w:tcW w:w="180" w:type="dxa"/>
            <w:vAlign w:val="bottom"/>
          </w:tcPr>
          <w:p>
            <w:pPr>
              <w:spacing w:after="0"/>
              <w:rPr>
                <w:sz w:val="12"/>
                <w:szCs w:val="12"/>
                <w:color w:val="auto"/>
              </w:rPr>
            </w:pPr>
          </w:p>
        </w:tc>
        <w:tc>
          <w:tcPr>
            <w:tcW w:w="1380" w:type="dxa"/>
            <w:vAlign w:val="bottom"/>
            <w:gridSpan w:val="2"/>
            <w:vMerge w:val="restart"/>
          </w:tcPr>
          <w:p>
            <w:pPr>
              <w:ind w:left="80"/>
              <w:spacing w:after="0"/>
              <w:rPr>
                <w:sz w:val="20"/>
                <w:szCs w:val="20"/>
                <w:color w:val="auto"/>
              </w:rPr>
            </w:pPr>
            <w:r>
              <w:rPr>
                <w:rFonts w:ascii="Times New Roman" w:cs="Times New Roman" w:eastAsia="Times New Roman" w:hAnsi="Times New Roman"/>
                <w:sz w:val="16"/>
                <w:szCs w:val="16"/>
                <w:b w:val="1"/>
                <w:bCs w:val="1"/>
                <w:color w:val="auto"/>
              </w:rPr>
              <w:t>June 30, 2024</w:t>
            </w:r>
          </w:p>
        </w:tc>
        <w:tc>
          <w:tcPr>
            <w:tcW w:w="180" w:type="dxa"/>
            <w:vAlign w:val="bottom"/>
          </w:tcPr>
          <w:p>
            <w:pPr>
              <w:spacing w:after="0"/>
              <w:rPr>
                <w:sz w:val="12"/>
                <w:szCs w:val="12"/>
                <w:color w:val="auto"/>
              </w:rPr>
            </w:pPr>
          </w:p>
        </w:tc>
        <w:tc>
          <w:tcPr>
            <w:tcW w:w="1380" w:type="dxa"/>
            <w:vAlign w:val="bottom"/>
            <w:gridSpan w:val="2"/>
            <w:vMerge w:val="restart"/>
          </w:tcPr>
          <w:p>
            <w:pPr>
              <w:ind w:left="80"/>
              <w:spacing w:after="0"/>
              <w:rPr>
                <w:sz w:val="20"/>
                <w:szCs w:val="20"/>
                <w:color w:val="auto"/>
              </w:rPr>
            </w:pPr>
            <w:r>
              <w:rPr>
                <w:rFonts w:ascii="Times New Roman" w:cs="Times New Roman" w:eastAsia="Times New Roman" w:hAnsi="Times New Roman"/>
                <w:sz w:val="16"/>
                <w:szCs w:val="16"/>
                <w:b w:val="1"/>
                <w:bCs w:val="1"/>
                <w:color w:val="auto"/>
              </w:rPr>
              <w:t>June 30, 2023</w:t>
            </w:r>
          </w:p>
        </w:tc>
        <w:tc>
          <w:tcPr>
            <w:tcW w:w="180" w:type="dxa"/>
            <w:vAlign w:val="bottom"/>
          </w:tcPr>
          <w:p>
            <w:pPr>
              <w:spacing w:after="0"/>
              <w:rPr>
                <w:sz w:val="12"/>
                <w:szCs w:val="12"/>
                <w:color w:val="auto"/>
              </w:rPr>
            </w:pPr>
          </w:p>
        </w:tc>
        <w:tc>
          <w:tcPr>
            <w:tcW w:w="1360" w:type="dxa"/>
            <w:vAlign w:val="bottom"/>
            <w:gridSpan w:val="2"/>
            <w:vMerge w:val="restart"/>
          </w:tcPr>
          <w:p>
            <w:pPr>
              <w:ind w:left="80"/>
              <w:spacing w:after="0"/>
              <w:rPr>
                <w:sz w:val="20"/>
                <w:szCs w:val="20"/>
                <w:color w:val="auto"/>
              </w:rPr>
            </w:pPr>
            <w:r>
              <w:rPr>
                <w:rFonts w:ascii="Times New Roman" w:cs="Times New Roman" w:eastAsia="Times New Roman" w:hAnsi="Times New Roman"/>
                <w:sz w:val="16"/>
                <w:szCs w:val="16"/>
                <w:b w:val="1"/>
                <w:bCs w:val="1"/>
                <w:color w:val="auto"/>
              </w:rPr>
              <w:t>June 30, 2024</w:t>
            </w:r>
          </w:p>
        </w:tc>
        <w:tc>
          <w:tcPr>
            <w:tcW w:w="180" w:type="dxa"/>
            <w:vAlign w:val="bottom"/>
          </w:tcPr>
          <w:p>
            <w:pPr>
              <w:spacing w:after="0"/>
              <w:rPr>
                <w:sz w:val="12"/>
                <w:szCs w:val="12"/>
                <w:color w:val="auto"/>
              </w:rPr>
            </w:pPr>
          </w:p>
        </w:tc>
        <w:tc>
          <w:tcPr>
            <w:tcW w:w="1300" w:type="dxa"/>
            <w:vAlign w:val="bottom"/>
            <w:vMerge w:val="restart"/>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June 30, 2023</w:t>
            </w:r>
          </w:p>
        </w:tc>
        <w:tc>
          <w:tcPr>
            <w:tcW w:w="100" w:type="dxa"/>
            <w:vAlign w:val="bottom"/>
          </w:tcPr>
          <w:p>
            <w:pPr>
              <w:spacing w:after="0"/>
              <w:rPr>
                <w:sz w:val="12"/>
                <w:szCs w:val="12"/>
                <w:color w:val="auto"/>
              </w:rPr>
            </w:pPr>
          </w:p>
        </w:tc>
        <w:tc>
          <w:tcPr>
            <w:tcW w:w="1800" w:type="dxa"/>
            <w:vAlign w:val="bottom"/>
          </w:tcPr>
          <w:p>
            <w:pPr>
              <w:ind w:left="20"/>
              <w:spacing w:after="0" w:line="146" w:lineRule="exact"/>
              <w:rPr>
                <w:sz w:val="20"/>
                <w:szCs w:val="20"/>
                <w:color w:val="auto"/>
              </w:rPr>
            </w:pPr>
            <w:r>
              <w:rPr>
                <w:rFonts w:ascii="Times New Roman" w:cs="Times New Roman" w:eastAsia="Times New Roman" w:hAnsi="Times New Roman"/>
                <w:sz w:val="16"/>
                <w:szCs w:val="16"/>
                <w:b w:val="1"/>
                <w:bCs w:val="1"/>
                <w:color w:val="auto"/>
              </w:rPr>
              <w:t>Affected Line Item in the</w:t>
            </w:r>
          </w:p>
        </w:tc>
        <w:tc>
          <w:tcPr>
            <w:tcW w:w="0" w:type="dxa"/>
            <w:vAlign w:val="bottom"/>
          </w:tcPr>
          <w:p>
            <w:pPr>
              <w:spacing w:after="0"/>
              <w:rPr>
                <w:sz w:val="1"/>
                <w:szCs w:val="1"/>
                <w:color w:val="auto"/>
              </w:rPr>
            </w:pPr>
          </w:p>
        </w:tc>
      </w:tr>
      <w:tr>
        <w:trPr>
          <w:trHeight w:val="214"/>
        </w:trPr>
        <w:tc>
          <w:tcPr>
            <w:tcW w:w="320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Comprehensive Income Components</w:t>
            </w:r>
          </w:p>
        </w:tc>
        <w:tc>
          <w:tcPr>
            <w:tcW w:w="180" w:type="dxa"/>
            <w:vAlign w:val="bottom"/>
          </w:tcPr>
          <w:p>
            <w:pPr>
              <w:spacing w:after="0"/>
              <w:rPr>
                <w:sz w:val="18"/>
                <w:szCs w:val="18"/>
                <w:color w:val="auto"/>
              </w:rPr>
            </w:pPr>
          </w:p>
        </w:tc>
        <w:tc>
          <w:tcPr>
            <w:tcW w:w="138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800" w:type="dxa"/>
            <w:vAlign w:val="bottom"/>
          </w:tcPr>
          <w:p>
            <w:pPr>
              <w:ind w:left="140"/>
              <w:spacing w:after="0"/>
              <w:rPr>
                <w:sz w:val="20"/>
                <w:szCs w:val="20"/>
                <w:color w:val="auto"/>
              </w:rPr>
            </w:pPr>
            <w:r>
              <w:rPr>
                <w:rFonts w:ascii="Times New Roman" w:cs="Times New Roman" w:eastAsia="Times New Roman" w:hAnsi="Times New Roman"/>
                <w:sz w:val="16"/>
                <w:szCs w:val="16"/>
                <w:b w:val="1"/>
                <w:bCs w:val="1"/>
                <w:color w:val="auto"/>
              </w:rPr>
              <w:t>Statements of Income</w:t>
            </w:r>
          </w:p>
        </w:tc>
        <w:tc>
          <w:tcPr>
            <w:tcW w:w="0" w:type="dxa"/>
            <w:vAlign w:val="bottom"/>
          </w:tcPr>
          <w:p>
            <w:pPr>
              <w:spacing w:after="0"/>
              <w:rPr>
                <w:sz w:val="1"/>
                <w:szCs w:val="1"/>
                <w:color w:val="auto"/>
              </w:rPr>
            </w:pPr>
          </w:p>
        </w:tc>
      </w:tr>
      <w:tr>
        <w:trPr>
          <w:trHeight w:val="211"/>
        </w:trPr>
        <w:tc>
          <w:tcPr>
            <w:tcW w:w="31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flow hedges:</w:t>
            </w: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200" w:type="dxa"/>
            <w:vAlign w:val="bottom"/>
            <w:gridSpan w:val="2"/>
          </w:tcPr>
          <w:p>
            <w:pPr>
              <w:ind w:left="240"/>
              <w:spacing w:after="0"/>
              <w:rPr>
                <w:sz w:val="20"/>
                <w:szCs w:val="20"/>
                <w:color w:val="auto"/>
              </w:rPr>
            </w:pPr>
            <w:r>
              <w:rPr>
                <w:rFonts w:ascii="Times New Roman" w:cs="Times New Roman" w:eastAsia="Times New Roman" w:hAnsi="Times New Roman"/>
                <w:sz w:val="16"/>
                <w:szCs w:val="16"/>
                <w:color w:val="auto"/>
              </w:rPr>
              <w:t>Interest rate contracts</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(128)</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(423)</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(611)</w:t>
            </w:r>
          </w:p>
        </w:tc>
        <w:tc>
          <w:tcPr>
            <w:tcW w:w="8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(786)</w:t>
            </w:r>
          </w:p>
        </w:tc>
        <w:tc>
          <w:tcPr>
            <w:tcW w:w="100" w:type="dxa"/>
            <w:vAlign w:val="bottom"/>
          </w:tcPr>
          <w:p>
            <w:pPr>
              <w:spacing w:after="0"/>
              <w:rPr>
                <w:sz w:val="18"/>
                <w:szCs w:val="18"/>
                <w:color w:val="auto"/>
              </w:rPr>
            </w:pPr>
          </w:p>
        </w:tc>
        <w:tc>
          <w:tcPr>
            <w:tcW w:w="1800" w:type="dxa"/>
            <w:vAlign w:val="bottom"/>
          </w:tcPr>
          <w:p>
            <w:pPr>
              <w:spacing w:after="0"/>
              <w:rPr>
                <w:sz w:val="20"/>
                <w:szCs w:val="20"/>
                <w:color w:val="auto"/>
              </w:rPr>
            </w:pPr>
            <w:r>
              <w:rPr>
                <w:rFonts w:ascii="Times New Roman" w:cs="Times New Roman" w:eastAsia="Times New Roman" w:hAnsi="Times New Roman"/>
                <w:sz w:val="16"/>
                <w:szCs w:val="16"/>
                <w:color w:val="auto"/>
              </w:rPr>
              <w:t>Interest income</w:t>
            </w:r>
          </w:p>
        </w:tc>
        <w:tc>
          <w:tcPr>
            <w:tcW w:w="0" w:type="dxa"/>
            <w:vAlign w:val="bottom"/>
          </w:tcPr>
          <w:p>
            <w:pPr>
              <w:spacing w:after="0"/>
              <w:rPr>
                <w:sz w:val="1"/>
                <w:szCs w:val="1"/>
                <w:color w:val="auto"/>
              </w:rPr>
            </w:pPr>
          </w:p>
        </w:tc>
      </w:tr>
      <w:tr>
        <w:trPr>
          <w:trHeight w:val="219"/>
        </w:trPr>
        <w:tc>
          <w:tcPr>
            <w:tcW w:w="320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Interest rate contracts</w:t>
            </w: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1,034</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18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Interest expense</w:t>
            </w:r>
          </w:p>
        </w:tc>
        <w:tc>
          <w:tcPr>
            <w:tcW w:w="0" w:type="dxa"/>
            <w:vAlign w:val="bottom"/>
          </w:tcPr>
          <w:p>
            <w:pPr>
              <w:spacing w:after="0"/>
              <w:rPr>
                <w:sz w:val="1"/>
                <w:szCs w:val="1"/>
                <w:color w:val="auto"/>
              </w:rPr>
            </w:pPr>
          </w:p>
        </w:tc>
      </w:tr>
      <w:tr>
        <w:trPr>
          <w:trHeight w:val="162"/>
        </w:trPr>
        <w:tc>
          <w:tcPr>
            <w:tcW w:w="3200" w:type="dxa"/>
            <w:vAlign w:val="bottom"/>
            <w:gridSpan w:val="2"/>
            <w:vMerge w:val="restart"/>
          </w:tcPr>
          <w:p>
            <w:pPr>
              <w:ind w:left="240"/>
              <w:spacing w:after="0"/>
              <w:rPr>
                <w:sz w:val="20"/>
                <w:szCs w:val="20"/>
                <w:color w:val="auto"/>
              </w:rPr>
            </w:pPr>
            <w:r>
              <w:rPr>
                <w:rFonts w:ascii="Times New Roman" w:cs="Times New Roman" w:eastAsia="Times New Roman" w:hAnsi="Times New Roman"/>
                <w:sz w:val="16"/>
                <w:szCs w:val="16"/>
                <w:color w:val="auto"/>
              </w:rPr>
              <w:t>Tax effect</w:t>
            </w:r>
          </w:p>
        </w:tc>
        <w:tc>
          <w:tcPr>
            <w:tcW w:w="180" w:type="dxa"/>
            <w:vAlign w:val="bottom"/>
          </w:tcPr>
          <w:p>
            <w:pPr>
              <w:spacing w:after="0"/>
              <w:rPr>
                <w:sz w:val="14"/>
                <w:szCs w:val="14"/>
                <w:color w:val="auto"/>
              </w:rPr>
            </w:pP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(182)</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89</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(89)</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165</w:t>
            </w:r>
          </w:p>
        </w:tc>
        <w:tc>
          <w:tcPr>
            <w:tcW w:w="100" w:type="dxa"/>
            <w:vAlign w:val="bottom"/>
          </w:tcPr>
          <w:p>
            <w:pPr>
              <w:spacing w:after="0"/>
              <w:rPr>
                <w:sz w:val="14"/>
                <w:szCs w:val="14"/>
                <w:color w:val="auto"/>
              </w:rPr>
            </w:pPr>
          </w:p>
        </w:tc>
        <w:tc>
          <w:tcPr>
            <w:tcW w:w="1800" w:type="dxa"/>
            <w:vAlign w:val="bottom"/>
          </w:tcPr>
          <w:p>
            <w:pPr>
              <w:spacing w:after="0" w:line="162" w:lineRule="exact"/>
              <w:rPr>
                <w:sz w:val="20"/>
                <w:szCs w:val="20"/>
                <w:color w:val="auto"/>
              </w:rPr>
            </w:pPr>
            <w:r>
              <w:rPr>
                <w:rFonts w:ascii="Times New Roman" w:cs="Times New Roman" w:eastAsia="Times New Roman" w:hAnsi="Times New Roman"/>
                <w:sz w:val="16"/>
                <w:szCs w:val="16"/>
                <w:color w:val="auto"/>
              </w:rPr>
              <w:t>Income tax expense</w:t>
            </w:r>
          </w:p>
        </w:tc>
        <w:tc>
          <w:tcPr>
            <w:tcW w:w="0" w:type="dxa"/>
            <w:vAlign w:val="bottom"/>
          </w:tcPr>
          <w:p>
            <w:pPr>
              <w:spacing w:after="0"/>
              <w:rPr>
                <w:sz w:val="1"/>
                <w:szCs w:val="1"/>
                <w:color w:val="auto"/>
              </w:rPr>
            </w:pPr>
          </w:p>
        </w:tc>
      </w:tr>
      <w:tr>
        <w:trPr>
          <w:trHeight w:val="213"/>
        </w:trPr>
        <w:tc>
          <w:tcPr>
            <w:tcW w:w="3200" w:type="dxa"/>
            <w:vAlign w:val="bottom"/>
            <w:tcBorders>
              <w:bottom w:val="single" w:sz="8" w:color="CCEEFF"/>
            </w:tcBorders>
            <w:gridSpan w:val="2"/>
            <w:vMerge w:val="continue"/>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8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(benefit)</w:t>
            </w:r>
          </w:p>
        </w:tc>
        <w:tc>
          <w:tcPr>
            <w:tcW w:w="0" w:type="dxa"/>
            <w:vAlign w:val="bottom"/>
          </w:tcPr>
          <w:p>
            <w:pPr>
              <w:spacing w:after="0"/>
              <w:rPr>
                <w:sz w:val="1"/>
                <w:szCs w:val="1"/>
                <w:color w:val="auto"/>
              </w:rPr>
            </w:pPr>
          </w:p>
        </w:tc>
      </w:tr>
      <w:tr>
        <w:trPr>
          <w:trHeight w:val="209"/>
        </w:trPr>
        <w:tc>
          <w:tcPr>
            <w:tcW w:w="320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Net of tax</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687</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(334)</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334</w:t>
            </w:r>
          </w:p>
        </w:tc>
        <w:tc>
          <w:tcPr>
            <w:tcW w:w="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(621)</w:t>
            </w:r>
          </w:p>
        </w:tc>
        <w:tc>
          <w:tcPr>
            <w:tcW w:w="10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3"/>
        </w:trPr>
        <w:tc>
          <w:tcPr>
            <w:tcW w:w="3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3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Available-for-sale securities:</w:t>
            </w: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3200" w:type="dxa"/>
            <w:vAlign w:val="bottom"/>
            <w:gridSpan w:val="2"/>
            <w:vMerge w:val="restart"/>
          </w:tcPr>
          <w:p>
            <w:pPr>
              <w:ind w:left="240"/>
              <w:spacing w:after="0"/>
              <w:rPr>
                <w:sz w:val="20"/>
                <w:szCs w:val="20"/>
                <w:color w:val="auto"/>
              </w:rPr>
            </w:pPr>
            <w:r>
              <w:rPr>
                <w:rFonts w:ascii="Times New Roman" w:cs="Times New Roman" w:eastAsia="Times New Roman" w:hAnsi="Times New Roman"/>
                <w:sz w:val="16"/>
                <w:szCs w:val="16"/>
                <w:color w:val="auto"/>
              </w:rPr>
              <w:t>Realized gains (losses) on securities</w:t>
            </w: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613</w:t>
            </w:r>
          </w:p>
        </w:tc>
        <w:tc>
          <w:tcPr>
            <w:tcW w:w="100" w:type="dxa"/>
            <w:vAlign w:val="bottom"/>
          </w:tcPr>
          <w:p>
            <w:pPr>
              <w:spacing w:after="0"/>
              <w:rPr>
                <w:sz w:val="14"/>
                <w:szCs w:val="14"/>
                <w:color w:val="auto"/>
              </w:rPr>
            </w:pP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(111)</w:t>
            </w:r>
          </w:p>
        </w:tc>
        <w:tc>
          <w:tcPr>
            <w:tcW w:w="100" w:type="dxa"/>
            <w:vAlign w:val="bottom"/>
          </w:tcPr>
          <w:p>
            <w:pPr>
              <w:spacing w:after="0"/>
              <w:rPr>
                <w:sz w:val="14"/>
                <w:szCs w:val="14"/>
                <w:color w:val="auto"/>
              </w:rPr>
            </w:pP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613</w:t>
            </w:r>
          </w:p>
        </w:tc>
        <w:tc>
          <w:tcPr>
            <w:tcW w:w="80" w:type="dxa"/>
            <w:vAlign w:val="bottom"/>
          </w:tcPr>
          <w:p>
            <w:pPr>
              <w:spacing w:after="0"/>
              <w:rPr>
                <w:sz w:val="14"/>
                <w:szCs w:val="14"/>
                <w:color w:val="auto"/>
              </w:rPr>
            </w:pP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(111)</w:t>
            </w:r>
          </w:p>
        </w:tc>
        <w:tc>
          <w:tcPr>
            <w:tcW w:w="100" w:type="dxa"/>
            <w:vAlign w:val="bottom"/>
          </w:tcPr>
          <w:p>
            <w:pPr>
              <w:spacing w:after="0"/>
              <w:rPr>
                <w:sz w:val="14"/>
                <w:szCs w:val="14"/>
                <w:color w:val="auto"/>
              </w:rPr>
            </w:pPr>
          </w:p>
        </w:tc>
        <w:tc>
          <w:tcPr>
            <w:tcW w:w="1800" w:type="dxa"/>
            <w:vAlign w:val="bottom"/>
          </w:tcPr>
          <w:p>
            <w:pPr>
              <w:spacing w:after="0" w:line="162" w:lineRule="exact"/>
              <w:rPr>
                <w:sz w:val="20"/>
                <w:szCs w:val="20"/>
                <w:color w:val="auto"/>
              </w:rPr>
            </w:pPr>
            <w:r>
              <w:rPr>
                <w:rFonts w:ascii="Times New Roman" w:cs="Times New Roman" w:eastAsia="Times New Roman" w:hAnsi="Times New Roman"/>
                <w:sz w:val="16"/>
                <w:szCs w:val="16"/>
                <w:color w:val="auto"/>
              </w:rPr>
              <w:t>Net gains/(losses) on</w:t>
            </w:r>
          </w:p>
        </w:tc>
        <w:tc>
          <w:tcPr>
            <w:tcW w:w="0" w:type="dxa"/>
            <w:vAlign w:val="bottom"/>
          </w:tcPr>
          <w:p>
            <w:pPr>
              <w:spacing w:after="0"/>
              <w:rPr>
                <w:sz w:val="1"/>
                <w:szCs w:val="1"/>
                <w:color w:val="auto"/>
              </w:rPr>
            </w:pPr>
          </w:p>
        </w:tc>
      </w:tr>
      <w:tr>
        <w:trPr>
          <w:trHeight w:val="213"/>
        </w:trPr>
        <w:tc>
          <w:tcPr>
            <w:tcW w:w="3200" w:type="dxa"/>
            <w:vAlign w:val="bottom"/>
            <w:gridSpan w:val="2"/>
            <w:vMerge w:val="continue"/>
          </w:tcPr>
          <w:p>
            <w:pPr>
              <w:spacing w:after="0"/>
              <w:rPr>
                <w:sz w:val="18"/>
                <w:szCs w:val="18"/>
                <w:color w:val="auto"/>
              </w:rPr>
            </w:pPr>
          </w:p>
        </w:tc>
        <w:tc>
          <w:tcPr>
            <w:tcW w:w="180" w:type="dxa"/>
            <w:vAlign w:val="bottom"/>
            <w:vMerge w:val="continue"/>
          </w:tcPr>
          <w:p>
            <w:pPr>
              <w:spacing w:after="0"/>
              <w:rPr>
                <w:sz w:val="18"/>
                <w:szCs w:val="18"/>
                <w:color w:val="auto"/>
              </w:rPr>
            </w:pPr>
          </w:p>
        </w:tc>
        <w:tc>
          <w:tcPr>
            <w:tcW w:w="12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vMerge w:val="continue"/>
          </w:tcPr>
          <w:p>
            <w:pPr>
              <w:spacing w:after="0"/>
              <w:rPr>
                <w:sz w:val="18"/>
                <w:szCs w:val="18"/>
                <w:color w:val="auto"/>
              </w:rPr>
            </w:pPr>
          </w:p>
        </w:tc>
        <w:tc>
          <w:tcPr>
            <w:tcW w:w="12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vMerge w:val="continue"/>
          </w:tcPr>
          <w:p>
            <w:pPr>
              <w:spacing w:after="0"/>
              <w:rPr>
                <w:sz w:val="18"/>
                <w:szCs w:val="18"/>
                <w:color w:val="auto"/>
              </w:rPr>
            </w:pPr>
          </w:p>
        </w:tc>
        <w:tc>
          <w:tcPr>
            <w:tcW w:w="12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vMerge w:val="continue"/>
          </w:tcPr>
          <w:p>
            <w:pPr>
              <w:spacing w:after="0"/>
              <w:rPr>
                <w:sz w:val="18"/>
                <w:szCs w:val="18"/>
                <w:color w:val="auto"/>
              </w:rPr>
            </w:pPr>
          </w:p>
        </w:tc>
        <w:tc>
          <w:tcPr>
            <w:tcW w:w="13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800" w:type="dxa"/>
            <w:vAlign w:val="bottom"/>
          </w:tcPr>
          <w:p>
            <w:pPr>
              <w:spacing w:after="0"/>
              <w:rPr>
                <w:sz w:val="20"/>
                <w:szCs w:val="20"/>
                <w:color w:val="auto"/>
              </w:rPr>
            </w:pPr>
            <w:r>
              <w:rPr>
                <w:rFonts w:ascii="Times New Roman" w:cs="Times New Roman" w:eastAsia="Times New Roman" w:hAnsi="Times New Roman"/>
                <w:sz w:val="16"/>
                <w:szCs w:val="16"/>
                <w:color w:val="auto"/>
              </w:rPr>
              <w:t>securities</w:t>
            </w:r>
          </w:p>
        </w:tc>
        <w:tc>
          <w:tcPr>
            <w:tcW w:w="0" w:type="dxa"/>
            <w:vAlign w:val="bottom"/>
          </w:tcPr>
          <w:p>
            <w:pPr>
              <w:spacing w:after="0"/>
              <w:rPr>
                <w:sz w:val="1"/>
                <w:szCs w:val="1"/>
                <w:color w:val="auto"/>
              </w:rPr>
            </w:pPr>
          </w:p>
        </w:tc>
      </w:tr>
      <w:tr>
        <w:trPr>
          <w:trHeight w:val="165"/>
        </w:trPr>
        <w:tc>
          <w:tcPr>
            <w:tcW w:w="3200" w:type="dxa"/>
            <w:vAlign w:val="bottom"/>
            <w:gridSpan w:val="2"/>
            <w:shd w:val="clear" w:color="auto" w:fill="CCEEFF"/>
          </w:tcPr>
          <w:p>
            <w:pPr>
              <w:ind w:left="240"/>
              <w:spacing w:after="0" w:line="165" w:lineRule="exact"/>
              <w:rPr>
                <w:sz w:val="20"/>
                <w:szCs w:val="20"/>
                <w:color w:val="auto"/>
              </w:rPr>
            </w:pPr>
            <w:r>
              <w:rPr>
                <w:rFonts w:ascii="Times New Roman" w:cs="Times New Roman" w:eastAsia="Times New Roman" w:hAnsi="Times New Roman"/>
                <w:sz w:val="16"/>
                <w:szCs w:val="16"/>
                <w:color w:val="auto"/>
              </w:rPr>
              <w:t>Realized gains (losses) on basis adjustment</w:t>
            </w:r>
          </w:p>
        </w:tc>
        <w:tc>
          <w:tcPr>
            <w:tcW w:w="180" w:type="dxa"/>
            <w:vAlign w:val="bottom"/>
            <w:shd w:val="clear" w:color="auto" w:fill="CCEEFF"/>
          </w:tcPr>
          <w:p>
            <w:pPr>
              <w:spacing w:after="0"/>
              <w:rPr>
                <w:sz w:val="14"/>
                <w:szCs w:val="14"/>
                <w:color w:val="auto"/>
              </w:rPr>
            </w:pPr>
          </w:p>
        </w:tc>
        <w:tc>
          <w:tcPr>
            <w:tcW w:w="12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(3,467)</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3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(1,105)</w:t>
            </w:r>
          </w:p>
        </w:tc>
        <w:tc>
          <w:tcPr>
            <w:tcW w:w="100" w:type="dxa"/>
            <w:vAlign w:val="bottom"/>
            <w:shd w:val="clear" w:color="auto" w:fill="CCEEFF"/>
          </w:tcPr>
          <w:p>
            <w:pPr>
              <w:spacing w:after="0"/>
              <w:rPr>
                <w:sz w:val="14"/>
                <w:szCs w:val="14"/>
                <w:color w:val="auto"/>
              </w:rPr>
            </w:pPr>
          </w:p>
        </w:tc>
        <w:tc>
          <w:tcPr>
            <w:tcW w:w="180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6"/>
                <w:szCs w:val="16"/>
                <w:color w:val="auto"/>
              </w:rPr>
              <w:t>Interest income</w:t>
            </w:r>
          </w:p>
        </w:tc>
        <w:tc>
          <w:tcPr>
            <w:tcW w:w="0" w:type="dxa"/>
            <w:vAlign w:val="bottom"/>
          </w:tcPr>
          <w:p>
            <w:pPr>
              <w:spacing w:after="0"/>
              <w:rPr>
                <w:sz w:val="1"/>
                <w:szCs w:val="1"/>
                <w:color w:val="auto"/>
              </w:rPr>
            </w:pPr>
          </w:p>
        </w:tc>
      </w:tr>
      <w:tr>
        <w:trPr>
          <w:trHeight w:val="216"/>
        </w:trPr>
        <w:tc>
          <w:tcPr>
            <w:tcW w:w="320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6"/>
                <w:szCs w:val="16"/>
                <w:color w:val="auto"/>
              </w:rPr>
              <w:t>for fair value hedges</w:t>
            </w:r>
          </w:p>
        </w:tc>
        <w:tc>
          <w:tcPr>
            <w:tcW w:w="180" w:type="dxa"/>
            <w:vAlign w:val="bottom"/>
            <w:shd w:val="clear" w:color="auto" w:fill="CCEEFF"/>
          </w:tcPr>
          <w:p>
            <w:pPr>
              <w:spacing w:after="0"/>
              <w:rPr>
                <w:sz w:val="18"/>
                <w:szCs w:val="18"/>
                <w:color w:val="auto"/>
              </w:rPr>
            </w:pPr>
          </w:p>
        </w:tc>
        <w:tc>
          <w:tcPr>
            <w:tcW w:w="12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3200" w:type="dxa"/>
            <w:vAlign w:val="bottom"/>
            <w:gridSpan w:val="2"/>
            <w:vMerge w:val="restart"/>
          </w:tcPr>
          <w:p>
            <w:pPr>
              <w:ind w:left="240"/>
              <w:spacing w:after="0"/>
              <w:rPr>
                <w:sz w:val="20"/>
                <w:szCs w:val="20"/>
                <w:color w:val="auto"/>
              </w:rPr>
            </w:pPr>
            <w:r>
              <w:rPr>
                <w:rFonts w:ascii="Times New Roman" w:cs="Times New Roman" w:eastAsia="Times New Roman" w:hAnsi="Times New Roman"/>
                <w:sz w:val="16"/>
                <w:szCs w:val="16"/>
                <w:color w:val="auto"/>
              </w:rPr>
              <w:t>Tax effect</w:t>
            </w:r>
          </w:p>
        </w:tc>
        <w:tc>
          <w:tcPr>
            <w:tcW w:w="180" w:type="dxa"/>
            <w:vAlign w:val="bottom"/>
          </w:tcPr>
          <w:p>
            <w:pPr>
              <w:spacing w:after="0"/>
              <w:rPr>
                <w:sz w:val="14"/>
                <w:szCs w:val="14"/>
                <w:color w:val="auto"/>
              </w:rPr>
            </w:pP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(137)</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751</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(146)</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255</w:t>
            </w:r>
          </w:p>
        </w:tc>
        <w:tc>
          <w:tcPr>
            <w:tcW w:w="100" w:type="dxa"/>
            <w:vAlign w:val="bottom"/>
          </w:tcPr>
          <w:p>
            <w:pPr>
              <w:spacing w:after="0"/>
              <w:rPr>
                <w:sz w:val="14"/>
                <w:szCs w:val="14"/>
                <w:color w:val="auto"/>
              </w:rPr>
            </w:pPr>
          </w:p>
        </w:tc>
        <w:tc>
          <w:tcPr>
            <w:tcW w:w="1800" w:type="dxa"/>
            <w:vAlign w:val="bottom"/>
          </w:tcPr>
          <w:p>
            <w:pPr>
              <w:spacing w:after="0" w:line="162" w:lineRule="exact"/>
              <w:rPr>
                <w:sz w:val="20"/>
                <w:szCs w:val="20"/>
                <w:color w:val="auto"/>
              </w:rPr>
            </w:pPr>
            <w:r>
              <w:rPr>
                <w:rFonts w:ascii="Times New Roman" w:cs="Times New Roman" w:eastAsia="Times New Roman" w:hAnsi="Times New Roman"/>
                <w:sz w:val="16"/>
                <w:szCs w:val="16"/>
                <w:color w:val="auto"/>
              </w:rPr>
              <w:t>Income tax expense</w:t>
            </w:r>
          </w:p>
        </w:tc>
        <w:tc>
          <w:tcPr>
            <w:tcW w:w="0" w:type="dxa"/>
            <w:vAlign w:val="bottom"/>
          </w:tcPr>
          <w:p>
            <w:pPr>
              <w:spacing w:after="0"/>
              <w:rPr>
                <w:sz w:val="1"/>
                <w:szCs w:val="1"/>
                <w:color w:val="auto"/>
              </w:rPr>
            </w:pPr>
          </w:p>
        </w:tc>
      </w:tr>
      <w:tr>
        <w:trPr>
          <w:trHeight w:val="213"/>
        </w:trPr>
        <w:tc>
          <w:tcPr>
            <w:tcW w:w="3200" w:type="dxa"/>
            <w:vAlign w:val="bottom"/>
            <w:tcBorders>
              <w:bottom w:val="single" w:sz="8" w:color="CCEEFF"/>
            </w:tcBorders>
            <w:gridSpan w:val="2"/>
            <w:vMerge w:val="continue"/>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8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(benefit)</w:t>
            </w:r>
          </w:p>
        </w:tc>
        <w:tc>
          <w:tcPr>
            <w:tcW w:w="0" w:type="dxa"/>
            <w:vAlign w:val="bottom"/>
          </w:tcPr>
          <w:p>
            <w:pPr>
              <w:spacing w:after="0"/>
              <w:rPr>
                <w:sz w:val="1"/>
                <w:szCs w:val="1"/>
                <w:color w:val="auto"/>
              </w:rPr>
            </w:pPr>
          </w:p>
        </w:tc>
      </w:tr>
      <w:tr>
        <w:trPr>
          <w:trHeight w:val="209"/>
        </w:trPr>
        <w:tc>
          <w:tcPr>
            <w:tcW w:w="320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Net of tax</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516</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(2,827)</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548</w:t>
            </w:r>
          </w:p>
        </w:tc>
        <w:tc>
          <w:tcPr>
            <w:tcW w:w="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(961)</w:t>
            </w:r>
          </w:p>
        </w:tc>
        <w:tc>
          <w:tcPr>
            <w:tcW w:w="10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3"/>
        </w:trPr>
        <w:tc>
          <w:tcPr>
            <w:tcW w:w="312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8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07"/>
        </w:trPr>
        <w:tc>
          <w:tcPr>
            <w:tcW w:w="320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Total reclassifications, net of tax</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1,203</w:t>
            </w: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(3,161)</w:t>
            </w: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882</w:t>
            </w:r>
          </w:p>
        </w:tc>
        <w:tc>
          <w:tcPr>
            <w:tcW w:w="8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(1,582)</w:t>
            </w:r>
          </w:p>
        </w:tc>
        <w:tc>
          <w:tcPr>
            <w:tcW w:w="100" w:type="dxa"/>
            <w:vAlign w:val="bottom"/>
            <w:shd w:val="clear" w:color="auto" w:fill="CCEEFF"/>
          </w:tcPr>
          <w:p>
            <w:pPr>
              <w:spacing w:after="0"/>
              <w:rPr>
                <w:sz w:val="17"/>
                <w:szCs w:val="17"/>
                <w:color w:val="auto"/>
              </w:rPr>
            </w:pPr>
          </w:p>
        </w:tc>
        <w:tc>
          <w:tcPr>
            <w:tcW w:w="18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income</w:t>
            </w:r>
          </w:p>
        </w:tc>
        <w:tc>
          <w:tcPr>
            <w:tcW w:w="0" w:type="dxa"/>
            <w:vAlign w:val="bottom"/>
          </w:tcPr>
          <w:p>
            <w:pPr>
              <w:spacing w:after="0"/>
              <w:rPr>
                <w:sz w:val="1"/>
                <w:szCs w:val="1"/>
                <w:color w:val="auto"/>
              </w:rPr>
            </w:pP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Other Operating Expense</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Other operating expense from the Consolidated Statements of Income for the three and six months ended June 30, 2024, and June 30, 2023, is as follows (in thousands):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060" w:type="dxa"/>
            <w:vAlign w:val="bottom"/>
          </w:tcPr>
          <w:p>
            <w:pPr>
              <w:spacing w:after="0"/>
              <w:rPr>
                <w:sz w:val="16"/>
                <w:szCs w:val="16"/>
                <w:color w:val="auto"/>
              </w:rPr>
            </w:pPr>
          </w:p>
        </w:tc>
        <w:tc>
          <w:tcPr>
            <w:tcW w:w="250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700" w:type="dxa"/>
            <w:vAlign w:val="bottom"/>
            <w:gridSpan w:val="4"/>
          </w:tcPr>
          <w:p>
            <w:pPr>
              <w:jc w:val="right"/>
              <w:ind w:right="591"/>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203"/>
        </w:trPr>
        <w:tc>
          <w:tcPr>
            <w:tcW w:w="50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3"/>
        </w:trPr>
        <w:tc>
          <w:tcPr>
            <w:tcW w:w="506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23"/>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FDIC assessment</w:t>
            </w:r>
          </w:p>
        </w:tc>
        <w:tc>
          <w:tcPr>
            <w:tcW w:w="880" w:type="dxa"/>
            <w:vAlign w:val="bottom"/>
            <w:shd w:val="clear" w:color="auto" w:fill="CCEEFF"/>
          </w:tcPr>
          <w:p>
            <w:pPr>
              <w:jc w:val="right"/>
              <w:ind w:right="699"/>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947</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736"/>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686</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1,033</w:t>
            </w:r>
          </w:p>
        </w:tc>
      </w:tr>
      <w:tr>
        <w:trPr>
          <w:trHeight w:val="230"/>
        </w:trPr>
        <w:tc>
          <w:tcPr>
            <w:tcW w:w="5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Historic tax credit amortization</w:t>
            </w:r>
          </w:p>
        </w:tc>
        <w:tc>
          <w:tcPr>
            <w:tcW w:w="8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631</w:t>
            </w: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631</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1,263</w:t>
            </w:r>
          </w:p>
        </w:tc>
      </w:tr>
      <w:tr>
        <w:trPr>
          <w:trHeight w:val="229"/>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IT related</w:t>
            </w:r>
          </w:p>
        </w:tc>
        <w:tc>
          <w:tcPr>
            <w:tcW w:w="8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704</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466</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957</w:t>
            </w:r>
          </w:p>
        </w:tc>
      </w:tr>
      <w:tr>
        <w:trPr>
          <w:trHeight w:val="230"/>
        </w:trPr>
        <w:tc>
          <w:tcPr>
            <w:tcW w:w="5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Consultant fees</w:t>
            </w:r>
          </w:p>
        </w:tc>
        <w:tc>
          <w:tcPr>
            <w:tcW w:w="8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3,699</w:t>
            </w: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508</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4,280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978</w:t>
            </w:r>
          </w:p>
        </w:tc>
      </w:tr>
      <w:tr>
        <w:trPr>
          <w:trHeight w:val="230"/>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ATM, card, &amp; network expense</w:t>
            </w:r>
          </w:p>
        </w:tc>
        <w:tc>
          <w:tcPr>
            <w:tcW w:w="8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1,108</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483</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912</w:t>
            </w:r>
          </w:p>
        </w:tc>
      </w:tr>
      <w:tr>
        <w:trPr>
          <w:trHeight w:val="230"/>
        </w:trPr>
        <w:tc>
          <w:tcPr>
            <w:tcW w:w="5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Directors' fees</w:t>
            </w:r>
          </w:p>
        </w:tc>
        <w:tc>
          <w:tcPr>
            <w:tcW w:w="8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961</w:t>
            </w: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434</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844</w:t>
            </w:r>
          </w:p>
        </w:tc>
      </w:tr>
      <w:tr>
        <w:trPr>
          <w:trHeight w:val="229"/>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Audit expense</w:t>
            </w:r>
          </w:p>
        </w:tc>
        <w:tc>
          <w:tcPr>
            <w:tcW w:w="8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520</w:t>
            </w:r>
          </w:p>
        </w:tc>
      </w:tr>
      <w:tr>
        <w:trPr>
          <w:trHeight w:val="230"/>
        </w:trPr>
        <w:tc>
          <w:tcPr>
            <w:tcW w:w="5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Legal expense</w:t>
            </w:r>
          </w:p>
        </w:tc>
        <w:tc>
          <w:tcPr>
            <w:tcW w:w="8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870</w:t>
            </w: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633</w:t>
            </w:r>
          </w:p>
        </w:tc>
      </w:tr>
      <w:tr>
        <w:trPr>
          <w:trHeight w:val="230"/>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Virginia franchise tax</w:t>
            </w:r>
          </w:p>
        </w:tc>
        <w:tc>
          <w:tcPr>
            <w:tcW w:w="8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675</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630</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1,260</w:t>
            </w:r>
          </w:p>
        </w:tc>
      </w:tr>
      <w:tr>
        <w:trPr>
          <w:trHeight w:val="230"/>
        </w:trPr>
        <w:tc>
          <w:tcPr>
            <w:tcW w:w="5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Marketing expense</w:t>
            </w:r>
          </w:p>
        </w:tc>
        <w:tc>
          <w:tcPr>
            <w:tcW w:w="8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378</w:t>
            </w: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w:t>
            </w:r>
          </w:p>
        </w:tc>
      </w:tr>
      <w:tr>
        <w:trPr>
          <w:trHeight w:val="229"/>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Donation expense</w:t>
            </w:r>
          </w:p>
        </w:tc>
        <w:tc>
          <w:tcPr>
            <w:tcW w:w="8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5,119</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5,119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5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Core deposit intangible amortization</w:t>
            </w:r>
          </w:p>
        </w:tc>
        <w:tc>
          <w:tcPr>
            <w:tcW w:w="8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2,865</w:t>
            </w: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88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4,356</w:t>
            </w:r>
          </w:p>
        </w:tc>
        <w:tc>
          <w:tcPr>
            <w:tcW w:w="100" w:type="dxa"/>
            <w:vAlign w:val="bottom"/>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1,520</w:t>
            </w:r>
          </w:p>
        </w:tc>
        <w:tc>
          <w:tcPr>
            <w:tcW w:w="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5,804</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2,887</w:t>
            </w:r>
          </w:p>
        </w:tc>
      </w:tr>
      <w:tr>
        <w:trPr>
          <w:trHeight w:val="223"/>
        </w:trPr>
        <w:tc>
          <w:tcPr>
            <w:tcW w:w="5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880" w:type="dxa"/>
            <w:vAlign w:val="bottom"/>
            <w:tcBorders>
              <w:bottom w:val="single" w:sz="8" w:color="auto"/>
            </w:tcBorders>
          </w:tcPr>
          <w:p>
            <w:pPr>
              <w:jc w:val="right"/>
              <w:ind w:right="699"/>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22,574</w:t>
            </w:r>
          </w:p>
        </w:tc>
        <w:tc>
          <w:tcPr>
            <w:tcW w:w="100" w:type="dxa"/>
            <w:vAlign w:val="bottom"/>
          </w:tcPr>
          <w:p>
            <w:pPr>
              <w:spacing w:after="0"/>
              <w:rPr>
                <w:sz w:val="19"/>
                <w:szCs w:val="19"/>
                <w:color w:val="auto"/>
              </w:rPr>
            </w:pPr>
          </w:p>
        </w:tc>
        <w:tc>
          <w:tcPr>
            <w:tcW w:w="940" w:type="dxa"/>
            <w:vAlign w:val="bottom"/>
            <w:tcBorders>
              <w:bottom w:val="single" w:sz="8" w:color="auto"/>
            </w:tcBorders>
          </w:tcPr>
          <w:p>
            <w:pPr>
              <w:jc w:val="right"/>
              <w:ind w:right="736"/>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6,018</w:t>
            </w:r>
          </w:p>
        </w:tc>
        <w:tc>
          <w:tcPr>
            <w:tcW w:w="8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29,037</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11,625</w:t>
            </w:r>
          </w:p>
        </w:tc>
      </w:tr>
    </w:tbl>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incurred Merger-related expenses of $9.5 million for the six months ended June 30, 2024, including $8.9 million of which were incurred during the three months ended June 30, 2024. These expenses are included in the consultant fees, audit fees, legal expense, donation, and other line items detailed in other operating expenses.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Share-Based Compensation</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has a share-based incentive plan described below that allows it to offer a variety of equity compensation awards subject to approval. Total compensation cost that has been charged against income for the share-based awards granted was $937.6 thousand and $607.2 thousand for the three months ended June 30, 2024, and June 30, 2023, respectively. The total income tax benefit was $196.9 thousand and $127.5 thousand for the three months ended June 30, 2024, and June 30, 2023, respectively.</w:t>
      </w:r>
    </w:p>
    <w:p>
      <w:pPr>
        <w:spacing w:after="0" w:line="12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Total compensation cost that has been charged against income for the share-based awards granted was $1.4 million and $1.2 million for the six months ended June 30, 2024, and June 30, 2023, respectively. The total income tax benefit was $291.5 thousand and $249.4 thousand for the six months ended June 30, 2024, and June 30, 2023, respectively.</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2019 Stock Incentive Plan</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2019, the Company’s Stock Incentive Plan (“2019 SIP”) was approved by the Bank’s Board of Directors. The 2019 SIP provides for the issuance of share-based awards to directors and employees of the Company. The 2019 SIP authorized 240,000 units to be issued, and the Company’s practice is using authorized unissued shares to satisfy these share-based awards. Each unit represents a contingent right to receive one common share or an equivalent amount of cash, or a combination of the two, at the discretion of the Company. Currently, we have a sufficient number of authorized unissued shares to satisfy all outstanding equity awards.</w:t>
      </w:r>
    </w:p>
    <w:p>
      <w:pPr>
        <w:spacing w:after="0" w:line="1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Under the 2019 SIP, the Company has issued restricted stock unit (“RSU”) awards that are both time-based and performance-based. Each RSU award will indicate the number of shares, the conditions (e.g., service, performance, and/or a combination), and the grant date. Compensation expense is recognized over the vesting period of the awards based on the fair value of the award at grant date.</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2023 Stock Incentive Plan</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2023, a new stock incentive plan (“2023 SIP”) was approved by the Company’s Board of Directors and shareholders. Upon the 2023 SIP’s shareholder approval date of March 30, 2023, no further share-based awards will be issued under the 2019 SIP. The 2023 SIP provides for the issuance of share-based awards to directors and employees of the Company. The 2023 SIP authorized the issuance of 250,000 shares, subject to an annual increase in available shares.</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total of 48,450 and 24,705 shares were issued during the six months ended June 30, 2024, and June 30, 2023, respectively.</w:t>
      </w:r>
    </w:p>
    <w:p>
      <w:pPr>
        <w:spacing w:after="0" w:line="17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time-based RSUs, the fair value was determined by using the closing stock price on the date prior to the grant date. These RSUs vest over three to five years.</w:t>
      </w:r>
    </w:p>
    <w:p>
      <w:pPr>
        <w:spacing w:after="0" w:line="10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Board, from time to time, approves performance-based RSU awards that may be earned between a three to five year performance period. Whether or not units are earned at the end of the performance period will be determined based on the achievement of performance and/or market targets (e.g., market capitalization target) over the performance period. If the conditions are achieved, the grant recipient will receive 100% of the units granted as these awards do not provide for a multiplier effect. The performance / market targets are determined by the Board of Directors.</w:t>
      </w:r>
    </w:p>
    <w:p>
      <w:pPr>
        <w:spacing w:after="0" w:line="20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fair value for performance-based RSU awards was determined by using a Monte Carlo simulation analysis to estimate the achievement of the market capitalization target determined by the Board of Directors. The Monte Carlo simulation analysis required the following inputs: (1) expected term, (2) expected volatility, (3) risk-free rate, and (4) dividend yield. The expected term was based on the stated performance period. Management used the expected volatility from a peer group. The risk-free interest rate is based on the U.S. Treasury yield curve over the performance period. The dividend yield assumption was based on historical and anticipated dividend payouts.</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Share-Based Compensation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summary of all the Company’s RSU awards issued under both the 2019 SIP and 2023 SIP:</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Non-vested Shares</w:t>
            </w:r>
          </w:p>
        </w:tc>
        <w:tc>
          <w:tcPr>
            <w:tcW w:w="1580" w:type="dxa"/>
            <w:vAlign w:val="bottom"/>
            <w:gridSpan w:val="2"/>
            <w:vMerge w:val="restart"/>
          </w:tcPr>
          <w:p>
            <w:pPr>
              <w:ind w:left="5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40" w:type="dxa"/>
            <w:vAlign w:val="bottom"/>
          </w:tcPr>
          <w:p>
            <w:pPr>
              <w:spacing w:after="0"/>
              <w:rPr>
                <w:sz w:val="13"/>
                <w:szCs w:val="13"/>
                <w:color w:val="auto"/>
              </w:rPr>
            </w:pPr>
          </w:p>
        </w:tc>
        <w:tc>
          <w:tcPr>
            <w:tcW w:w="1340" w:type="dxa"/>
            <w:vAlign w:val="bottom"/>
          </w:tcPr>
          <w:p>
            <w:pPr>
              <w:jc w:val="right"/>
              <w:ind w:right="93"/>
              <w:spacing w:after="0"/>
              <w:rPr>
                <w:sz w:val="20"/>
                <w:szCs w:val="20"/>
                <w:color w:val="auto"/>
              </w:rPr>
            </w:pPr>
            <w:r>
              <w:rPr>
                <w:rFonts w:ascii="Times New Roman" w:cs="Times New Roman" w:eastAsia="Times New Roman" w:hAnsi="Times New Roman"/>
                <w:sz w:val="14"/>
                <w:szCs w:val="14"/>
                <w:b w:val="1"/>
                <w:bCs w:val="1"/>
                <w:color w:val="auto"/>
              </w:rPr>
              <w:t>Weighted-Average</w:t>
            </w:r>
          </w:p>
        </w:tc>
        <w:tc>
          <w:tcPr>
            <w:tcW w:w="0" w:type="dxa"/>
            <w:vAlign w:val="bottom"/>
          </w:tcPr>
          <w:p>
            <w:pPr>
              <w:spacing w:after="0"/>
              <w:rPr>
                <w:sz w:val="1"/>
                <w:szCs w:val="1"/>
                <w:color w:val="auto"/>
              </w:rPr>
            </w:pPr>
          </w:p>
        </w:tc>
      </w:tr>
      <w:tr>
        <w:trPr>
          <w:trHeight w:val="195"/>
        </w:trPr>
        <w:tc>
          <w:tcPr>
            <w:tcW w:w="8180" w:type="dxa"/>
            <w:vAlign w:val="bottom"/>
            <w:gridSpan w:val="2"/>
            <w:vMerge w:val="continue"/>
          </w:tcPr>
          <w:p>
            <w:pPr>
              <w:spacing w:after="0"/>
              <w:rPr>
                <w:sz w:val="16"/>
                <w:szCs w:val="16"/>
                <w:color w:val="auto"/>
              </w:rPr>
            </w:pPr>
          </w:p>
        </w:tc>
        <w:tc>
          <w:tcPr>
            <w:tcW w:w="1580" w:type="dxa"/>
            <w:vAlign w:val="bottom"/>
            <w:gridSpan w:val="2"/>
            <w:vMerge w:val="continue"/>
          </w:tcPr>
          <w:p>
            <w:pPr>
              <w:spacing w:after="0"/>
              <w:rPr>
                <w:sz w:val="16"/>
                <w:szCs w:val="16"/>
                <w:color w:val="auto"/>
              </w:rPr>
            </w:pP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Grant-Date Fair Value</w:t>
            </w:r>
          </w:p>
        </w:tc>
        <w:tc>
          <w:tcPr>
            <w:tcW w:w="0" w:type="dxa"/>
            <w:vAlign w:val="bottom"/>
          </w:tcPr>
          <w:p>
            <w:pPr>
              <w:spacing w:after="0"/>
              <w:rPr>
                <w:sz w:val="1"/>
                <w:szCs w:val="1"/>
                <w:color w:val="auto"/>
              </w:rPr>
            </w:pPr>
          </w:p>
        </w:tc>
      </w:tr>
      <w:tr>
        <w:trPr>
          <w:trHeight w:val="228"/>
        </w:trPr>
        <w:tc>
          <w:tcPr>
            <w:tcW w:w="80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Non-vested at December 31, 2023</w:t>
            </w:r>
          </w:p>
        </w:tc>
        <w:tc>
          <w:tcPr>
            <w:tcW w:w="100" w:type="dxa"/>
            <w:vAlign w:val="bottom"/>
            <w:tcBorders>
              <w:top w:val="single" w:sz="8" w:color="CCEEFF"/>
            </w:tcBorders>
            <w:shd w:val="clear" w:color="auto" w:fill="CCEEFF"/>
          </w:tcPr>
          <w:p>
            <w:pPr>
              <w:spacing w:after="0"/>
              <w:rPr>
                <w:sz w:val="19"/>
                <w:szCs w:val="19"/>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143,585</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51.21</w:t>
            </w:r>
          </w:p>
        </w:tc>
        <w:tc>
          <w:tcPr>
            <w:tcW w:w="0" w:type="dxa"/>
            <w:vAlign w:val="bottom"/>
          </w:tcPr>
          <w:p>
            <w:pPr>
              <w:spacing w:after="0"/>
              <w:rPr>
                <w:sz w:val="1"/>
                <w:szCs w:val="1"/>
                <w:color w:val="auto"/>
              </w:rPr>
            </w:pPr>
          </w:p>
        </w:tc>
      </w:tr>
      <w:tr>
        <w:trPr>
          <w:trHeight w:val="230"/>
        </w:trPr>
        <w:tc>
          <w:tcPr>
            <w:tcW w:w="8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48,450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51.14</w:t>
            </w:r>
          </w:p>
        </w:tc>
        <w:tc>
          <w:tcPr>
            <w:tcW w:w="0" w:type="dxa"/>
            <w:vAlign w:val="bottom"/>
          </w:tcPr>
          <w:p>
            <w:pPr>
              <w:spacing w:after="0"/>
              <w:rPr>
                <w:sz w:val="1"/>
                <w:szCs w:val="1"/>
                <w:color w:val="auto"/>
              </w:rPr>
            </w:pPr>
          </w:p>
        </w:tc>
      </w:tr>
      <w:tr>
        <w:trPr>
          <w:trHeight w:val="229"/>
        </w:trPr>
        <w:tc>
          <w:tcPr>
            <w:tcW w:w="8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Vested</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(103,560)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46.87</w:t>
            </w:r>
          </w:p>
        </w:tc>
        <w:tc>
          <w:tcPr>
            <w:tcW w:w="0" w:type="dxa"/>
            <w:vAlign w:val="bottom"/>
          </w:tcPr>
          <w:p>
            <w:pPr>
              <w:spacing w:after="0"/>
              <w:rPr>
                <w:sz w:val="1"/>
                <w:szCs w:val="1"/>
                <w:color w:val="auto"/>
              </w:rPr>
            </w:pPr>
          </w:p>
        </w:tc>
      </w:tr>
      <w:tr>
        <w:trPr>
          <w:trHeight w:val="230"/>
        </w:trPr>
        <w:tc>
          <w:tcPr>
            <w:tcW w:w="81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(600)</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0" w:type="dxa"/>
            <w:vAlign w:val="bottom"/>
          </w:tcPr>
          <w:p>
            <w:pPr>
              <w:spacing w:after="0"/>
              <w:rPr>
                <w:sz w:val="1"/>
                <w:szCs w:val="1"/>
                <w:color w:val="auto"/>
              </w:rPr>
            </w:pPr>
          </w:p>
        </w:tc>
      </w:tr>
      <w:tr>
        <w:trPr>
          <w:trHeight w:val="223"/>
        </w:trPr>
        <w:tc>
          <w:tcPr>
            <w:tcW w:w="8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Non-vested at June 30, 2024</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87,875</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56.15</w:t>
            </w:r>
          </w:p>
        </w:tc>
        <w:tc>
          <w:tcPr>
            <w:tcW w:w="0" w:type="dxa"/>
            <w:vAlign w:val="bottom"/>
          </w:tcPr>
          <w:p>
            <w:pPr>
              <w:spacing w:after="0"/>
              <w:rPr>
                <w:sz w:val="1"/>
                <w:szCs w:val="1"/>
                <w:color w:val="auto"/>
              </w:rPr>
            </w:pPr>
          </w:p>
        </w:tc>
      </w:tr>
    </w:tbl>
    <w:p>
      <w:pPr>
        <w:spacing w:after="0" w:line="23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June 30, 2024, there was $3.3 million of total unrecognized compensation costs related to non-vested shares granted under the 2019 SIP. The cost is expected to be recognized over a weighted average period of 1.86 years.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2023 Employee Stock Purchase Plan</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2023, a new employee stock purchase plan (“2023 ESPP”) was approved by the Company’s Board of Directors and shareholders. Upon the 2023 ESPP’s shareholder approval date of March 30, 2023, the 2023 ESPP reserved 250,000 shares of common stock for issuance to employees. At June 30, 2024, 243,620 shares were available to be issued. Whole shares are sold to participants in the 2023 ESPP at 85% of the lower of the stock price at the beginning or end of each semi-annual offering period that began on September 1, 2023. Eligible employees may purchase shares in an amount that does not exceed the lesser of the IRS limit of $25,000 or 15% of their annual salary.</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information for the 2023 ESPP at the end of June 30, 2024:</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54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June 30, 2024</w:t>
            </w:r>
          </w:p>
        </w:tc>
      </w:tr>
      <w:tr>
        <w:trPr>
          <w:trHeight w:val="223"/>
        </w:trPr>
        <w:tc>
          <w:tcPr>
            <w:tcW w:w="9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Shares purchased</w:t>
            </w: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6,380</w:t>
            </w:r>
          </w:p>
        </w:tc>
      </w:tr>
      <w:tr>
        <w:trPr>
          <w:trHeight w:val="230"/>
        </w:trPr>
        <w:tc>
          <w:tcPr>
            <w:tcW w:w="9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price of shares purchased</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43.11</w:t>
            </w:r>
          </w:p>
        </w:tc>
      </w:tr>
      <w:tr>
        <w:trPr>
          <w:trHeight w:val="230"/>
        </w:trPr>
        <w:tc>
          <w:tcPr>
            <w:tcW w:w="9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Compensation expense recognized (in 000's)</w:t>
            </w: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81.1</w:t>
            </w:r>
          </w:p>
        </w:tc>
      </w:tr>
    </w:tbl>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Stock Appreciation Rights (“SAR”)</w:t>
      </w:r>
    </w:p>
    <w:p>
      <w:pPr>
        <w:spacing w:after="0" w:line="17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Upon completion of the Merger and as a part of the Merger Agreement, Burke &amp; Herbert assumed SAR awards that had been issued to existing employees that would continue with the same terms and conditions adjusted for the exchange ratio of 0.5043. As part of the Merger, a significant portion of SAR awards accelerated their vesting and thus did not require any future service component. Management used the Black-Scholes option-pricing model to fair value these accelerated SAR awards and included this value as part of the purchase price consideration discussed in </w:t>
      </w:r>
      <w:r>
        <w:rPr>
          <w:rFonts w:ascii="Times New Roman" w:cs="Times New Roman" w:eastAsia="Times New Roman" w:hAnsi="Times New Roman"/>
          <w:sz w:val="18"/>
          <w:szCs w:val="18"/>
          <w:u w:val="single" w:color="auto"/>
          <w:color w:val="0000FF"/>
        </w:rPr>
        <w:t>Note 16 - Business Combination</w:t>
      </w:r>
      <w:r>
        <w:rPr>
          <w:rFonts w:ascii="Times New Roman" w:cs="Times New Roman" w:eastAsia="Times New Roman" w:hAnsi="Times New Roman"/>
          <w:sz w:val="18"/>
          <w:szCs w:val="18"/>
          <w:color w:val="auto"/>
        </w:rPr>
        <w:t>.</w:t>
      </w:r>
    </w:p>
    <w:p>
      <w:pPr>
        <w:spacing w:after="0" w:line="12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also used the Black-Scholes option-pricing model to fair value the non-accelerated SAR awards that were not fully vested. The SAR awards that have been assumed by the Company, were issued in 2019, 2021, and 2023, and these SAR awards become exercisable ratably over seven years (14.3% per year) and contractually expire ten years after the grant date.</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Upon completion of the Merger, the Company determined the fair value per SAR using the following assumptions: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160" w:type="dxa"/>
            <w:vAlign w:val="bottom"/>
            <w:tcBorders>
              <w:bottom w:val="single" w:sz="8" w:color="CCEEFF"/>
            </w:tcBorders>
          </w:tcPr>
          <w:p>
            <w:pPr>
              <w:spacing w:after="0"/>
              <w:rPr>
                <w:sz w:val="20"/>
                <w:szCs w:val="20"/>
                <w:color w:val="auto"/>
              </w:rPr>
            </w:pPr>
          </w:p>
        </w:tc>
        <w:tc>
          <w:tcPr>
            <w:tcW w:w="1600" w:type="dxa"/>
            <w:vAlign w:val="bottom"/>
            <w:tcBorders>
              <w:bottom w:val="single" w:sz="8" w:color="auto"/>
            </w:tcBorders>
          </w:tcPr>
          <w:p>
            <w:pPr>
              <w:jc w:val="center"/>
              <w:ind w:left="630"/>
              <w:spacing w:after="0"/>
              <w:rPr>
                <w:sz w:val="20"/>
                <w:szCs w:val="20"/>
                <w:color w:val="auto"/>
              </w:rPr>
            </w:pPr>
            <w:r>
              <w:rPr>
                <w:rFonts w:ascii="Times New Roman" w:cs="Times New Roman" w:eastAsia="Times New Roman" w:hAnsi="Times New Roman"/>
                <w:sz w:val="18"/>
                <w:szCs w:val="18"/>
                <w:b w:val="1"/>
                <w:bCs w:val="1"/>
                <w:color w:val="auto"/>
                <w:w w:val="99"/>
              </w:rPr>
              <w:t>2019 SAR</w:t>
            </w:r>
          </w:p>
        </w:tc>
        <w:tc>
          <w:tcPr>
            <w:tcW w:w="70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600" w:type="dxa"/>
            <w:vAlign w:val="bottom"/>
            <w:tcBorders>
              <w:bottom w:val="single" w:sz="8" w:color="auto"/>
            </w:tcBorders>
          </w:tcPr>
          <w:p>
            <w:pPr>
              <w:jc w:val="center"/>
              <w:ind w:left="590"/>
              <w:spacing w:after="0"/>
              <w:rPr>
                <w:sz w:val="20"/>
                <w:szCs w:val="20"/>
                <w:color w:val="auto"/>
              </w:rPr>
            </w:pPr>
            <w:r>
              <w:rPr>
                <w:rFonts w:ascii="Times New Roman" w:cs="Times New Roman" w:eastAsia="Times New Roman" w:hAnsi="Times New Roman"/>
                <w:sz w:val="18"/>
                <w:szCs w:val="18"/>
                <w:b w:val="1"/>
                <w:bCs w:val="1"/>
                <w:color w:val="auto"/>
                <w:w w:val="99"/>
              </w:rPr>
              <w:t>2021 SAR</w:t>
            </w:r>
          </w:p>
        </w:tc>
        <w:tc>
          <w:tcPr>
            <w:tcW w:w="700" w:type="dxa"/>
            <w:vAlign w:val="bottom"/>
            <w:tcBorders>
              <w:bottom w:val="single" w:sz="8" w:color="auto"/>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rPr>
              <w:t>2023 SAR</w:t>
            </w:r>
          </w:p>
        </w:tc>
      </w:tr>
      <w:tr>
        <w:trPr>
          <w:trHeight w:val="223"/>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of years to full vesting</w:t>
            </w:r>
          </w:p>
        </w:tc>
        <w:tc>
          <w:tcPr>
            <w:tcW w:w="1600" w:type="dxa"/>
            <w:vAlign w:val="bottom"/>
            <w:shd w:val="clear" w:color="auto" w:fill="CCEEFF"/>
          </w:tcPr>
          <w:p>
            <w:pPr>
              <w:jc w:val="center"/>
              <w:ind w:left="630"/>
              <w:spacing w:after="0"/>
              <w:rPr>
                <w:sz w:val="20"/>
                <w:szCs w:val="20"/>
                <w:color w:val="auto"/>
              </w:rPr>
            </w:pPr>
            <w:r>
              <w:rPr>
                <w:rFonts w:ascii="Times New Roman" w:cs="Times New Roman" w:eastAsia="Times New Roman" w:hAnsi="Times New Roman"/>
                <w:sz w:val="18"/>
                <w:szCs w:val="18"/>
                <w:color w:val="auto"/>
              </w:rPr>
              <w:t>7 years</w:t>
            </w: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0" w:type="dxa"/>
            <w:vAlign w:val="bottom"/>
            <w:shd w:val="clear" w:color="auto" w:fill="CCEEFF"/>
          </w:tcPr>
          <w:p>
            <w:pPr>
              <w:jc w:val="center"/>
              <w:ind w:left="590"/>
              <w:spacing w:after="0"/>
              <w:rPr>
                <w:sz w:val="20"/>
                <w:szCs w:val="20"/>
                <w:color w:val="auto"/>
              </w:rPr>
            </w:pPr>
            <w:r>
              <w:rPr>
                <w:rFonts w:ascii="Times New Roman" w:cs="Times New Roman" w:eastAsia="Times New Roman" w:hAnsi="Times New Roman"/>
                <w:sz w:val="18"/>
                <w:szCs w:val="18"/>
                <w:color w:val="auto"/>
              </w:rPr>
              <w:t>7 years</w:t>
            </w:r>
          </w:p>
        </w:tc>
        <w:tc>
          <w:tcPr>
            <w:tcW w:w="7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860" w:type="dxa"/>
            <w:vAlign w:val="bottom"/>
            <w:shd w:val="clear" w:color="auto" w:fill="CCEEFF"/>
          </w:tcPr>
          <w:p>
            <w:pPr>
              <w:jc w:val="right"/>
              <w:ind w:right="810"/>
              <w:spacing w:after="0"/>
              <w:rPr>
                <w:sz w:val="20"/>
                <w:szCs w:val="20"/>
                <w:color w:val="auto"/>
              </w:rPr>
            </w:pPr>
            <w:r>
              <w:rPr>
                <w:rFonts w:ascii="Times New Roman" w:cs="Times New Roman" w:eastAsia="Times New Roman" w:hAnsi="Times New Roman"/>
                <w:sz w:val="18"/>
                <w:szCs w:val="18"/>
                <w:color w:val="auto"/>
              </w:rPr>
              <w:t>7 years</w:t>
            </w:r>
          </w:p>
        </w:tc>
      </w:tr>
      <w:tr>
        <w:trPr>
          <w:trHeight w:val="230"/>
        </w:trPr>
        <w:tc>
          <w:tcPr>
            <w:tcW w:w="4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of awards unvested as of June 30, 2024</w:t>
            </w:r>
          </w:p>
        </w:tc>
        <w:tc>
          <w:tcPr>
            <w:tcW w:w="16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3,202</w:t>
            </w:r>
          </w:p>
        </w:tc>
        <w:tc>
          <w:tcPr>
            <w:tcW w:w="10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17,322</w:t>
            </w: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25,921</w:t>
            </w:r>
          </w:p>
        </w:tc>
      </w:tr>
      <w:tr>
        <w:trPr>
          <w:trHeight w:val="229"/>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Fair value</w:t>
            </w:r>
          </w:p>
        </w:tc>
        <w:tc>
          <w:tcPr>
            <w:tcW w:w="1600" w:type="dxa"/>
            <w:vAlign w:val="bottom"/>
            <w:shd w:val="clear" w:color="auto" w:fill="CCEEFF"/>
          </w:tcPr>
          <w:p>
            <w:pPr>
              <w:jc w:val="right"/>
              <w:ind w:right="139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14.89</w:t>
            </w:r>
          </w:p>
        </w:tc>
        <w:tc>
          <w:tcPr>
            <w:tcW w:w="100" w:type="dxa"/>
            <w:vAlign w:val="bottom"/>
            <w:shd w:val="clear" w:color="auto" w:fill="CCEEFF"/>
          </w:tcPr>
          <w:p>
            <w:pPr>
              <w:spacing w:after="0"/>
              <w:rPr>
                <w:sz w:val="19"/>
                <w:szCs w:val="19"/>
                <w:color w:val="auto"/>
              </w:rPr>
            </w:pPr>
          </w:p>
        </w:tc>
        <w:tc>
          <w:tcPr>
            <w:tcW w:w="1600" w:type="dxa"/>
            <w:vAlign w:val="bottom"/>
            <w:shd w:val="clear" w:color="auto" w:fill="CCEEFF"/>
          </w:tcPr>
          <w:p>
            <w:pPr>
              <w:jc w:val="right"/>
              <w:ind w:right="141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16.92</w:t>
            </w: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14.56</w:t>
            </w:r>
          </w:p>
        </w:tc>
      </w:tr>
      <w:tr>
        <w:trPr>
          <w:trHeight w:val="230"/>
        </w:trPr>
        <w:tc>
          <w:tcPr>
            <w:tcW w:w="4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16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4.51 %</w:t>
            </w:r>
          </w:p>
        </w:tc>
        <w:tc>
          <w:tcPr>
            <w:tcW w:w="10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4.32 %</w:t>
            </w: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4.14 %</w:t>
            </w:r>
          </w:p>
        </w:tc>
      </w:tr>
      <w:tr>
        <w:trPr>
          <w:trHeight w:val="230"/>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dividend yield</w:t>
            </w:r>
          </w:p>
        </w:tc>
        <w:tc>
          <w:tcPr>
            <w:tcW w:w="16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3.95 %</w:t>
            </w:r>
          </w:p>
        </w:tc>
        <w:tc>
          <w:tcPr>
            <w:tcW w:w="10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3.95 %</w:t>
            </w: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3.95 %</w:t>
            </w:r>
          </w:p>
        </w:tc>
      </w:tr>
      <w:tr>
        <w:trPr>
          <w:trHeight w:val="229"/>
        </w:trPr>
        <w:tc>
          <w:tcPr>
            <w:tcW w:w="4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common stock volatility</w:t>
            </w:r>
          </w:p>
        </w:tc>
        <w:tc>
          <w:tcPr>
            <w:tcW w:w="16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32.56 %</w:t>
            </w:r>
          </w:p>
        </w:tc>
        <w:tc>
          <w:tcPr>
            <w:tcW w:w="10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32.56 %</w:t>
            </w: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32.56 %</w:t>
            </w:r>
          </w:p>
        </w:tc>
      </w:tr>
      <w:tr>
        <w:trPr>
          <w:trHeight w:val="230"/>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contractual life (in years)</w:t>
            </w:r>
          </w:p>
        </w:tc>
        <w:tc>
          <w:tcPr>
            <w:tcW w:w="16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4.77</w:t>
            </w:r>
          </w:p>
        </w:tc>
        <w:tc>
          <w:tcPr>
            <w:tcW w:w="10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7.20</w:t>
            </w: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8.77</w:t>
            </w:r>
          </w:p>
        </w:tc>
      </w:tr>
    </w:tbl>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SAR and option activity during the six months ended June 30, 2024, is as follows: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Share-Based Compensation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720" w:type="dxa"/>
            <w:vAlign w:val="bottom"/>
            <w:tcBorders>
              <w:bottom w:val="single" w:sz="8" w:color="auto"/>
            </w:tcBorders>
            <w:gridSpan w:val="4"/>
          </w:tcPr>
          <w:p>
            <w:pPr>
              <w:jc w:val="right"/>
              <w:ind w:right="1070"/>
              <w:spacing w:after="0"/>
              <w:rPr>
                <w:sz w:val="20"/>
                <w:szCs w:val="20"/>
                <w:color w:val="auto"/>
              </w:rPr>
            </w:pPr>
            <w:r>
              <w:rPr>
                <w:rFonts w:ascii="Times New Roman" w:cs="Times New Roman" w:eastAsia="Times New Roman" w:hAnsi="Times New Roman"/>
                <w:sz w:val="18"/>
                <w:szCs w:val="18"/>
                <w:b w:val="1"/>
                <w:bCs w:val="1"/>
                <w:color w:val="auto"/>
              </w:rPr>
              <w:t>Weighted Average</w:t>
            </w:r>
          </w:p>
        </w:tc>
        <w:tc>
          <w:tcPr>
            <w:tcW w:w="0" w:type="dxa"/>
            <w:vAlign w:val="bottom"/>
          </w:tcPr>
          <w:p>
            <w:pPr>
              <w:spacing w:after="0"/>
              <w:rPr>
                <w:sz w:val="1"/>
                <w:szCs w:val="1"/>
                <w:color w:val="auto"/>
              </w:rPr>
            </w:pPr>
          </w:p>
        </w:tc>
      </w:tr>
      <w:tr>
        <w:trPr>
          <w:trHeight w:val="169"/>
        </w:trPr>
        <w:tc>
          <w:tcPr>
            <w:tcW w:w="362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Dollars in thousands, expect per share</w:t>
            </w:r>
          </w:p>
        </w:tc>
        <w:tc>
          <w:tcPr>
            <w:tcW w:w="10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920" w:type="dxa"/>
            <w:vAlign w:val="bottom"/>
            <w:gridSpan w:val="2"/>
          </w:tcPr>
          <w:p>
            <w:pPr>
              <w:jc w:val="center"/>
              <w:ind w:right="80"/>
              <w:spacing w:after="0" w:line="169" w:lineRule="exact"/>
              <w:rPr>
                <w:sz w:val="20"/>
                <w:szCs w:val="20"/>
                <w:color w:val="auto"/>
              </w:rPr>
            </w:pPr>
            <w:r>
              <w:rPr>
                <w:rFonts w:ascii="Times New Roman" w:cs="Times New Roman" w:eastAsia="Times New Roman" w:hAnsi="Times New Roman"/>
                <w:sz w:val="18"/>
                <w:szCs w:val="18"/>
                <w:b w:val="1"/>
                <w:bCs w:val="1"/>
                <w:color w:val="auto"/>
                <w:w w:val="99"/>
              </w:rPr>
              <w:t>Remaining</w:t>
            </w:r>
          </w:p>
        </w:tc>
        <w:tc>
          <w:tcPr>
            <w:tcW w:w="2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36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900" w:type="dxa"/>
            <w:vAlign w:val="bottom"/>
            <w:gridSpan w:val="2"/>
            <w:vMerge w:val="restart"/>
          </w:tcPr>
          <w:p>
            <w:pPr>
              <w:ind w:left="700"/>
              <w:spacing w:after="0"/>
              <w:rPr>
                <w:sz w:val="20"/>
                <w:szCs w:val="20"/>
                <w:color w:val="auto"/>
              </w:rPr>
            </w:pPr>
            <w:r>
              <w:rPr>
                <w:rFonts w:ascii="Times New Roman" w:cs="Times New Roman" w:eastAsia="Times New Roman" w:hAnsi="Times New Roman"/>
                <w:sz w:val="18"/>
                <w:szCs w:val="18"/>
                <w:b w:val="1"/>
                <w:bCs w:val="1"/>
                <w:color w:val="auto"/>
              </w:rPr>
              <w:t>SARs</w:t>
            </w:r>
          </w:p>
        </w:tc>
        <w:tc>
          <w:tcPr>
            <w:tcW w:w="1900" w:type="dxa"/>
            <w:vAlign w:val="bottom"/>
            <w:gridSpan w:val="3"/>
            <w:vMerge w:val="restart"/>
          </w:tcPr>
          <w:p>
            <w:pPr>
              <w:ind w:left="80"/>
              <w:spacing w:after="0"/>
              <w:rPr>
                <w:sz w:val="20"/>
                <w:szCs w:val="20"/>
                <w:color w:val="auto"/>
              </w:rPr>
            </w:pPr>
            <w:r>
              <w:rPr>
                <w:rFonts w:ascii="Times New Roman" w:cs="Times New Roman" w:eastAsia="Times New Roman" w:hAnsi="Times New Roman"/>
                <w:sz w:val="18"/>
                <w:szCs w:val="18"/>
                <w:b w:val="1"/>
                <w:bCs w:val="1"/>
                <w:color w:val="auto"/>
              </w:rPr>
              <w:t>Aggregate Fair Value</w:t>
            </w:r>
          </w:p>
        </w:tc>
        <w:tc>
          <w:tcPr>
            <w:tcW w:w="1920" w:type="dxa"/>
            <w:vAlign w:val="bottom"/>
            <w:gridSpan w:val="2"/>
          </w:tcPr>
          <w:p>
            <w:pPr>
              <w:jc w:val="center"/>
              <w:ind w:right="100"/>
              <w:spacing w:after="0" w:line="176" w:lineRule="exact"/>
              <w:rPr>
                <w:sz w:val="20"/>
                <w:szCs w:val="20"/>
                <w:color w:val="auto"/>
              </w:rPr>
            </w:pPr>
            <w:r>
              <w:rPr>
                <w:rFonts w:ascii="Times New Roman" w:cs="Times New Roman" w:eastAsia="Times New Roman" w:hAnsi="Times New Roman"/>
                <w:sz w:val="18"/>
                <w:szCs w:val="18"/>
                <w:b w:val="1"/>
                <w:bCs w:val="1"/>
                <w:color w:val="auto"/>
                <w:w w:val="98"/>
              </w:rPr>
              <w:t>Contractual Term</w:t>
            </w:r>
          </w:p>
        </w:tc>
        <w:tc>
          <w:tcPr>
            <w:tcW w:w="220" w:type="dxa"/>
            <w:vAlign w:val="bottom"/>
          </w:tcPr>
          <w:p>
            <w:pPr>
              <w:spacing w:after="0"/>
              <w:rPr>
                <w:sz w:val="15"/>
                <w:szCs w:val="15"/>
                <w:color w:val="auto"/>
              </w:rPr>
            </w:pPr>
          </w:p>
        </w:tc>
        <w:tc>
          <w:tcPr>
            <w:tcW w:w="1580" w:type="dxa"/>
            <w:vAlign w:val="bottom"/>
            <w:vMerge w:val="restart"/>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Exercise Price</w:t>
            </w:r>
          </w:p>
        </w:tc>
        <w:tc>
          <w:tcPr>
            <w:tcW w:w="0" w:type="dxa"/>
            <w:vAlign w:val="bottom"/>
          </w:tcPr>
          <w:p>
            <w:pPr>
              <w:spacing w:after="0"/>
              <w:rPr>
                <w:sz w:val="1"/>
                <w:szCs w:val="1"/>
                <w:color w:val="auto"/>
              </w:rPr>
            </w:pPr>
          </w:p>
        </w:tc>
      </w:tr>
      <w:tr>
        <w:trPr>
          <w:trHeight w:val="243"/>
        </w:trPr>
        <w:tc>
          <w:tcPr>
            <w:tcW w:w="362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information</w:t>
            </w:r>
          </w:p>
        </w:tc>
        <w:tc>
          <w:tcPr>
            <w:tcW w:w="100" w:type="dxa"/>
            <w:vAlign w:val="bottom"/>
          </w:tcPr>
          <w:p>
            <w:pPr>
              <w:spacing w:after="0"/>
              <w:rPr>
                <w:sz w:val="21"/>
                <w:szCs w:val="21"/>
                <w:color w:val="auto"/>
              </w:rPr>
            </w:pPr>
          </w:p>
        </w:tc>
        <w:tc>
          <w:tcPr>
            <w:tcW w:w="1900" w:type="dxa"/>
            <w:vAlign w:val="bottom"/>
            <w:gridSpan w:val="2"/>
            <w:vMerge w:val="continue"/>
          </w:tcPr>
          <w:p>
            <w:pPr>
              <w:spacing w:after="0"/>
              <w:rPr>
                <w:sz w:val="21"/>
                <w:szCs w:val="21"/>
                <w:color w:val="auto"/>
              </w:rPr>
            </w:pPr>
          </w:p>
        </w:tc>
        <w:tc>
          <w:tcPr>
            <w:tcW w:w="1900" w:type="dxa"/>
            <w:vAlign w:val="bottom"/>
            <w:gridSpan w:val="3"/>
            <w:vMerge w:val="continue"/>
          </w:tcPr>
          <w:p>
            <w:pPr>
              <w:spacing w:after="0"/>
              <w:rPr>
                <w:sz w:val="21"/>
                <w:szCs w:val="21"/>
                <w:color w:val="auto"/>
              </w:rPr>
            </w:pPr>
          </w:p>
        </w:tc>
        <w:tc>
          <w:tcPr>
            <w:tcW w:w="19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(Yrs.)</w:t>
            </w:r>
          </w:p>
        </w:tc>
        <w:tc>
          <w:tcPr>
            <w:tcW w:w="220" w:type="dxa"/>
            <w:vAlign w:val="bottom"/>
          </w:tcPr>
          <w:p>
            <w:pPr>
              <w:spacing w:after="0"/>
              <w:rPr>
                <w:sz w:val="21"/>
                <w:szCs w:val="21"/>
                <w:color w:val="auto"/>
              </w:rPr>
            </w:pPr>
          </w:p>
        </w:tc>
        <w:tc>
          <w:tcPr>
            <w:tcW w:w="15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36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Outstanding, December 31, 2023</w:t>
            </w:r>
          </w:p>
        </w:tc>
        <w:tc>
          <w:tcPr>
            <w:tcW w:w="100" w:type="dxa"/>
            <w:vAlign w:val="bottom"/>
            <w:tcBorders>
              <w:top w:val="single" w:sz="8" w:color="CCEEFF"/>
            </w:tcBorders>
            <w:shd w:val="clear" w:color="auto" w:fill="CCEEFF"/>
          </w:tcPr>
          <w:p>
            <w:pPr>
              <w:spacing w:after="0"/>
              <w:rPr>
                <w:sz w:val="19"/>
                <w:szCs w:val="19"/>
                <w:color w:val="auto"/>
              </w:rPr>
            </w:pPr>
          </w:p>
        </w:tc>
        <w:tc>
          <w:tcPr>
            <w:tcW w:w="1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720" w:type="dxa"/>
            <w:vAlign w:val="bottom"/>
            <w:tcBorders>
              <w:top w:val="single" w:sz="8" w:color="auto"/>
            </w:tcBorders>
            <w:shd w:val="clear" w:color="auto" w:fill="CCEEFF"/>
          </w:tcPr>
          <w:p>
            <w:pPr>
              <w:jc w:val="right"/>
              <w:ind w:right="5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1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3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Granted (or acquired)</w:t>
            </w:r>
          </w:p>
        </w:tc>
        <w:tc>
          <w:tcPr>
            <w:tcW w:w="1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299,556</w:t>
            </w: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4,996</w:t>
            </w:r>
          </w:p>
        </w:tc>
        <w:tc>
          <w:tcPr>
            <w:tcW w:w="8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45.24</w:t>
            </w:r>
          </w:p>
        </w:tc>
        <w:tc>
          <w:tcPr>
            <w:tcW w:w="0" w:type="dxa"/>
            <w:vAlign w:val="bottom"/>
          </w:tcPr>
          <w:p>
            <w:pPr>
              <w:spacing w:after="0"/>
              <w:rPr>
                <w:sz w:val="1"/>
                <w:szCs w:val="1"/>
                <w:color w:val="auto"/>
              </w:rPr>
            </w:pPr>
          </w:p>
        </w:tc>
      </w:tr>
      <w:tr>
        <w:trPr>
          <w:trHeight w:val="229"/>
        </w:trPr>
        <w:tc>
          <w:tcPr>
            <w:tcW w:w="3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Exercised</w:t>
            </w:r>
          </w:p>
        </w:tc>
        <w:tc>
          <w:tcPr>
            <w:tcW w:w="100" w:type="dxa"/>
            <w:vAlign w:val="bottom"/>
            <w:shd w:val="clear" w:color="auto" w:fill="CCEEFF"/>
          </w:tcPr>
          <w:p>
            <w:pPr>
              <w:spacing w:after="0"/>
              <w:rPr>
                <w:sz w:val="19"/>
                <w:szCs w:val="19"/>
                <w:color w:val="auto"/>
              </w:rPr>
            </w:pPr>
          </w:p>
        </w:tc>
        <w:tc>
          <w:tcPr>
            <w:tcW w:w="1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3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Forfeited</w:t>
            </w:r>
          </w:p>
        </w:tc>
        <w:tc>
          <w:tcPr>
            <w:tcW w:w="100" w:type="dxa"/>
            <w:vAlign w:val="bottom"/>
          </w:tcPr>
          <w:p>
            <w:pPr>
              <w:spacing w:after="0"/>
              <w:rPr>
                <w:sz w:val="19"/>
                <w:szCs w:val="19"/>
                <w:color w:val="auto"/>
              </w:rPr>
            </w:pPr>
          </w:p>
        </w:tc>
        <w:tc>
          <w:tcPr>
            <w:tcW w:w="1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3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Expired</w:t>
            </w:r>
          </w:p>
        </w:tc>
        <w:tc>
          <w:tcPr>
            <w:tcW w:w="100" w:type="dxa"/>
            <w:vAlign w:val="bottom"/>
            <w:shd w:val="clear" w:color="auto" w:fill="CCEEFF"/>
          </w:tcPr>
          <w:p>
            <w:pPr>
              <w:spacing w:after="0"/>
              <w:rPr>
                <w:sz w:val="19"/>
                <w:szCs w:val="19"/>
                <w:color w:val="auto"/>
              </w:rPr>
            </w:pPr>
          </w:p>
        </w:tc>
        <w:tc>
          <w:tcPr>
            <w:tcW w:w="1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36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Outstanding, June 30, 2024</w:t>
            </w:r>
          </w:p>
        </w:tc>
        <w:tc>
          <w:tcPr>
            <w:tcW w:w="100" w:type="dxa"/>
            <w:vAlign w:val="bottom"/>
            <w:tcBorders>
              <w:bottom w:val="single" w:sz="8" w:color="CCEEFF"/>
            </w:tcBorders>
          </w:tcPr>
          <w:p>
            <w:pPr>
              <w:spacing w:after="0"/>
              <w:rPr>
                <w:sz w:val="19"/>
                <w:szCs w:val="19"/>
                <w:color w:val="auto"/>
              </w:rPr>
            </w:pPr>
          </w:p>
        </w:tc>
        <w:tc>
          <w:tcPr>
            <w:tcW w:w="1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299,556</w:t>
            </w:r>
          </w:p>
        </w:tc>
        <w:tc>
          <w:tcPr>
            <w:tcW w:w="100" w:type="dxa"/>
            <w:vAlign w:val="bottom"/>
            <w:tcBorders>
              <w:bottom w:val="single" w:sz="8" w:color="CCEEFF"/>
            </w:tcBorders>
          </w:tcPr>
          <w:p>
            <w:pPr>
              <w:spacing w:after="0"/>
              <w:rPr>
                <w:sz w:val="19"/>
                <w:szCs w:val="19"/>
                <w:color w:val="auto"/>
              </w:rPr>
            </w:pPr>
          </w:p>
        </w:tc>
        <w:tc>
          <w:tcPr>
            <w:tcW w:w="720" w:type="dxa"/>
            <w:vAlign w:val="bottom"/>
            <w:tcBorders>
              <w:top w:val="single" w:sz="8" w:color="auto"/>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4,996</w:t>
            </w:r>
          </w:p>
        </w:tc>
        <w:tc>
          <w:tcPr>
            <w:tcW w:w="80" w:type="dxa"/>
            <w:vAlign w:val="bottom"/>
            <w:tcBorders>
              <w:bottom w:val="single" w:sz="8" w:color="CCEEFF"/>
            </w:tcBorders>
          </w:tcPr>
          <w:p>
            <w:pPr>
              <w:spacing w:after="0"/>
              <w:rPr>
                <w:sz w:val="19"/>
                <w:szCs w:val="19"/>
                <w:color w:val="auto"/>
              </w:rPr>
            </w:pPr>
          </w:p>
        </w:tc>
        <w:tc>
          <w:tcPr>
            <w:tcW w:w="1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5.67</w:t>
            </w:r>
          </w:p>
        </w:tc>
        <w:tc>
          <w:tcPr>
            <w:tcW w:w="10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45.24</w:t>
            </w:r>
          </w:p>
        </w:tc>
        <w:tc>
          <w:tcPr>
            <w:tcW w:w="0" w:type="dxa"/>
            <w:vAlign w:val="bottom"/>
          </w:tcPr>
          <w:p>
            <w:pPr>
              <w:spacing w:after="0"/>
              <w:rPr>
                <w:sz w:val="1"/>
                <w:szCs w:val="1"/>
                <w:color w:val="auto"/>
              </w:rPr>
            </w:pPr>
          </w:p>
        </w:tc>
      </w:tr>
      <w:tr>
        <w:trPr>
          <w:trHeight w:val="250"/>
        </w:trPr>
        <w:tc>
          <w:tcPr>
            <w:tcW w:w="36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8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5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36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Exercisable SARs:</w:t>
            </w:r>
          </w:p>
        </w:tc>
        <w:tc>
          <w:tcPr>
            <w:tcW w:w="100" w:type="dxa"/>
            <w:vAlign w:val="bottom"/>
            <w:tcBorders>
              <w:bottom w:val="single" w:sz="8" w:color="CCEEFF"/>
            </w:tcBorders>
          </w:tcPr>
          <w:p>
            <w:pPr>
              <w:spacing w:after="0"/>
              <w:rPr>
                <w:sz w:val="19"/>
                <w:szCs w:val="19"/>
                <w:color w:val="auto"/>
              </w:rPr>
            </w:pPr>
          </w:p>
        </w:tc>
        <w:tc>
          <w:tcPr>
            <w:tcW w:w="18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720" w:type="dxa"/>
            <w:vAlign w:val="bottom"/>
            <w:tcBorders>
              <w:bottom w:val="single" w:sz="8" w:color="CCEEFF"/>
            </w:tcBorders>
          </w:tcPr>
          <w:p>
            <w:pPr>
              <w:spacing w:after="0"/>
              <w:rPr>
                <w:sz w:val="19"/>
                <w:szCs w:val="19"/>
                <w:color w:val="auto"/>
              </w:rPr>
            </w:pPr>
          </w:p>
        </w:tc>
        <w:tc>
          <w:tcPr>
            <w:tcW w:w="110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8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158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6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At June 30, 2024</w:t>
            </w:r>
          </w:p>
        </w:tc>
        <w:tc>
          <w:tcPr>
            <w:tcW w:w="1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253,111</w:t>
            </w: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5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4,278</w:t>
            </w:r>
          </w:p>
        </w:tc>
        <w:tc>
          <w:tcPr>
            <w:tcW w:w="8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44.63</w:t>
            </w:r>
          </w:p>
        </w:tc>
        <w:tc>
          <w:tcPr>
            <w:tcW w:w="0" w:type="dxa"/>
            <w:vAlign w:val="bottom"/>
          </w:tcPr>
          <w:p>
            <w:pPr>
              <w:spacing w:after="0"/>
              <w:rPr>
                <w:sz w:val="1"/>
                <w:szCs w:val="1"/>
                <w:color w:val="auto"/>
              </w:rPr>
            </w:pPr>
          </w:p>
        </w:tc>
      </w:tr>
    </w:tbl>
    <w:p>
      <w:pPr>
        <w:spacing w:after="0" w:line="23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total fair value of SARs exercised was zero during the six months ended June 30, 2024. The total fair value of SARs vested was zero during the six months ended June 30, 2024. As of June 30, 2024, there was $691.1 thousand of total unrecognized compensation costs related to non-vested SARs acquired through the Merger. The cost is expected to be recognized over a weighted average period of 4.75 years.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15— Earnings Per Share</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Basic earnings per share excludes dilution and is computed by dividing net income (loss) applicable to common shares by the weighted average number of common shares outstanding for the period. Diluted earnings per share reflects the potential impact of contingently issuable shares. The Company uses the treasury stock method as described by ASC 260 - </w:t>
      </w:r>
      <w:r>
        <w:rPr>
          <w:rFonts w:ascii="Times New Roman" w:cs="Times New Roman" w:eastAsia="Times New Roman" w:hAnsi="Times New Roman"/>
          <w:sz w:val="18"/>
          <w:szCs w:val="18"/>
          <w:i w:val="1"/>
          <w:iCs w:val="1"/>
          <w:color w:val="auto"/>
        </w:rPr>
        <w:t>Earnings Per Share</w:t>
      </w:r>
      <w:r>
        <w:rPr>
          <w:rFonts w:ascii="Times New Roman" w:cs="Times New Roman" w:eastAsia="Times New Roman" w:hAnsi="Times New Roman"/>
          <w:sz w:val="18"/>
          <w:szCs w:val="18"/>
          <w:color w:val="auto"/>
        </w:rPr>
        <w:t xml:space="preserve"> for each dilutive instrument when computing diluted earnings per share.</w:t>
      </w:r>
    </w:p>
    <w:p>
      <w:pPr>
        <w:spacing w:after="0" w:line="12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shows the weighted average number of shares used in computing earnings per share and the effect of weighted average number of shares dilutive potential common stock. Dilutive potential common stock has no effect on income available to common shareholders.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0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800" w:type="dxa"/>
            <w:vAlign w:val="bottom"/>
            <w:gridSpan w:val="5"/>
          </w:tcPr>
          <w:p>
            <w:pPr>
              <w:ind w:left="24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340" w:type="dxa"/>
            <w:vAlign w:val="bottom"/>
          </w:tcPr>
          <w:p>
            <w:pPr>
              <w:spacing w:after="0"/>
              <w:rPr>
                <w:sz w:val="16"/>
                <w:szCs w:val="16"/>
                <w:color w:val="auto"/>
              </w:rPr>
            </w:pPr>
          </w:p>
        </w:tc>
        <w:tc>
          <w:tcPr>
            <w:tcW w:w="2720" w:type="dxa"/>
            <w:vAlign w:val="bottom"/>
            <w:gridSpan w:val="4"/>
          </w:tcPr>
          <w:p>
            <w:pPr>
              <w:jc w:val="right"/>
              <w:ind w:right="613"/>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203"/>
        </w:trPr>
        <w:tc>
          <w:tcPr>
            <w:tcW w:w="50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40" w:type="dxa"/>
            <w:vAlign w:val="bottom"/>
          </w:tcPr>
          <w:p>
            <w:pPr>
              <w:ind w:left="240"/>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3"/>
        </w:trPr>
        <w:tc>
          <w:tcPr>
            <w:tcW w:w="50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23"/>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 applicable to common shares (in thousands)</w:t>
            </w: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(17,144)</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6,034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(11,932)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13,558</w:t>
            </w:r>
          </w:p>
        </w:tc>
      </w:tr>
      <w:tr>
        <w:trPr>
          <w:trHeight w:val="257"/>
        </w:trPr>
        <w:tc>
          <w:tcPr>
            <w:tcW w:w="50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spacing w:after="0"/>
              <w:rPr>
                <w:sz w:val="22"/>
                <w:szCs w:val="22"/>
                <w:color w:val="auto"/>
              </w:rPr>
            </w:pPr>
          </w:p>
        </w:tc>
      </w:tr>
      <w:tr>
        <w:trPr>
          <w:trHeight w:val="230"/>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number of shares</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12,174,169</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7,428,079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9,803,684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7,427,363</w:t>
            </w:r>
          </w:p>
        </w:tc>
      </w:tr>
      <w:tr>
        <w:trPr>
          <w:trHeight w:val="229"/>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Options effect of dilutive shares</w:t>
            </w:r>
          </w:p>
        </w:tc>
        <w:tc>
          <w:tcPr>
            <w:tcW w:w="36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86,876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82,468</w:t>
            </w:r>
          </w:p>
        </w:tc>
      </w:tr>
      <w:tr>
        <w:trPr>
          <w:trHeight w:val="223"/>
        </w:trPr>
        <w:tc>
          <w:tcPr>
            <w:tcW w:w="50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dilutive shares</w:t>
            </w:r>
          </w:p>
        </w:tc>
        <w:tc>
          <w:tcPr>
            <w:tcW w:w="360" w:type="dxa"/>
            <w:vAlign w:val="bottom"/>
            <w:tcBorders>
              <w:top w:val="single" w:sz="8" w:color="auto"/>
              <w:bottom w:val="single" w:sz="8" w:color="auto"/>
            </w:tcBorders>
            <w:shd w:val="clear" w:color="auto" w:fill="CCEEFF"/>
          </w:tcPr>
          <w:p>
            <w:pPr>
              <w:spacing w:after="0"/>
              <w:rPr>
                <w:sz w:val="19"/>
                <w:szCs w:val="19"/>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12,174,169</w:t>
            </w:r>
          </w:p>
        </w:tc>
        <w:tc>
          <w:tcPr>
            <w:tcW w:w="8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7,514,955</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spacing w:after="0"/>
              <w:rPr>
                <w:sz w:val="19"/>
                <w:szCs w:val="19"/>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9,803,684</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spacing w:after="0"/>
              <w:rPr>
                <w:sz w:val="19"/>
                <w:szCs w:val="19"/>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7,509,831</w:t>
            </w:r>
          </w:p>
        </w:tc>
      </w:tr>
      <w:tr>
        <w:trPr>
          <w:trHeight w:val="237"/>
        </w:trPr>
        <w:tc>
          <w:tcPr>
            <w:tcW w:w="50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30"/>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 earnings (loss) per common share</w:t>
            </w: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w:t>
            </w:r>
          </w:p>
        </w:tc>
      </w:tr>
      <w:tr>
        <w:trPr>
          <w:trHeight w:val="234"/>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Diluted earnings (loss) per common share</w:t>
            </w: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0.80</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w:t>
            </w:r>
          </w:p>
        </w:tc>
      </w:tr>
    </w:tbl>
    <w:p>
      <w:pPr>
        <w:spacing w:after="0" w:line="22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For the three months ended June 30, 2024, and the six months ended June 30, 2024, the options effect of dilutive shares is anti-dilutive and not considered in calculating diluted EPS. Stock awards equivalent to 323,902 and zero shares of common stock were not considered in computing diluted earnings per common share for the three months ended June 30, 2024, and June 30, 2023, respectively, because they are antidilutive. Stock awards equivalent to 329,572 and zero shares of common stock are not considered in computing diluted earnings per share for the six months ended June 30, 2024, and June 30, 2023, respectively, because they are antidilutive.</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16— Business Combination</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Effective on May 3, 2024, Burke &amp; Herbert completed the Merger with Summit, pursuant to the Merger Agreement.</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16— Business Combination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the Merger, holders of Summit common stock outstanding at the effective time of the Merger received 0.5043 shares of Burke &amp; Herbert common stock for each share of Summit common stock they owned, subject to the payment of cash in lieu of fractional shares. The total aggregate consideration payable in the Merger was approximately 7,405,772 shares of Burke &amp; Herbert common stock. Additionally, each share of Summit’s 6.0% Fixed Rate Non-Cumulative Perpetual Preferred Stock, Series 2021 issued and outstanding was converted into the right to receive a share of Burke &amp; Herbert Series 2021 Preferred Stock.</w:t>
      </w:r>
    </w:p>
    <w:p>
      <w:pPr>
        <w:spacing w:after="0" w:line="21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Summit’s results of operations from May 3, 2024 were included in the Company’s results beginning with reporting as of June 30, 2024. Net interest income and pre-tax net income for Summit were estimated to be $25.3 million and $27.5 million, respectively, since the date of the acquisition through June 30, 2024 and are included in the Company’s Consolidated Statement of Income. Merger-related costs of $24.4 million are included in non-interest expense in the Company’s income statement for the six months ended, June 30, 2024. A portion of these Merger-related costs are captured in the line item Other Operating Non-Interest Expense on the consolidated Income Statement with further description in </w:t>
      </w:r>
      <w:r>
        <w:rPr>
          <w:rFonts w:ascii="Times New Roman" w:cs="Times New Roman" w:eastAsia="Times New Roman" w:hAnsi="Times New Roman"/>
          <w:sz w:val="18"/>
          <w:szCs w:val="18"/>
          <w:u w:val="single" w:color="auto"/>
          <w:color w:val="0000FF"/>
        </w:rPr>
        <w:t>Note 13 - Other Operating Expense</w:t>
      </w:r>
      <w:r>
        <w:rPr>
          <w:rFonts w:ascii="Times New Roman" w:cs="Times New Roman" w:eastAsia="Times New Roman" w:hAnsi="Times New Roman"/>
          <w:sz w:val="18"/>
          <w:szCs w:val="18"/>
          <w:color w:val="auto"/>
        </w:rPr>
        <w:t>. An additional $14.9 million is captured in line items for Salaries and Wages, Pensions and Other Employee Benefits, Occupancy, and Equipment Rentals, depreciation and maintenance. These costs captured in those line items represent change-in-control payments, acceleration of benefit due to the change-in-control, software breakage, and other lease breakage fees. The fair value of the common shares issued as part of the consideration paid for Summit was determined in the basis of the closing price of the Company’s common shares on the date of completion of the merger.</w:t>
      </w:r>
    </w:p>
    <w:p>
      <w:pPr>
        <w:spacing w:after="0" w:line="21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accounted for the Merger using the acquisition method of accounting in accordance with ASC 805, Business Combinations and accordingly, the assets and liabilities of Summit were recorded at their respective fair values on the date of completion of the merger. The fair values of assets and liabilities are preliminary and subject to refinement for up to one year after the acquisition date as additional information relative to the acquisition date fair values becomes available. We recognized preliminary goodwill of $32.8 million in connection with the acquisition, which is not amortized for financial reporting purposes, but is subject to annual impairment testing. The goodwill arising from the transaction is not deductible for tax purposes and consisted largely of synergies and the cost savings resulting from the combining of the operations of the companies.</w:t>
      </w:r>
    </w:p>
    <w:p>
      <w:pPr>
        <w:spacing w:after="0" w:line="21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core deposit intangible represents the value of long-term deposit relationships acquired in this transaction and will be amortized over an estimated weighted average life of 7 years using an accelerated method which approximates the estimated run-off of the acquired deposits. The fair value of $68.8 million of intangible assets related to core deposits is subject to change pending the receipt of the final valuation.</w:t>
      </w: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fair value of purchased financial assets with credit deterioration was $380.8 million on the date of the acquisition. The gross contractual amounts receivable relating to the purchased financial assets with credit deterioration was $442.3 million. The Company estimates, on the date of the acquisition, that $23.9 million of the contractual cash flows specific to the purchased financial assets with credit deterioration will not be collected.</w:t>
      </w:r>
    </w:p>
    <w:p>
      <w:pPr>
        <w:spacing w:after="0" w:line="20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following table details the total consideration paid for Summit on May 3, 2024, the fair values of the assets acquired and liabilities assumed and the resulting preliminary goodwill at the acquisition date.</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16— Business Combination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9540" w:type="dxa"/>
            <w:vAlign w:val="bottom"/>
            <w:gridSpan w:val="2"/>
          </w:tcPr>
          <w:p>
            <w:pPr>
              <w:ind w:left="20"/>
              <w:spacing w:after="0"/>
              <w:rPr>
                <w:sz w:val="20"/>
                <w:szCs w:val="20"/>
                <w:color w:val="auto"/>
              </w:rPr>
            </w:pPr>
            <w:r>
              <w:rPr>
                <w:rFonts w:ascii="Times New Roman" w:cs="Times New Roman" w:eastAsia="Times New Roman" w:hAnsi="Times New Roman"/>
                <w:sz w:val="18"/>
                <w:szCs w:val="18"/>
                <w:i w:val="1"/>
                <w:iCs w:val="1"/>
                <w:color w:val="auto"/>
              </w:rPr>
              <w:t>($ in thousands, except share information)</w:t>
            </w:r>
          </w:p>
        </w:tc>
        <w:tc>
          <w:tcPr>
            <w:tcW w:w="42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38"/>
        </w:trPr>
        <w:tc>
          <w:tcPr>
            <w:tcW w:w="95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Consideration</w:t>
            </w:r>
          </w:p>
        </w:tc>
        <w:tc>
          <w:tcPr>
            <w:tcW w:w="4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May 3, 2024</w:t>
            </w:r>
          </w:p>
        </w:tc>
      </w:tr>
      <w:tr>
        <w:trPr>
          <w:trHeight w:val="223"/>
        </w:trPr>
        <w:tc>
          <w:tcPr>
            <w:tcW w:w="94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Common stock of Summit Financial Group, Inc.</w:t>
            </w:r>
          </w:p>
        </w:tc>
        <w:tc>
          <w:tcPr>
            <w:tcW w:w="10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14,686,738</w:t>
            </w:r>
          </w:p>
        </w:tc>
      </w:tr>
      <w:tr>
        <w:trPr>
          <w:trHeight w:val="229"/>
        </w:trPr>
        <w:tc>
          <w:tcPr>
            <w:tcW w:w="95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Exchange ratio</w:t>
            </w:r>
          </w:p>
        </w:tc>
        <w:tc>
          <w:tcPr>
            <w:tcW w:w="4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0.5043</w:t>
            </w:r>
          </w:p>
        </w:tc>
      </w:tr>
      <w:tr>
        <w:trPr>
          <w:trHeight w:val="223"/>
        </w:trPr>
        <w:tc>
          <w:tcPr>
            <w:tcW w:w="9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Burke &amp; Herbert common stock to be issued</w:t>
            </w:r>
          </w:p>
        </w:tc>
        <w:tc>
          <w:tcPr>
            <w:tcW w:w="4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7,406,522</w:t>
            </w:r>
          </w:p>
        </w:tc>
      </w:tr>
      <w:tr>
        <w:trPr>
          <w:trHeight w:val="229"/>
        </w:trPr>
        <w:tc>
          <w:tcPr>
            <w:tcW w:w="95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Actual Burke &amp; Herbert common stock issued</w:t>
            </w:r>
          </w:p>
        </w:tc>
        <w:tc>
          <w:tcPr>
            <w:tcW w:w="4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7,405,772</w:t>
            </w:r>
          </w:p>
        </w:tc>
      </w:tr>
      <w:tr>
        <w:trPr>
          <w:trHeight w:val="223"/>
        </w:trPr>
        <w:tc>
          <w:tcPr>
            <w:tcW w:w="9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Fractional common stock to be paid in cash</w:t>
            </w:r>
          </w:p>
        </w:tc>
        <w:tc>
          <w:tcPr>
            <w:tcW w:w="42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w:t>
            </w:r>
          </w:p>
        </w:tc>
      </w:tr>
      <w:tr>
        <w:trPr>
          <w:trHeight w:val="236"/>
        </w:trPr>
        <w:tc>
          <w:tcPr>
            <w:tcW w:w="9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230"/>
        </w:trPr>
        <w:tc>
          <w:tcPr>
            <w:tcW w:w="9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Actual Burke &amp; Herbert common stock issued</w:t>
            </w:r>
          </w:p>
        </w:tc>
        <w:tc>
          <w:tcPr>
            <w:tcW w:w="4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7,405,772</w:t>
            </w:r>
          </w:p>
        </w:tc>
      </w:tr>
      <w:tr>
        <w:trPr>
          <w:trHeight w:val="229"/>
        </w:trPr>
        <w:tc>
          <w:tcPr>
            <w:tcW w:w="95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Price per share of Burke &amp; Herbert common stock issued</w:t>
            </w:r>
          </w:p>
        </w:tc>
        <w:tc>
          <w:tcPr>
            <w:tcW w:w="4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51.67</w:t>
            </w:r>
          </w:p>
        </w:tc>
      </w:tr>
      <w:tr>
        <w:trPr>
          <w:trHeight w:val="223"/>
        </w:trPr>
        <w:tc>
          <w:tcPr>
            <w:tcW w:w="9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Purchase price consideration for common stock issued</w:t>
            </w:r>
          </w:p>
        </w:tc>
        <w:tc>
          <w:tcPr>
            <w:tcW w:w="4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382,656</w:t>
            </w:r>
          </w:p>
        </w:tc>
      </w:tr>
      <w:tr>
        <w:trPr>
          <w:trHeight w:val="257"/>
        </w:trPr>
        <w:tc>
          <w:tcPr>
            <w:tcW w:w="94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280" w:type="dxa"/>
            <w:vAlign w:val="bottom"/>
          </w:tcPr>
          <w:p>
            <w:pPr>
              <w:spacing w:after="0"/>
              <w:rPr>
                <w:sz w:val="22"/>
                <w:szCs w:val="22"/>
                <w:color w:val="auto"/>
              </w:rPr>
            </w:pPr>
          </w:p>
        </w:tc>
      </w:tr>
      <w:tr>
        <w:trPr>
          <w:trHeight w:val="229"/>
        </w:trPr>
        <w:tc>
          <w:tcPr>
            <w:tcW w:w="9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Fractional common stock to be paid in cash</w:t>
            </w:r>
          </w:p>
        </w:tc>
        <w:tc>
          <w:tcPr>
            <w:tcW w:w="4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w:t>
            </w:r>
          </w:p>
        </w:tc>
      </w:tr>
      <w:tr>
        <w:trPr>
          <w:trHeight w:val="229"/>
        </w:trPr>
        <w:tc>
          <w:tcPr>
            <w:tcW w:w="95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Average 10 day closing price used to pay fractional common stock</w:t>
            </w:r>
          </w:p>
        </w:tc>
        <w:tc>
          <w:tcPr>
            <w:tcW w:w="4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53.66</w:t>
            </w:r>
          </w:p>
        </w:tc>
      </w:tr>
      <w:tr>
        <w:trPr>
          <w:trHeight w:val="223"/>
        </w:trPr>
        <w:tc>
          <w:tcPr>
            <w:tcW w:w="9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paid for fractional shares</w:t>
            </w:r>
          </w:p>
        </w:tc>
        <w:tc>
          <w:tcPr>
            <w:tcW w:w="4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29"/>
        </w:trPr>
        <w:tc>
          <w:tcPr>
            <w:tcW w:w="95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Implied value of stock appreciation rights ("SARs") and restricted stock units</w:t>
            </w:r>
          </w:p>
        </w:tc>
        <w:tc>
          <w:tcPr>
            <w:tcW w:w="4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4,336</w:t>
            </w:r>
          </w:p>
        </w:tc>
      </w:tr>
      <w:tr>
        <w:trPr>
          <w:trHeight w:val="230"/>
        </w:trPr>
        <w:tc>
          <w:tcPr>
            <w:tcW w:w="9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Fair value of preferred stock issued by Burke &amp; Herbert</w:t>
            </w:r>
          </w:p>
        </w:tc>
        <w:tc>
          <w:tcPr>
            <w:tcW w:w="42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10,413</w:t>
            </w:r>
          </w:p>
        </w:tc>
      </w:tr>
      <w:tr>
        <w:trPr>
          <w:trHeight w:val="223"/>
        </w:trPr>
        <w:tc>
          <w:tcPr>
            <w:tcW w:w="95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Fully diluted transaction value</w:t>
            </w:r>
          </w:p>
        </w:tc>
        <w:tc>
          <w:tcPr>
            <w:tcW w:w="4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397,445</w:t>
            </w:r>
          </w:p>
        </w:tc>
      </w:tr>
      <w:tr>
        <w:trPr>
          <w:trHeight w:val="237"/>
        </w:trPr>
        <w:tc>
          <w:tcPr>
            <w:tcW w:w="94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spacing w:after="0"/>
              <w:rPr>
                <w:sz w:val="20"/>
                <w:szCs w:val="20"/>
                <w:color w:val="auto"/>
              </w:rPr>
            </w:pPr>
          </w:p>
        </w:tc>
        <w:tc>
          <w:tcPr>
            <w:tcW w:w="1280" w:type="dxa"/>
            <w:vAlign w:val="bottom"/>
            <w:tcBorders>
              <w:bottom w:val="single" w:sz="8" w:color="auto"/>
            </w:tcBorders>
            <w:shd w:val="clear" w:color="auto" w:fill="CCEEFF"/>
          </w:tcPr>
          <w:p>
            <w:pPr>
              <w:spacing w:after="0"/>
              <w:rPr>
                <w:sz w:val="20"/>
                <w:szCs w:val="20"/>
                <w:color w:val="auto"/>
              </w:rPr>
            </w:pPr>
          </w:p>
        </w:tc>
      </w:tr>
      <w:tr>
        <w:trPr>
          <w:trHeight w:val="223"/>
        </w:trPr>
        <w:tc>
          <w:tcPr>
            <w:tcW w:w="95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Preliminary Goodwill</w:t>
            </w:r>
          </w:p>
        </w:tc>
        <w:tc>
          <w:tcPr>
            <w:tcW w:w="4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32,783</w:t>
            </w:r>
          </w:p>
        </w:tc>
      </w:tr>
      <w:tr>
        <w:trPr>
          <w:trHeight w:val="979"/>
        </w:trPr>
        <w:tc>
          <w:tcPr>
            <w:tcW w:w="9440" w:type="dxa"/>
            <w:vAlign w:val="bottom"/>
          </w:tcPr>
          <w:p>
            <w:pPr>
              <w:ind w:left="5540"/>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277"/>
        </w:trPr>
        <w:tc>
          <w:tcPr>
            <w:tcW w:w="94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12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16— Business Combination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20" w:type="dxa"/>
            <w:vAlign w:val="bottom"/>
          </w:tcPr>
          <w:p>
            <w:pPr>
              <w:spacing w:after="0"/>
              <w:rPr>
                <w:sz w:val="19"/>
                <w:szCs w:val="19"/>
                <w:color w:val="auto"/>
              </w:rPr>
            </w:pPr>
          </w:p>
        </w:tc>
        <w:tc>
          <w:tcPr>
            <w:tcW w:w="54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As Recorded</w:t>
            </w:r>
          </w:p>
        </w:tc>
        <w:tc>
          <w:tcPr>
            <w:tcW w:w="240" w:type="dxa"/>
            <w:vAlign w:val="bottom"/>
          </w:tcPr>
          <w:p>
            <w:pPr>
              <w:spacing w:after="0"/>
              <w:rPr>
                <w:sz w:val="19"/>
                <w:szCs w:val="19"/>
                <w:color w:val="auto"/>
              </w:rPr>
            </w:pPr>
          </w:p>
        </w:tc>
        <w:tc>
          <w:tcPr>
            <w:tcW w:w="1800" w:type="dxa"/>
            <w:vAlign w:val="bottom"/>
            <w:gridSpan w:val="3"/>
          </w:tcPr>
          <w:p>
            <w:pPr>
              <w:jc w:val="center"/>
              <w:ind w:right="490"/>
              <w:spacing w:after="0"/>
              <w:rPr>
                <w:sz w:val="20"/>
                <w:szCs w:val="20"/>
                <w:color w:val="auto"/>
              </w:rPr>
            </w:pPr>
            <w:r>
              <w:rPr>
                <w:rFonts w:ascii="Times New Roman" w:cs="Times New Roman" w:eastAsia="Times New Roman" w:hAnsi="Times New Roman"/>
                <w:sz w:val="18"/>
                <w:szCs w:val="18"/>
                <w:b w:val="1"/>
                <w:bCs w:val="1"/>
                <w:color w:val="auto"/>
                <w:w w:val="99"/>
              </w:rPr>
              <w:t>Estimated</w:t>
            </w:r>
          </w:p>
        </w:tc>
        <w:tc>
          <w:tcPr>
            <w:tcW w:w="146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Estimated</w:t>
            </w:r>
          </w:p>
        </w:tc>
      </w:tr>
      <w:tr>
        <w:trPr>
          <w:trHeight w:val="229"/>
        </w:trPr>
        <w:tc>
          <w:tcPr>
            <w:tcW w:w="20" w:type="dxa"/>
            <w:vAlign w:val="bottom"/>
          </w:tcPr>
          <w:p>
            <w:pPr>
              <w:spacing w:after="0"/>
              <w:rPr>
                <w:sz w:val="19"/>
                <w:szCs w:val="19"/>
                <w:color w:val="auto"/>
              </w:rPr>
            </w:pPr>
          </w:p>
        </w:tc>
        <w:tc>
          <w:tcPr>
            <w:tcW w:w="54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by Summit</w:t>
            </w:r>
          </w:p>
        </w:tc>
        <w:tc>
          <w:tcPr>
            <w:tcW w:w="240" w:type="dxa"/>
            <w:vAlign w:val="bottom"/>
          </w:tcPr>
          <w:p>
            <w:pPr>
              <w:spacing w:after="0"/>
              <w:rPr>
                <w:sz w:val="19"/>
                <w:szCs w:val="19"/>
                <w:color w:val="auto"/>
              </w:rPr>
            </w:pPr>
          </w:p>
        </w:tc>
        <w:tc>
          <w:tcPr>
            <w:tcW w:w="1800" w:type="dxa"/>
            <w:vAlign w:val="bottom"/>
            <w:gridSpan w:val="3"/>
          </w:tcPr>
          <w:p>
            <w:pPr>
              <w:jc w:val="center"/>
              <w:ind w:right="470"/>
              <w:spacing w:after="0"/>
              <w:rPr>
                <w:sz w:val="20"/>
                <w:szCs w:val="20"/>
                <w:color w:val="auto"/>
              </w:rPr>
            </w:pPr>
            <w:r>
              <w:rPr>
                <w:rFonts w:ascii="Times New Roman" w:cs="Times New Roman" w:eastAsia="Times New Roman" w:hAnsi="Times New Roman"/>
                <w:sz w:val="18"/>
                <w:szCs w:val="18"/>
                <w:b w:val="1"/>
                <w:bCs w:val="1"/>
                <w:color w:val="auto"/>
                <w:w w:val="96"/>
              </w:rPr>
              <w:t>Fair Value</w:t>
            </w:r>
          </w:p>
        </w:tc>
        <w:tc>
          <w:tcPr>
            <w:tcW w:w="146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Fair Value</w:t>
            </w:r>
          </w:p>
        </w:tc>
      </w:tr>
      <w:tr>
        <w:trPr>
          <w:trHeight w:val="238"/>
        </w:trPr>
        <w:tc>
          <w:tcPr>
            <w:tcW w:w="20" w:type="dxa"/>
            <w:vAlign w:val="bottom"/>
          </w:tcPr>
          <w:p>
            <w:pPr>
              <w:spacing w:after="0"/>
              <w:rPr>
                <w:sz w:val="20"/>
                <w:szCs w:val="20"/>
                <w:color w:val="auto"/>
              </w:rPr>
            </w:pPr>
          </w:p>
        </w:tc>
        <w:tc>
          <w:tcPr>
            <w:tcW w:w="592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 in thousands)</w:t>
            </w:r>
          </w:p>
        </w:tc>
        <w:tc>
          <w:tcPr>
            <w:tcW w:w="240" w:type="dxa"/>
            <w:vAlign w:val="bottom"/>
          </w:tcPr>
          <w:p>
            <w:pPr>
              <w:spacing w:after="0"/>
              <w:rPr>
                <w:sz w:val="20"/>
                <w:szCs w:val="20"/>
                <w:color w:val="auto"/>
              </w:rPr>
            </w:pPr>
          </w:p>
        </w:tc>
        <w:tc>
          <w:tcPr>
            <w:tcW w:w="15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May 3, 2024</w:t>
            </w:r>
          </w:p>
        </w:tc>
        <w:tc>
          <w:tcPr>
            <w:tcW w:w="240" w:type="dxa"/>
            <w:vAlign w:val="bottom"/>
          </w:tcPr>
          <w:p>
            <w:pPr>
              <w:spacing w:after="0"/>
              <w:rPr>
                <w:sz w:val="20"/>
                <w:szCs w:val="20"/>
                <w:color w:val="auto"/>
              </w:rPr>
            </w:pPr>
          </w:p>
        </w:tc>
        <w:tc>
          <w:tcPr>
            <w:tcW w:w="1800" w:type="dxa"/>
            <w:vAlign w:val="bottom"/>
            <w:gridSpan w:val="3"/>
          </w:tcPr>
          <w:p>
            <w:pPr>
              <w:jc w:val="center"/>
              <w:ind w:right="490"/>
              <w:spacing w:after="0"/>
              <w:rPr>
                <w:sz w:val="20"/>
                <w:szCs w:val="20"/>
                <w:color w:val="auto"/>
              </w:rPr>
            </w:pPr>
            <w:r>
              <w:rPr>
                <w:rFonts w:ascii="Times New Roman" w:cs="Times New Roman" w:eastAsia="Times New Roman" w:hAnsi="Times New Roman"/>
                <w:sz w:val="18"/>
                <w:szCs w:val="18"/>
                <w:b w:val="1"/>
                <w:bCs w:val="1"/>
                <w:color w:val="auto"/>
                <w:w w:val="99"/>
              </w:rPr>
              <w:t>Adjustments</w:t>
            </w:r>
          </w:p>
        </w:tc>
        <w:tc>
          <w:tcPr>
            <w:tcW w:w="146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rPr>
              <w:t>May 3, 2024</w:t>
            </w:r>
          </w:p>
        </w:tc>
      </w:tr>
      <w:tr>
        <w:trPr>
          <w:trHeight w:val="223"/>
        </w:trPr>
        <w:tc>
          <w:tcPr>
            <w:tcW w:w="20" w:type="dxa"/>
            <w:vAlign w:val="bottom"/>
            <w:tcBorders>
              <w:top w:val="single" w:sz="8" w:color="CCEEFF"/>
            </w:tcBorders>
            <w:shd w:val="clear" w:color="auto" w:fill="CCEEFF"/>
          </w:tcPr>
          <w:p>
            <w:pPr>
              <w:spacing w:after="0"/>
              <w:rPr>
                <w:sz w:val="19"/>
                <w:szCs w:val="19"/>
                <w:color w:val="auto"/>
              </w:rPr>
            </w:pPr>
          </w:p>
        </w:tc>
        <w:tc>
          <w:tcPr>
            <w:tcW w:w="592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purchase price consideration</w:t>
            </w:r>
          </w:p>
        </w:tc>
        <w:tc>
          <w:tcPr>
            <w:tcW w:w="240" w:type="dxa"/>
            <w:vAlign w:val="bottom"/>
            <w:tcBorders>
              <w:top w:val="single" w:sz="8" w:color="auto"/>
            </w:tcBorders>
            <w:shd w:val="clear" w:color="auto" w:fill="CCEEFF"/>
          </w:tcPr>
          <w:p>
            <w:pPr>
              <w:spacing w:after="0"/>
              <w:rPr>
                <w:sz w:val="19"/>
                <w:szCs w:val="19"/>
                <w:color w:val="auto"/>
              </w:rPr>
            </w:pPr>
          </w:p>
        </w:tc>
        <w:tc>
          <w:tcPr>
            <w:tcW w:w="14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14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397,445</w:t>
            </w:r>
          </w:p>
        </w:tc>
      </w:tr>
      <w:tr>
        <w:trPr>
          <w:trHeight w:val="189"/>
        </w:trPr>
        <w:tc>
          <w:tcPr>
            <w:tcW w:w="20" w:type="dxa"/>
            <w:vAlign w:val="bottom"/>
          </w:tcPr>
          <w:p>
            <w:pPr>
              <w:spacing w:after="0"/>
              <w:rPr>
                <w:sz w:val="16"/>
                <w:szCs w:val="16"/>
                <w:color w:val="auto"/>
              </w:rPr>
            </w:pPr>
          </w:p>
        </w:tc>
        <w:tc>
          <w:tcPr>
            <w:tcW w:w="592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i w:val="1"/>
                <w:iCs w:val="1"/>
                <w:color w:val="auto"/>
              </w:rPr>
              <w:t>Recognized amounts of identifiable assets acquired and liabilities assumed</w:t>
            </w:r>
          </w:p>
        </w:tc>
        <w:tc>
          <w:tcPr>
            <w:tcW w:w="24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6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5400" w:type="dxa"/>
            <w:vAlign w:val="bottom"/>
            <w:tcBorders>
              <w:top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5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equivalents</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53,357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gridSpan w:val="3"/>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  $</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53,357</w:t>
            </w:r>
          </w:p>
        </w:tc>
      </w:tr>
      <w:tr>
        <w:trPr>
          <w:trHeight w:val="229"/>
        </w:trPr>
        <w:tc>
          <w:tcPr>
            <w:tcW w:w="20" w:type="dxa"/>
            <w:vAlign w:val="bottom"/>
          </w:tcPr>
          <w:p>
            <w:pPr>
              <w:spacing w:after="0"/>
              <w:rPr>
                <w:sz w:val="19"/>
                <w:szCs w:val="19"/>
                <w:color w:val="auto"/>
              </w:rPr>
            </w:pPr>
          </w:p>
        </w:tc>
        <w:tc>
          <w:tcPr>
            <w:tcW w:w="5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Securities, available-for-sale, at fair value</w:t>
            </w: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491,608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0" w:type="dxa"/>
            <w:vAlign w:val="bottom"/>
            <w:gridSpan w:val="3"/>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491,608</w:t>
            </w:r>
          </w:p>
        </w:tc>
      </w:tr>
      <w:tr>
        <w:trPr>
          <w:trHeight w:val="230"/>
        </w:trPr>
        <w:tc>
          <w:tcPr>
            <w:tcW w:w="20" w:type="dxa"/>
            <w:vAlign w:val="bottom"/>
            <w:shd w:val="clear" w:color="auto" w:fill="CCEEFF"/>
          </w:tcPr>
          <w:p>
            <w:pPr>
              <w:spacing w:after="0"/>
              <w:rPr>
                <w:sz w:val="19"/>
                <w:szCs w:val="19"/>
                <w:color w:val="auto"/>
              </w:rPr>
            </w:pPr>
          </w:p>
        </w:tc>
        <w:tc>
          <w:tcPr>
            <w:tcW w:w="5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Securities, held-to-maturity, at amortized cost</w:t>
            </w: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93,573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(7,430)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86,143</w:t>
            </w:r>
          </w:p>
        </w:tc>
      </w:tr>
      <w:tr>
        <w:trPr>
          <w:trHeight w:val="229"/>
        </w:trPr>
        <w:tc>
          <w:tcPr>
            <w:tcW w:w="20" w:type="dxa"/>
            <w:vAlign w:val="bottom"/>
          </w:tcPr>
          <w:p>
            <w:pPr>
              <w:spacing w:after="0"/>
              <w:rPr>
                <w:sz w:val="19"/>
                <w:szCs w:val="19"/>
                <w:color w:val="auto"/>
              </w:rPr>
            </w:pPr>
          </w:p>
        </w:tc>
        <w:tc>
          <w:tcPr>
            <w:tcW w:w="5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Equity and other investments</w:t>
            </w: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36,085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0" w:type="dxa"/>
            <w:vAlign w:val="bottom"/>
            <w:gridSpan w:val="3"/>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36,085</w:t>
            </w:r>
          </w:p>
        </w:tc>
      </w:tr>
      <w:tr>
        <w:trPr>
          <w:trHeight w:val="229"/>
        </w:trPr>
        <w:tc>
          <w:tcPr>
            <w:tcW w:w="20" w:type="dxa"/>
            <w:vAlign w:val="bottom"/>
            <w:shd w:val="clear" w:color="auto" w:fill="CCEEFF"/>
          </w:tcPr>
          <w:p>
            <w:pPr>
              <w:spacing w:after="0"/>
              <w:rPr>
                <w:sz w:val="19"/>
                <w:szCs w:val="19"/>
                <w:color w:val="auto"/>
              </w:rPr>
            </w:pPr>
          </w:p>
        </w:tc>
        <w:tc>
          <w:tcPr>
            <w:tcW w:w="5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Loans, gross</w:t>
            </w: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3,707,940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(153,306)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3,554,634</w:t>
            </w:r>
          </w:p>
        </w:tc>
      </w:tr>
      <w:tr>
        <w:trPr>
          <w:trHeight w:val="230"/>
        </w:trPr>
        <w:tc>
          <w:tcPr>
            <w:tcW w:w="20" w:type="dxa"/>
            <w:vAlign w:val="bottom"/>
            <w:tcBorders>
              <w:bottom w:val="single" w:sz="8" w:color="CCEEFF"/>
            </w:tcBorders>
          </w:tcPr>
          <w:p>
            <w:pPr>
              <w:spacing w:after="0"/>
              <w:rPr>
                <w:sz w:val="19"/>
                <w:szCs w:val="19"/>
                <w:color w:val="auto"/>
              </w:rPr>
            </w:pPr>
          </w:p>
        </w:tc>
        <w:tc>
          <w:tcPr>
            <w:tcW w:w="592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Allowance for credit losses</w:t>
            </w:r>
          </w:p>
        </w:tc>
        <w:tc>
          <w:tcPr>
            <w:tcW w:w="2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(49,471)</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25,991</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(23,480)</w:t>
            </w:r>
          </w:p>
        </w:tc>
      </w:tr>
      <w:tr>
        <w:trPr>
          <w:trHeight w:val="223"/>
        </w:trPr>
        <w:tc>
          <w:tcPr>
            <w:tcW w:w="20" w:type="dxa"/>
            <w:vAlign w:val="bottom"/>
            <w:shd w:val="clear" w:color="auto" w:fill="CCEEFF"/>
          </w:tcPr>
          <w:p>
            <w:pPr>
              <w:spacing w:after="0"/>
              <w:rPr>
                <w:sz w:val="19"/>
                <w:szCs w:val="19"/>
                <w:color w:val="auto"/>
              </w:rPr>
            </w:pPr>
          </w:p>
        </w:tc>
        <w:tc>
          <w:tcPr>
            <w:tcW w:w="5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Loans, net of allowance</w:t>
            </w: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3,658,469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(127,315)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3,531,154</w:t>
            </w:r>
          </w:p>
        </w:tc>
      </w:tr>
      <w:tr>
        <w:trPr>
          <w:trHeight w:val="230"/>
        </w:trPr>
        <w:tc>
          <w:tcPr>
            <w:tcW w:w="20" w:type="dxa"/>
            <w:vAlign w:val="bottom"/>
          </w:tcPr>
          <w:p>
            <w:pPr>
              <w:spacing w:after="0"/>
              <w:rPr>
                <w:sz w:val="19"/>
                <w:szCs w:val="19"/>
                <w:color w:val="auto"/>
              </w:rPr>
            </w:pPr>
          </w:p>
        </w:tc>
        <w:tc>
          <w:tcPr>
            <w:tcW w:w="5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Premises and equipment, net</w:t>
            </w: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62,255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13,276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75,531</w:t>
            </w:r>
          </w:p>
        </w:tc>
      </w:tr>
      <w:tr>
        <w:trPr>
          <w:trHeight w:val="229"/>
        </w:trPr>
        <w:tc>
          <w:tcPr>
            <w:tcW w:w="20" w:type="dxa"/>
            <w:vAlign w:val="bottom"/>
            <w:shd w:val="clear" w:color="auto" w:fill="CCEEFF"/>
          </w:tcPr>
          <w:p>
            <w:pPr>
              <w:spacing w:after="0"/>
              <w:rPr>
                <w:sz w:val="19"/>
                <w:szCs w:val="19"/>
                <w:color w:val="auto"/>
              </w:rPr>
            </w:pPr>
          </w:p>
        </w:tc>
        <w:tc>
          <w:tcPr>
            <w:tcW w:w="5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interest receivable</w:t>
            </w: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19,610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00" w:type="dxa"/>
            <w:vAlign w:val="bottom"/>
            <w:gridSpan w:val="3"/>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19,610</w:t>
            </w:r>
          </w:p>
        </w:tc>
      </w:tr>
      <w:tr>
        <w:trPr>
          <w:trHeight w:val="229"/>
        </w:trPr>
        <w:tc>
          <w:tcPr>
            <w:tcW w:w="20" w:type="dxa"/>
            <w:vAlign w:val="bottom"/>
          </w:tcPr>
          <w:p>
            <w:pPr>
              <w:spacing w:after="0"/>
              <w:rPr>
                <w:sz w:val="19"/>
                <w:szCs w:val="19"/>
                <w:color w:val="auto"/>
              </w:rPr>
            </w:pPr>
          </w:p>
        </w:tc>
        <w:tc>
          <w:tcPr>
            <w:tcW w:w="5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Company-owned life insurance</w:t>
            </w: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86,363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0" w:type="dxa"/>
            <w:vAlign w:val="bottom"/>
            <w:gridSpan w:val="3"/>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86,363</w:t>
            </w:r>
          </w:p>
        </w:tc>
      </w:tr>
      <w:tr>
        <w:trPr>
          <w:trHeight w:val="230"/>
        </w:trPr>
        <w:tc>
          <w:tcPr>
            <w:tcW w:w="20" w:type="dxa"/>
            <w:vAlign w:val="bottom"/>
            <w:shd w:val="clear" w:color="auto" w:fill="CCEEFF"/>
          </w:tcPr>
          <w:p>
            <w:pPr>
              <w:spacing w:after="0"/>
              <w:rPr>
                <w:sz w:val="19"/>
                <w:szCs w:val="19"/>
                <w:color w:val="auto"/>
              </w:rPr>
            </w:pPr>
          </w:p>
        </w:tc>
        <w:tc>
          <w:tcPr>
            <w:tcW w:w="5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Goodwill and intangibles</w:t>
            </w: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73,144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68,760</w:t>
            </w:r>
          </w:p>
        </w:tc>
      </w:tr>
      <w:tr>
        <w:trPr>
          <w:trHeight w:val="229"/>
        </w:trPr>
        <w:tc>
          <w:tcPr>
            <w:tcW w:w="20" w:type="dxa"/>
            <w:vAlign w:val="bottom"/>
          </w:tcPr>
          <w:p>
            <w:pPr>
              <w:spacing w:after="0"/>
              <w:rPr>
                <w:sz w:val="19"/>
                <w:szCs w:val="19"/>
                <w:color w:val="auto"/>
              </w:rPr>
            </w:pPr>
          </w:p>
        </w:tc>
        <w:tc>
          <w:tcPr>
            <w:tcW w:w="5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83,381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11,322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94,703</w:t>
            </w:r>
          </w:p>
        </w:tc>
      </w:tr>
      <w:tr>
        <w:trPr>
          <w:trHeight w:val="230"/>
        </w:trPr>
        <w:tc>
          <w:tcPr>
            <w:tcW w:w="20" w:type="dxa"/>
            <w:vAlign w:val="bottom"/>
            <w:shd w:val="clear" w:color="auto" w:fill="CCEEFF"/>
          </w:tcPr>
          <w:p>
            <w:pPr>
              <w:spacing w:after="0"/>
              <w:rPr>
                <w:sz w:val="19"/>
                <w:szCs w:val="19"/>
                <w:color w:val="auto"/>
              </w:rPr>
            </w:pPr>
          </w:p>
        </w:tc>
        <w:tc>
          <w:tcPr>
            <w:tcW w:w="5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identifiable assets acquired</w:t>
            </w: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4,657,845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(114,531)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4,543,314</w:t>
            </w:r>
          </w:p>
        </w:tc>
      </w:tr>
      <w:tr>
        <w:trPr>
          <w:trHeight w:val="229"/>
        </w:trPr>
        <w:tc>
          <w:tcPr>
            <w:tcW w:w="20" w:type="dxa"/>
            <w:vAlign w:val="bottom"/>
          </w:tcPr>
          <w:p>
            <w:pPr>
              <w:spacing w:after="0"/>
              <w:rPr>
                <w:sz w:val="19"/>
                <w:szCs w:val="19"/>
                <w:color w:val="auto"/>
              </w:rPr>
            </w:pPr>
          </w:p>
        </w:tc>
        <w:tc>
          <w:tcPr>
            <w:tcW w:w="5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Deposits</w:t>
            </w: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3,704,072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(7,136)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3,696,936</w:t>
            </w:r>
          </w:p>
        </w:tc>
      </w:tr>
      <w:tr>
        <w:trPr>
          <w:trHeight w:val="229"/>
        </w:trPr>
        <w:tc>
          <w:tcPr>
            <w:tcW w:w="20" w:type="dxa"/>
            <w:vAlign w:val="bottom"/>
            <w:shd w:val="clear" w:color="auto" w:fill="CCEEFF"/>
          </w:tcPr>
          <w:p>
            <w:pPr>
              <w:spacing w:after="0"/>
              <w:rPr>
                <w:sz w:val="19"/>
                <w:szCs w:val="19"/>
                <w:color w:val="auto"/>
              </w:rPr>
            </w:pPr>
          </w:p>
        </w:tc>
        <w:tc>
          <w:tcPr>
            <w:tcW w:w="5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Borrowings</w:t>
            </w: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323,610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00" w:type="dxa"/>
            <w:vAlign w:val="bottom"/>
            <w:gridSpan w:val="3"/>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323,610</w:t>
            </w:r>
          </w:p>
        </w:tc>
      </w:tr>
      <w:tr>
        <w:trPr>
          <w:trHeight w:val="230"/>
        </w:trPr>
        <w:tc>
          <w:tcPr>
            <w:tcW w:w="20" w:type="dxa"/>
            <w:vAlign w:val="bottom"/>
          </w:tcPr>
          <w:p>
            <w:pPr>
              <w:spacing w:after="0"/>
              <w:rPr>
                <w:sz w:val="19"/>
                <w:szCs w:val="19"/>
                <w:color w:val="auto"/>
              </w:rPr>
            </w:pPr>
          </w:p>
        </w:tc>
        <w:tc>
          <w:tcPr>
            <w:tcW w:w="5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Subordinated debentures and trust preferred securities</w:t>
            </w: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123,533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(16,466)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107,067</w:t>
            </w:r>
          </w:p>
        </w:tc>
      </w:tr>
      <w:tr>
        <w:trPr>
          <w:trHeight w:val="229"/>
        </w:trPr>
        <w:tc>
          <w:tcPr>
            <w:tcW w:w="20" w:type="dxa"/>
            <w:vAlign w:val="bottom"/>
            <w:shd w:val="clear" w:color="auto" w:fill="CCEEFF"/>
          </w:tcPr>
          <w:p>
            <w:pPr>
              <w:spacing w:after="0"/>
              <w:rPr>
                <w:sz w:val="19"/>
                <w:szCs w:val="19"/>
                <w:color w:val="auto"/>
              </w:rPr>
            </w:pPr>
          </w:p>
        </w:tc>
        <w:tc>
          <w:tcPr>
            <w:tcW w:w="5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Unfunded reserve liability</w:t>
            </w: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6,692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3,502</w:t>
            </w:r>
          </w:p>
        </w:tc>
      </w:tr>
      <w:tr>
        <w:trPr>
          <w:trHeight w:val="230"/>
        </w:trPr>
        <w:tc>
          <w:tcPr>
            <w:tcW w:w="20" w:type="dxa"/>
            <w:vAlign w:val="bottom"/>
          </w:tcPr>
          <w:p>
            <w:pPr>
              <w:spacing w:after="0"/>
              <w:rPr>
                <w:sz w:val="19"/>
                <w:szCs w:val="19"/>
                <w:color w:val="auto"/>
              </w:rPr>
            </w:pPr>
          </w:p>
        </w:tc>
        <w:tc>
          <w:tcPr>
            <w:tcW w:w="5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Accrued interest and other liabilities</w:t>
            </w: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47,537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0" w:type="dxa"/>
            <w:vAlign w:val="bottom"/>
            <w:gridSpan w:val="3"/>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47,537</w:t>
            </w:r>
          </w:p>
        </w:tc>
      </w:tr>
      <w:tr>
        <w:trPr>
          <w:trHeight w:val="223"/>
        </w:trPr>
        <w:tc>
          <w:tcPr>
            <w:tcW w:w="20" w:type="dxa"/>
            <w:vAlign w:val="bottom"/>
            <w:tcBorders>
              <w:top w:val="single" w:sz="8" w:color="CCEEFF"/>
            </w:tcBorders>
            <w:shd w:val="clear" w:color="auto" w:fill="CCEEFF"/>
          </w:tcPr>
          <w:p>
            <w:pPr>
              <w:spacing w:after="0"/>
              <w:rPr>
                <w:sz w:val="19"/>
                <w:szCs w:val="19"/>
                <w:color w:val="auto"/>
              </w:rPr>
            </w:pPr>
          </w:p>
        </w:tc>
        <w:tc>
          <w:tcPr>
            <w:tcW w:w="592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4,205,444</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(26,792)</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4,178,652</w:t>
            </w:r>
          </w:p>
        </w:tc>
      </w:tr>
      <w:tr>
        <w:trPr>
          <w:trHeight w:val="223"/>
        </w:trPr>
        <w:tc>
          <w:tcPr>
            <w:tcW w:w="20" w:type="dxa"/>
            <w:vAlign w:val="bottom"/>
            <w:tcBorders>
              <w:bottom w:val="single" w:sz="8" w:color="CCEEFF"/>
            </w:tcBorders>
          </w:tcPr>
          <w:p>
            <w:pPr>
              <w:spacing w:after="0"/>
              <w:rPr>
                <w:sz w:val="19"/>
                <w:szCs w:val="19"/>
                <w:color w:val="auto"/>
              </w:rPr>
            </w:pPr>
          </w:p>
        </w:tc>
        <w:tc>
          <w:tcPr>
            <w:tcW w:w="592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identifiable net assets</w:t>
            </w: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452,401</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(87,739)</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364,662</w:t>
            </w:r>
          </w:p>
        </w:tc>
      </w:tr>
      <w:tr>
        <w:trPr>
          <w:trHeight w:val="223"/>
        </w:trPr>
        <w:tc>
          <w:tcPr>
            <w:tcW w:w="20" w:type="dxa"/>
            <w:vAlign w:val="bottom"/>
            <w:shd w:val="clear" w:color="auto" w:fill="CCEEFF"/>
          </w:tcPr>
          <w:p>
            <w:pPr>
              <w:spacing w:after="0"/>
              <w:rPr>
                <w:sz w:val="19"/>
                <w:szCs w:val="19"/>
                <w:color w:val="auto"/>
              </w:rPr>
            </w:pPr>
          </w:p>
        </w:tc>
        <w:tc>
          <w:tcPr>
            <w:tcW w:w="5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Preliminary Goodwill</w:t>
            </w: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32,783</w:t>
            </w:r>
          </w:p>
        </w:tc>
      </w:tr>
    </w:tbl>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Post merger, all of the securities, held-to-maturity were reclassified as available-for-sale.</w:t>
      </w:r>
    </w:p>
    <w:p>
      <w:pPr>
        <w:spacing w:after="0" w:line="25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following table presents supplemental pro forma information as if the Merger had occurred on January 1, 2023. The unaudited pro forma information includes adjustments for interest income on loans and securities acquired, amortization of intangibles arising from the transaction, depreciation expense on property acquired, interest expense on deposits acquired, and the related income tax effects. The pro forma financial information is not necessarily indicative of the results of operations that would have occurred had the transaction been effected on the assumed dates.</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200" w:type="dxa"/>
            <w:vAlign w:val="bottom"/>
          </w:tcPr>
          <w:p>
            <w:pPr>
              <w:spacing w:after="0"/>
              <w:rPr>
                <w:sz w:val="16"/>
                <w:szCs w:val="16"/>
                <w:color w:val="auto"/>
              </w:rPr>
            </w:pPr>
          </w:p>
        </w:tc>
        <w:tc>
          <w:tcPr>
            <w:tcW w:w="2840" w:type="dxa"/>
            <w:vAlign w:val="bottom"/>
            <w:gridSpan w:val="4"/>
          </w:tcPr>
          <w:p>
            <w:pPr>
              <w:jc w:val="right"/>
              <w:ind w:right="99"/>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060" w:type="dxa"/>
            <w:vAlign w:val="bottom"/>
            <w:gridSpan w:val="4"/>
          </w:tcPr>
          <w:p>
            <w:pPr>
              <w:jc w:val="right"/>
              <w:ind w:right="816"/>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253"/>
        </w:trPr>
        <w:tc>
          <w:tcPr>
            <w:tcW w:w="4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 in thousands)</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640" w:type="dxa"/>
            <w:vAlign w:val="bottom"/>
            <w:tcBorders>
              <w:bottom w:val="single" w:sz="8" w:color="auto"/>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6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61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616"/>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3"/>
        </w:trPr>
        <w:tc>
          <w:tcPr>
            <w:tcW w:w="4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Interest Income</w:t>
            </w:r>
          </w:p>
        </w:tc>
        <w:tc>
          <w:tcPr>
            <w:tcW w:w="1060" w:type="dxa"/>
            <w:vAlign w:val="bottom"/>
            <w:shd w:val="clear" w:color="auto" w:fill="CCEEFF"/>
          </w:tcPr>
          <w:p>
            <w:pPr>
              <w:jc w:val="right"/>
              <w:ind w:right="862"/>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70,290</w:t>
            </w:r>
          </w:p>
        </w:tc>
        <w:tc>
          <w:tcPr>
            <w:tcW w:w="8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859"/>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74,848</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140,972</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144,555</w:t>
            </w:r>
          </w:p>
        </w:tc>
      </w:tr>
      <w:tr>
        <w:trPr>
          <w:trHeight w:val="270"/>
        </w:trPr>
        <w:tc>
          <w:tcPr>
            <w:tcW w:w="420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280" w:type="dxa"/>
            <w:vAlign w:val="bottom"/>
          </w:tcPr>
          <w:p>
            <w:pPr>
              <w:spacing w:after="0"/>
              <w:rPr>
                <w:sz w:val="23"/>
                <w:szCs w:val="23"/>
                <w:color w:val="auto"/>
              </w:rPr>
            </w:pPr>
          </w:p>
        </w:tc>
      </w:tr>
      <w:tr>
        <w:trPr>
          <w:trHeight w:val="229"/>
        </w:trPr>
        <w:tc>
          <w:tcPr>
            <w:tcW w:w="4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0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25,683</w:t>
            </w:r>
          </w:p>
        </w:tc>
        <w:tc>
          <w:tcPr>
            <w:tcW w:w="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18,815</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51,668</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4,245</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17— Goodwill and Other Intangible Assets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change in goodwill for the three and six months ended June 30, 2024, and June 30, 2023, (in thousands):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200" w:type="dxa"/>
            <w:vAlign w:val="bottom"/>
          </w:tcPr>
          <w:p>
            <w:pPr>
              <w:spacing w:after="0"/>
              <w:rPr>
                <w:sz w:val="16"/>
                <w:szCs w:val="16"/>
                <w:color w:val="auto"/>
              </w:rPr>
            </w:pPr>
          </w:p>
        </w:tc>
        <w:tc>
          <w:tcPr>
            <w:tcW w:w="3000" w:type="dxa"/>
            <w:vAlign w:val="bottom"/>
            <w:gridSpan w:val="4"/>
          </w:tcPr>
          <w:p>
            <w:pPr>
              <w:jc w:val="right"/>
              <w:ind w:right="256"/>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060" w:type="dxa"/>
            <w:vAlign w:val="bottom"/>
            <w:gridSpan w:val="4"/>
          </w:tcPr>
          <w:p>
            <w:pPr>
              <w:ind w:left="48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203"/>
        </w:trPr>
        <w:tc>
          <w:tcPr>
            <w:tcW w:w="42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20" w:type="dxa"/>
            <w:vAlign w:val="bottom"/>
          </w:tcPr>
          <w:p>
            <w:pPr>
              <w:jc w:val="right"/>
              <w:ind w:right="136"/>
              <w:spacing w:after="0"/>
              <w:rPr>
                <w:sz w:val="20"/>
                <w:szCs w:val="20"/>
                <w:color w:val="auto"/>
              </w:rPr>
            </w:pPr>
            <w:r>
              <w:rPr>
                <w:rFonts w:ascii="Times New Roman" w:cs="Times New Roman" w:eastAsia="Times New Roman" w:hAnsi="Times New Roman"/>
                <w:sz w:val="14"/>
                <w:szCs w:val="14"/>
                <w:b w:val="1"/>
                <w:bCs w:val="1"/>
                <w:color w:val="auto"/>
              </w:rPr>
              <w:t>2023</w:t>
            </w: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80" w:type="dxa"/>
            <w:vAlign w:val="bottom"/>
          </w:tcPr>
          <w:p>
            <w:pPr>
              <w:jc w:val="right"/>
              <w:ind w:right="61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80" w:type="dxa"/>
            <w:vAlign w:val="bottom"/>
          </w:tcPr>
          <w:p>
            <w:pPr>
              <w:ind w:left="300"/>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3"/>
        </w:trPr>
        <w:tc>
          <w:tcPr>
            <w:tcW w:w="420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23"/>
        </w:trPr>
        <w:tc>
          <w:tcPr>
            <w:tcW w:w="4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Beginning of period</w:t>
            </w:r>
          </w:p>
        </w:tc>
        <w:tc>
          <w:tcPr>
            <w:tcW w:w="1060" w:type="dxa"/>
            <w:vAlign w:val="bottom"/>
            <w:shd w:val="clear" w:color="auto" w:fill="CCEEFF"/>
          </w:tcPr>
          <w:p>
            <w:pPr>
              <w:jc w:val="right"/>
              <w:ind w:right="859"/>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016"/>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4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Acquired goodwill</w:t>
            </w:r>
          </w:p>
        </w:tc>
        <w:tc>
          <w:tcPr>
            <w:tcW w:w="10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32,783</w:t>
            </w:r>
          </w:p>
        </w:tc>
        <w:tc>
          <w:tcPr>
            <w:tcW w:w="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5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32,783</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80" w:type="dxa"/>
            <w:vAlign w:val="bottom"/>
          </w:tcPr>
          <w:p>
            <w:pPr>
              <w:ind w:left="102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4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Impairment</w:t>
            </w:r>
          </w:p>
        </w:tc>
        <w:tc>
          <w:tcPr>
            <w:tcW w:w="106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spacing w:after="0"/>
              <w:rPr>
                <w:sz w:val="19"/>
                <w:szCs w:val="19"/>
                <w:color w:val="auto"/>
              </w:rPr>
            </w:pPr>
          </w:p>
        </w:tc>
        <w:tc>
          <w:tcPr>
            <w:tcW w:w="5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4200" w:type="dxa"/>
            <w:vAlign w:val="bottom"/>
          </w:tcPr>
          <w:p>
            <w:pPr>
              <w:spacing w:after="0"/>
              <w:rPr>
                <w:sz w:val="21"/>
                <w:szCs w:val="21"/>
                <w:color w:val="auto"/>
              </w:rPr>
            </w:pPr>
          </w:p>
        </w:tc>
        <w:tc>
          <w:tcPr>
            <w:tcW w:w="1060" w:type="dxa"/>
            <w:vAlign w:val="bottom"/>
            <w:tcBorders>
              <w:top w:val="single" w:sz="8" w:color="auto"/>
            </w:tcBorders>
          </w:tcPr>
          <w:p>
            <w:pPr>
              <w:spacing w:after="0"/>
              <w:rPr>
                <w:sz w:val="21"/>
                <w:szCs w:val="21"/>
                <w:color w:val="auto"/>
              </w:rPr>
            </w:pPr>
          </w:p>
        </w:tc>
        <w:tc>
          <w:tcPr>
            <w:tcW w:w="64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1220" w:type="dxa"/>
            <w:vAlign w:val="bottom"/>
            <w:tcBorders>
              <w:top w:val="single" w:sz="8" w:color="auto"/>
            </w:tcBorders>
          </w:tcPr>
          <w:p>
            <w:pPr>
              <w:spacing w:after="0"/>
              <w:rPr>
                <w:sz w:val="21"/>
                <w:szCs w:val="21"/>
                <w:color w:val="auto"/>
              </w:rPr>
            </w:pPr>
          </w:p>
        </w:tc>
        <w:tc>
          <w:tcPr>
            <w:tcW w:w="48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Borders>
              <w:top w:val="single" w:sz="8" w:color="auto"/>
            </w:tcBorders>
          </w:tcPr>
          <w:p>
            <w:pPr>
              <w:spacing w:after="0"/>
              <w:rPr>
                <w:sz w:val="21"/>
                <w:szCs w:val="21"/>
                <w:color w:val="auto"/>
              </w:rPr>
            </w:pPr>
          </w:p>
        </w:tc>
        <w:tc>
          <w:tcPr>
            <w:tcW w:w="128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Borders>
              <w:top w:val="single" w:sz="8" w:color="auto"/>
            </w:tcBorders>
          </w:tcPr>
          <w:p>
            <w:pPr>
              <w:spacing w:after="0"/>
              <w:rPr>
                <w:sz w:val="21"/>
                <w:szCs w:val="21"/>
                <w:color w:val="auto"/>
              </w:rPr>
            </w:pPr>
          </w:p>
        </w:tc>
        <w:tc>
          <w:tcPr>
            <w:tcW w:w="1280" w:type="dxa"/>
            <w:vAlign w:val="bottom"/>
            <w:tcBorders>
              <w:top w:val="single" w:sz="8" w:color="auto"/>
            </w:tcBorders>
          </w:tcPr>
          <w:p>
            <w:pPr>
              <w:spacing w:after="0"/>
              <w:rPr>
                <w:sz w:val="21"/>
                <w:szCs w:val="21"/>
                <w:color w:val="auto"/>
              </w:rPr>
            </w:pPr>
          </w:p>
        </w:tc>
      </w:tr>
      <w:tr>
        <w:trPr>
          <w:trHeight w:val="229"/>
        </w:trPr>
        <w:tc>
          <w:tcPr>
            <w:tcW w:w="4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End of period</w:t>
            </w:r>
          </w:p>
        </w:tc>
        <w:tc>
          <w:tcPr>
            <w:tcW w:w="1060" w:type="dxa"/>
            <w:vAlign w:val="bottom"/>
            <w:tcBorders>
              <w:bottom w:val="single" w:sz="8" w:color="auto"/>
            </w:tcBorders>
            <w:shd w:val="clear" w:color="auto" w:fill="CCEEFF"/>
          </w:tcPr>
          <w:p>
            <w:pPr>
              <w:jc w:val="right"/>
              <w:ind w:right="859"/>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32,783</w:t>
            </w:r>
          </w:p>
        </w:tc>
        <w:tc>
          <w:tcPr>
            <w:tcW w:w="80" w:type="dxa"/>
            <w:vAlign w:val="bottom"/>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1016"/>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32,783</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w:t>
            </w:r>
          </w:p>
        </w:tc>
      </w:tr>
    </w:tbl>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three months ended, June 30, 2024, the Company recorded $32.8 million of preliminary goodwill associated with the acquisition of Summit.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See </w:t>
      </w:r>
      <w:r>
        <w:rPr>
          <w:rFonts w:ascii="Times New Roman" w:cs="Times New Roman" w:eastAsia="Times New Roman" w:hAnsi="Times New Roman"/>
          <w:sz w:val="18"/>
          <w:szCs w:val="18"/>
          <w:u w:val="single" w:color="auto"/>
          <w:color w:val="0000FF"/>
        </w:rPr>
        <w:t>Note 16 - Business Combination</w:t>
      </w:r>
      <w:r>
        <w:rPr>
          <w:rFonts w:ascii="Times New Roman" w:cs="Times New Roman" w:eastAsia="Times New Roman" w:hAnsi="Times New Roman"/>
          <w:sz w:val="18"/>
          <w:szCs w:val="18"/>
          <w:color w:val="auto"/>
        </w:rPr>
        <w:t xml:space="preserve"> to the consolidated financial statements for additional detail regarding this transaction.</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will perform the annual goodwill impairment test on September 30 every year.</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intangible assets consist of the core deposit intangible which is being amortized on an accelerated basis over its estimated useful life of 7 years.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three months ended, June 30, 2024, the Company recorded $68.8 million of core deposit intangibles associated with the acquisition of Summit.</w:t>
      </w:r>
    </w:p>
    <w:p>
      <w:pPr>
        <w:spacing w:after="0" w:line="15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gross carrying amounts and accumulated amortization of other intangible assets for the three and six months ended June 30, 2024, and June 30, 2023, was as follows (in thousands):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200" w:type="dxa"/>
            <w:vAlign w:val="bottom"/>
          </w:tcPr>
          <w:p>
            <w:pPr>
              <w:spacing w:after="0"/>
              <w:rPr>
                <w:sz w:val="16"/>
                <w:szCs w:val="16"/>
                <w:color w:val="auto"/>
              </w:rPr>
            </w:pPr>
          </w:p>
        </w:tc>
        <w:tc>
          <w:tcPr>
            <w:tcW w:w="3000" w:type="dxa"/>
            <w:vAlign w:val="bottom"/>
            <w:gridSpan w:val="4"/>
          </w:tcPr>
          <w:p>
            <w:pPr>
              <w:jc w:val="right"/>
              <w:ind w:right="256"/>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060" w:type="dxa"/>
            <w:vAlign w:val="bottom"/>
            <w:gridSpan w:val="4"/>
          </w:tcPr>
          <w:p>
            <w:pPr>
              <w:ind w:left="48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203"/>
        </w:trPr>
        <w:tc>
          <w:tcPr>
            <w:tcW w:w="42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20" w:type="dxa"/>
            <w:vAlign w:val="bottom"/>
          </w:tcPr>
          <w:p>
            <w:pPr>
              <w:jc w:val="right"/>
              <w:ind w:right="136"/>
              <w:spacing w:after="0"/>
              <w:rPr>
                <w:sz w:val="20"/>
                <w:szCs w:val="20"/>
                <w:color w:val="auto"/>
              </w:rPr>
            </w:pPr>
            <w:r>
              <w:rPr>
                <w:rFonts w:ascii="Times New Roman" w:cs="Times New Roman" w:eastAsia="Times New Roman" w:hAnsi="Times New Roman"/>
                <w:sz w:val="14"/>
                <w:szCs w:val="14"/>
                <w:b w:val="1"/>
                <w:bCs w:val="1"/>
                <w:color w:val="auto"/>
              </w:rPr>
              <w:t>2023</w:t>
            </w: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80" w:type="dxa"/>
            <w:vAlign w:val="bottom"/>
          </w:tcPr>
          <w:p>
            <w:pPr>
              <w:ind w:left="30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80" w:type="dxa"/>
            <w:vAlign w:val="bottom"/>
          </w:tcPr>
          <w:p>
            <w:pPr>
              <w:jc w:val="right"/>
              <w:ind w:right="615"/>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3"/>
        </w:trPr>
        <w:tc>
          <w:tcPr>
            <w:tcW w:w="420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23"/>
        </w:trPr>
        <w:tc>
          <w:tcPr>
            <w:tcW w:w="4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Core deposit intangible</w:t>
            </w:r>
          </w:p>
        </w:tc>
        <w:tc>
          <w:tcPr>
            <w:tcW w:w="1060" w:type="dxa"/>
            <w:vAlign w:val="bottom"/>
            <w:shd w:val="clear" w:color="auto" w:fill="CCEEFF"/>
          </w:tcPr>
          <w:p>
            <w:pPr>
              <w:jc w:val="right"/>
              <w:ind w:right="859"/>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68,760</w:t>
            </w:r>
          </w:p>
        </w:tc>
        <w:tc>
          <w:tcPr>
            <w:tcW w:w="8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016"/>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68,760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4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Accumulated amortization</w:t>
            </w:r>
          </w:p>
        </w:tc>
        <w:tc>
          <w:tcPr>
            <w:tcW w:w="1060" w:type="dxa"/>
            <w:vAlign w:val="bottom"/>
          </w:tcPr>
          <w:p>
            <w:pPr>
              <w:spacing w:after="0"/>
              <w:rPr>
                <w:sz w:val="19"/>
                <w:szCs w:val="19"/>
                <w:color w:val="auto"/>
              </w:rPr>
            </w:pPr>
          </w:p>
        </w:tc>
        <w:tc>
          <w:tcPr>
            <w:tcW w:w="6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(2,865)</w:t>
            </w:r>
          </w:p>
        </w:tc>
        <w:tc>
          <w:tcPr>
            <w:tcW w:w="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5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9"/>
                <w:szCs w:val="19"/>
                <w:color w:val="auto"/>
              </w:rPr>
            </w:pPr>
          </w:p>
        </w:tc>
        <w:tc>
          <w:tcPr>
            <w:tcW w:w="128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(2,865)</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80" w:type="dxa"/>
            <w:vAlign w:val="bottom"/>
          </w:tcPr>
          <w:p>
            <w:pPr>
              <w:ind w:left="1020"/>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4200" w:type="dxa"/>
            <w:vAlign w:val="bottom"/>
            <w:tcBorders>
              <w:top w:val="single" w:sz="8" w:color="CCEEFF"/>
            </w:tcBorders>
            <w:shd w:val="clear" w:color="auto" w:fill="CCEEFF"/>
          </w:tcPr>
          <w:p>
            <w:pPr>
              <w:spacing w:after="0"/>
              <w:rPr>
                <w:sz w:val="21"/>
                <w:szCs w:val="21"/>
                <w:color w:val="auto"/>
              </w:rPr>
            </w:pPr>
          </w:p>
        </w:tc>
        <w:tc>
          <w:tcPr>
            <w:tcW w:w="1060" w:type="dxa"/>
            <w:vAlign w:val="bottom"/>
            <w:tcBorders>
              <w:top w:val="single" w:sz="8" w:color="auto"/>
            </w:tcBorders>
            <w:shd w:val="clear" w:color="auto" w:fill="CCEEFF"/>
          </w:tcPr>
          <w:p>
            <w:pPr>
              <w:spacing w:after="0"/>
              <w:rPr>
                <w:sz w:val="21"/>
                <w:szCs w:val="21"/>
                <w:color w:val="auto"/>
              </w:rPr>
            </w:pPr>
          </w:p>
        </w:tc>
        <w:tc>
          <w:tcPr>
            <w:tcW w:w="640" w:type="dxa"/>
            <w:vAlign w:val="bottom"/>
            <w:tcBorders>
              <w:top w:val="single" w:sz="8" w:color="auto"/>
            </w:tcBorders>
            <w:shd w:val="clear" w:color="auto" w:fill="CCEEFF"/>
          </w:tcPr>
          <w:p>
            <w:pPr>
              <w:spacing w:after="0"/>
              <w:rPr>
                <w:sz w:val="21"/>
                <w:szCs w:val="21"/>
                <w:color w:val="auto"/>
              </w:rPr>
            </w:pPr>
          </w:p>
        </w:tc>
        <w:tc>
          <w:tcPr>
            <w:tcW w:w="80" w:type="dxa"/>
            <w:vAlign w:val="bottom"/>
            <w:tcBorders>
              <w:top w:val="single" w:sz="8" w:color="CCEEFF"/>
            </w:tcBorders>
            <w:shd w:val="clear" w:color="auto" w:fill="CCEEFF"/>
          </w:tcPr>
          <w:p>
            <w:pPr>
              <w:spacing w:after="0"/>
              <w:rPr>
                <w:sz w:val="21"/>
                <w:szCs w:val="21"/>
                <w:color w:val="auto"/>
              </w:rPr>
            </w:pPr>
          </w:p>
        </w:tc>
        <w:tc>
          <w:tcPr>
            <w:tcW w:w="1220" w:type="dxa"/>
            <w:vAlign w:val="bottom"/>
            <w:tcBorders>
              <w:top w:val="single" w:sz="8" w:color="auto"/>
            </w:tcBorders>
            <w:shd w:val="clear" w:color="auto" w:fill="CCEEFF"/>
          </w:tcPr>
          <w:p>
            <w:pPr>
              <w:spacing w:after="0"/>
              <w:rPr>
                <w:sz w:val="21"/>
                <w:szCs w:val="21"/>
                <w:color w:val="auto"/>
              </w:rPr>
            </w:pPr>
          </w:p>
        </w:tc>
        <w:tc>
          <w:tcPr>
            <w:tcW w:w="48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400" w:type="dxa"/>
            <w:vAlign w:val="bottom"/>
            <w:tcBorders>
              <w:top w:val="single" w:sz="8" w:color="auto"/>
            </w:tcBorders>
            <w:shd w:val="clear" w:color="auto" w:fill="CCEEFF"/>
          </w:tcPr>
          <w:p>
            <w:pPr>
              <w:spacing w:after="0"/>
              <w:rPr>
                <w:sz w:val="21"/>
                <w:szCs w:val="21"/>
                <w:color w:val="auto"/>
              </w:rPr>
            </w:pPr>
          </w:p>
        </w:tc>
        <w:tc>
          <w:tcPr>
            <w:tcW w:w="128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400" w:type="dxa"/>
            <w:vAlign w:val="bottom"/>
            <w:tcBorders>
              <w:top w:val="single" w:sz="8" w:color="auto"/>
            </w:tcBorders>
            <w:shd w:val="clear" w:color="auto" w:fill="CCEEFF"/>
          </w:tcPr>
          <w:p>
            <w:pPr>
              <w:spacing w:after="0"/>
              <w:rPr>
                <w:sz w:val="21"/>
                <w:szCs w:val="21"/>
                <w:color w:val="auto"/>
              </w:rPr>
            </w:pPr>
          </w:p>
        </w:tc>
        <w:tc>
          <w:tcPr>
            <w:tcW w:w="1280" w:type="dxa"/>
            <w:vAlign w:val="bottom"/>
            <w:tcBorders>
              <w:top w:val="single" w:sz="8" w:color="auto"/>
            </w:tcBorders>
            <w:shd w:val="clear" w:color="auto" w:fill="CCEEFF"/>
          </w:tcPr>
          <w:p>
            <w:pPr>
              <w:spacing w:after="0"/>
              <w:rPr>
                <w:sz w:val="21"/>
                <w:szCs w:val="21"/>
                <w:color w:val="auto"/>
              </w:rPr>
            </w:pPr>
          </w:p>
        </w:tc>
      </w:tr>
      <w:tr>
        <w:trPr>
          <w:trHeight w:val="229"/>
        </w:trPr>
        <w:tc>
          <w:tcPr>
            <w:tcW w:w="4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intangible assets</w:t>
            </w:r>
          </w:p>
        </w:tc>
        <w:tc>
          <w:tcPr>
            <w:tcW w:w="1060" w:type="dxa"/>
            <w:vAlign w:val="bottom"/>
            <w:tcBorders>
              <w:bottom w:val="single" w:sz="8" w:color="auto"/>
            </w:tcBorders>
          </w:tcPr>
          <w:p>
            <w:pPr>
              <w:jc w:val="right"/>
              <w:ind w:right="859"/>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65,895</w:t>
            </w:r>
          </w:p>
        </w:tc>
        <w:tc>
          <w:tcPr>
            <w:tcW w:w="80" w:type="dxa"/>
            <w:vAlign w:val="bottom"/>
          </w:tcPr>
          <w:p>
            <w:pPr>
              <w:spacing w:after="0"/>
              <w:rPr>
                <w:sz w:val="19"/>
                <w:szCs w:val="19"/>
                <w:color w:val="auto"/>
              </w:rPr>
            </w:pPr>
          </w:p>
        </w:tc>
        <w:tc>
          <w:tcPr>
            <w:tcW w:w="1220" w:type="dxa"/>
            <w:vAlign w:val="bottom"/>
            <w:tcBorders>
              <w:bottom w:val="single" w:sz="8" w:color="auto"/>
            </w:tcBorders>
          </w:tcPr>
          <w:p>
            <w:pPr>
              <w:jc w:val="right"/>
              <w:ind w:right="1016"/>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ind w:left="720"/>
              <w:spacing w:after="0"/>
              <w:rPr>
                <w:sz w:val="20"/>
                <w:szCs w:val="20"/>
                <w:color w:val="auto"/>
              </w:rPr>
            </w:pPr>
            <w:r>
              <w:rPr>
                <w:rFonts w:ascii="Times New Roman" w:cs="Times New Roman" w:eastAsia="Times New Roman" w:hAnsi="Times New Roman"/>
                <w:sz w:val="18"/>
                <w:szCs w:val="18"/>
                <w:color w:val="auto"/>
              </w:rPr>
              <w:t>65,895</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ind w:left="1020"/>
              <w:spacing w:after="0"/>
              <w:rPr>
                <w:sz w:val="20"/>
                <w:szCs w:val="20"/>
                <w:color w:val="auto"/>
              </w:rPr>
            </w:pPr>
            <w:r>
              <w:rPr>
                <w:rFonts w:ascii="Times New Roman" w:cs="Times New Roman" w:eastAsia="Times New Roman" w:hAnsi="Times New Roman"/>
                <w:sz w:val="18"/>
                <w:szCs w:val="18"/>
                <w:color w:val="auto"/>
              </w:rPr>
              <w:t>—</w:t>
            </w:r>
          </w:p>
        </w:tc>
      </w:tr>
    </w:tbl>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reviews other intangible assets for possible impairment whenever events or changes in circumstances indicate that the carrying amounts may not be recoverable. Total amortization expense associated with intangible assets was $2.9 million for the three months ended June 30, 2024.</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Estimated amortization expense for future years is as follows (in thousands):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080" w:type="dxa"/>
            <w:vAlign w:val="bottom"/>
          </w:tcPr>
          <w:p>
            <w:pPr>
              <w:spacing w:after="0"/>
              <w:rPr>
                <w:sz w:val="16"/>
                <w:szCs w:val="16"/>
                <w:color w:val="auto"/>
              </w:rPr>
            </w:pPr>
          </w:p>
        </w:tc>
        <w:tc>
          <w:tcPr>
            <w:tcW w:w="48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40" w:type="dxa"/>
            <w:vAlign w:val="bottom"/>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Estimated Amortization</w:t>
            </w:r>
          </w:p>
        </w:tc>
      </w:tr>
      <w:tr>
        <w:trPr>
          <w:trHeight w:val="23"/>
        </w:trPr>
        <w:tc>
          <w:tcPr>
            <w:tcW w:w="4080" w:type="dxa"/>
            <w:vAlign w:val="bottom"/>
            <w:tcBorders>
              <w:bottom w:val="single" w:sz="8" w:color="CCEEFF"/>
            </w:tcBorders>
          </w:tcPr>
          <w:p>
            <w:pPr>
              <w:spacing w:after="0"/>
              <w:rPr>
                <w:sz w:val="2"/>
                <w:szCs w:val="2"/>
                <w:color w:val="auto"/>
              </w:rPr>
            </w:pPr>
          </w:p>
        </w:tc>
        <w:tc>
          <w:tcPr>
            <w:tcW w:w="48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r>
      <w:tr>
        <w:trPr>
          <w:trHeight w:val="223"/>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6 months ended December 31, 2024</w:t>
            </w:r>
          </w:p>
        </w:tc>
        <w:tc>
          <w:tcPr>
            <w:tcW w:w="486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2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8,595</w:t>
            </w:r>
          </w:p>
        </w:tc>
      </w:tr>
      <w:tr>
        <w:trPr>
          <w:trHeight w:val="230"/>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48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15,553</w:t>
            </w:r>
          </w:p>
        </w:tc>
      </w:tr>
      <w:tr>
        <w:trPr>
          <w:trHeight w:val="230"/>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48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13,097</w:t>
            </w:r>
          </w:p>
        </w:tc>
      </w:tr>
      <w:tr>
        <w:trPr>
          <w:trHeight w:val="230"/>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48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10,641</w:t>
            </w:r>
          </w:p>
        </w:tc>
      </w:tr>
      <w:tr>
        <w:trPr>
          <w:trHeight w:val="229"/>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48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8,186</w:t>
            </w:r>
          </w:p>
        </w:tc>
      </w:tr>
      <w:tr>
        <w:trPr>
          <w:trHeight w:val="230"/>
        </w:trPr>
        <w:tc>
          <w:tcPr>
            <w:tcW w:w="40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486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2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9,823</w:t>
            </w:r>
          </w:p>
        </w:tc>
      </w:tr>
      <w:tr>
        <w:trPr>
          <w:trHeight w:val="223"/>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486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2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65,895</w:t>
            </w:r>
          </w:p>
        </w:tc>
      </w:tr>
      <w:tr>
        <w:trPr>
          <w:trHeight w:val="898"/>
        </w:trPr>
        <w:tc>
          <w:tcPr>
            <w:tcW w:w="4080" w:type="dxa"/>
            <w:vAlign w:val="bottom"/>
          </w:tcPr>
          <w:p>
            <w:pPr>
              <w:spacing w:after="0"/>
              <w:rPr>
                <w:sz w:val="24"/>
                <w:szCs w:val="24"/>
                <w:color w:val="auto"/>
              </w:rPr>
            </w:pPr>
          </w:p>
        </w:tc>
        <w:tc>
          <w:tcPr>
            <w:tcW w:w="4860" w:type="dxa"/>
            <w:vAlign w:val="bottom"/>
          </w:tcPr>
          <w:p>
            <w:pPr>
              <w:jc w:val="right"/>
              <w:ind w:right="3130"/>
              <w:spacing w:after="0"/>
              <w:rPr>
                <w:sz w:val="20"/>
                <w:szCs w:val="20"/>
                <w:color w:val="auto"/>
              </w:rPr>
            </w:pPr>
            <w:r>
              <w:rPr>
                <w:rFonts w:ascii="Times New Roman" w:cs="Times New Roman" w:eastAsia="Times New Roman" w:hAnsi="Times New Roman"/>
                <w:sz w:val="18"/>
                <w:szCs w:val="18"/>
                <w:color w:val="auto"/>
              </w:rPr>
              <w:t>45</w:t>
            </w:r>
          </w:p>
        </w:tc>
        <w:tc>
          <w:tcPr>
            <w:tcW w:w="260" w:type="dxa"/>
            <w:vAlign w:val="bottom"/>
          </w:tcPr>
          <w:p>
            <w:pPr>
              <w:spacing w:after="0"/>
              <w:rPr>
                <w:sz w:val="24"/>
                <w:szCs w:val="24"/>
                <w:color w:val="auto"/>
              </w:rPr>
            </w:pPr>
          </w:p>
        </w:tc>
        <w:tc>
          <w:tcPr>
            <w:tcW w:w="2040" w:type="dxa"/>
            <w:vAlign w:val="bottom"/>
          </w:tcPr>
          <w:p>
            <w:pPr>
              <w:spacing w:after="0"/>
              <w:rPr>
                <w:sz w:val="24"/>
                <w:szCs w:val="24"/>
                <w:color w:val="auto"/>
              </w:rPr>
            </w:pPr>
          </w:p>
        </w:tc>
      </w:tr>
      <w:tr>
        <w:trPr>
          <w:trHeight w:val="277"/>
        </w:trPr>
        <w:tc>
          <w:tcPr>
            <w:tcW w:w="4080" w:type="dxa"/>
            <w:vAlign w:val="bottom"/>
            <w:tcBorders>
              <w:bottom w:val="single" w:sz="8" w:color="9A9A9A"/>
            </w:tcBorders>
          </w:tcPr>
          <w:p>
            <w:pPr>
              <w:spacing w:after="0"/>
              <w:rPr>
                <w:sz w:val="24"/>
                <w:szCs w:val="24"/>
                <w:color w:val="auto"/>
              </w:rPr>
            </w:pPr>
          </w:p>
        </w:tc>
        <w:tc>
          <w:tcPr>
            <w:tcW w:w="48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0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17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The following discussion and analysis of our consolidated financial condition and results of operations of the Company should be read in conjunction with the preceding consolidated financial statements and notes presented in </w:t>
      </w:r>
      <w:r>
        <w:rPr>
          <w:rFonts w:ascii="Times New Roman" w:cs="Times New Roman" w:eastAsia="Times New Roman" w:hAnsi="Times New Roman"/>
          <w:sz w:val="18"/>
          <w:szCs w:val="18"/>
          <w:u w:val="single" w:color="auto"/>
          <w:color w:val="0000FF"/>
        </w:rPr>
        <w:t>Item 1. Financial Statements</w:t>
      </w:r>
      <w:r>
        <w:rPr>
          <w:rFonts w:ascii="Times New Roman" w:cs="Times New Roman" w:eastAsia="Times New Roman" w:hAnsi="Times New Roman"/>
          <w:sz w:val="18"/>
          <w:szCs w:val="18"/>
          <w:color w:val="auto"/>
        </w:rPr>
        <w:t xml:space="preserve"> of this Form 10-Q, as well as with the audited consolidated financial statements and notes for the year ended December 31, 2023, included in our Form 10-K filed with the SEC on March 22, 2024, and as amended on April 12, 2024 (the “Form 10-K”). Historical results of operations and the percentage relationships among any amounts included and any trends that may appear may not indicate trends in operations or results of operations for any future periods. We are a financial holding company, and we conduct all of our material business operations through the Bank. As a result, the discussion and analysis below primarily relate to activities conducted at the Bank.</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Disclosure Regarding Forward-Looking Statements</w:t>
      </w:r>
    </w:p>
    <w:p>
      <w:pPr>
        <w:spacing w:after="0" w:line="17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This Form 10-Q contains statements that we believe are, or may be considered to be, “forward-looking statements”. Forward-looking statements are neither historical facts nor assurances of future performance. Instead, they are based on current beliefs, expectations, or assumptions regarding the future of the business, future plans and strategies, operational results, and other future conditions of the Company. All statements other than statements of historical fact included in this Form 10-Q regarding the prospects of our industry or our prospects, plans, financial position, or business strategy may constitute forward-looking statements. In addition, forward-looking statements generally can be identified by the use of forward-looking words such as “plans,” “expects” or “does not expect,” “is expected,” “look forward to,” “budget,” “scheduled,” “estimates,” “forecasts,” “will continue,” “intends,” “the intent of,” “have the potential,” “anticipates,” “does not anticipate,” “believes,” “should,” “should not,” or variations of such words and phrases that indicate that certain actions, events, or results “may,” “could,” “would,” “might,” or “will,” “be taken,” “occur,” or “be achieved,” or the negative of these terms or variations of them or similar terms. Furthermore, forward-looking statements may be included in various filings that we make with the SEC or press releases or oral statements made by or with the approval of one of our authorized executive officers. Although we believe that the expectations reflected in these forward-looking statements are reasonable, we cannot assure you that these expectations will prove to be correct. These forward-looking statements are subject to certain known and unknown risks and uncertainties, as well as assumptions that could cause actual results to differ materially from those reflected in these forward-looking statements.</w:t>
      </w:r>
    </w:p>
    <w:p>
      <w:pPr>
        <w:spacing w:after="0" w:line="13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By their very nature, forward-looking statements involve inherent risks and uncertainties, both general and specific, and risks exist that predictions, forecasts, projections, and other forward-looking statements will not be achieved. We caution readers not to place undue reliance on these statements as a number of important factors could cause the actual results to differ materially from the beliefs, plans, objectives, expectations, anticipations, estimates, and intentions expressed in such forward-looking statements. Important risks, uncertainties, and other factors which may cause the actual results, performance, or achievements of the Company, as applicable, to be materially different from any expected future results, performance, or achievements expressed or implied by such forward-looking information and statements include, but are not limited to, the risks described in Item 1A, under the caption “Risk Factors” in our Form 10-K, and in </w:t>
      </w:r>
      <w:r>
        <w:rPr>
          <w:rFonts w:ascii="Times New Roman" w:cs="Times New Roman" w:eastAsia="Times New Roman" w:hAnsi="Times New Roman"/>
          <w:sz w:val="18"/>
          <w:szCs w:val="18"/>
          <w:u w:val="single" w:color="auto"/>
          <w:color w:val="0000FF"/>
        </w:rPr>
        <w:t>Part II, Item 1A. Risk Factors</w:t>
      </w:r>
      <w:r>
        <w:rPr>
          <w:rFonts w:ascii="Times New Roman" w:cs="Times New Roman" w:eastAsia="Times New Roman" w:hAnsi="Times New Roman"/>
          <w:sz w:val="18"/>
          <w:szCs w:val="18"/>
          <w:color w:val="auto"/>
        </w:rPr>
        <w:t xml:space="preserve"> in this Form 10-Q.</w:t>
      </w:r>
    </w:p>
    <w:p>
      <w:pPr>
        <w:spacing w:after="0" w:line="21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Readers are cautioned not to place undue reliance on any forward-looking statements contained in this Form 10-Q, which reflect management’s opinions only as of the date hereof. Except as required by law, we undertake no obligation to revise or publicly release the results of any revision to any forward-looking statements. You are advised, however, to consult any additional disclosures we make in our reports to the SEC. All subsequent written and oral forward-looking statements attributable to us or persons acting on our behalf are expressly qualified in their entirety by the cautionary statements contained in this Form 10-Q.</w:t>
      </w:r>
    </w:p>
    <w:p>
      <w:pPr>
        <w:spacing w:after="0" w:line="1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made, and will continue to make, various forward-looking statements with respect to financial and business matters. Comments regarding our business that are not historical facts are considered forward-looking statements that involve inherent risks and uncertainties. Actual results may differ materially from those contained in these forward-looking statements.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Overview</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Burke &amp; Herbert Financial Services Corp. was organized as a Virginia corporation on September 14, 2022, to serve as the holding company for the Bank. Burke &amp; Herbert commenced operations as a bank holding company on October 1, 2022, following a reorganization transaction in which it became the Bank’s holding company. This transaction was treated as an internal reorganization as all shareholders of the Bank became shareholders of Burke &amp; Herbert. In September 2023, Burke</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ind w:firstLine="8"/>
        <w:spacing w:after="0" w:line="266" w:lineRule="auto"/>
        <w:tabs>
          <w:tab w:leader="none" w:pos="206"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Herbert elected financial holding company status. As a financial holding company, Burke &amp; Herbert is subject to regulation and supervision by the Federal Reserve. Burke &amp; Herbert has no material operations and owns 100% of the Bank. The Bank is a Virginia chartered commercial bank that commenced operations in 1852. The Bank is supervised and regulated by the FDIC and the Virginia BFI.</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Merger with Summit Financial Group, Inc.</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Effective on the Closing Date, Burke &amp; Herbert completed the Merger with Summit, pursuant to the August 24, 2023 Merger Agreement.</w:t>
      </w:r>
    </w:p>
    <w:p>
      <w:pPr>
        <w:spacing w:after="0" w:line="25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Pursuant to the Merger Agreement, on the Closing Date, (i) Summit merged with and into Burke &amp; Herbert through the Merger, and (ii) immediately following the Merger, SCB merged with and into the Bank, with the Bank as the surviving bank.</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the Merger, holders of Summit common stock outstanding at the effective time of the Merger received 0.5043 shares of Burke &amp; Herbert common stock for each share of Summit common stock they owned, subject to the payment of cash in lieu of fractional shares. The total aggregate consideration payable in the Merger was approximately 7,405,772 shares of Burke &amp; Herbert Common Stock. Additionally, each share of the Summit Series 2021 Preferred Stock issued and outstanding was converted into the right to receive a share of the new Burke &amp; Herbert Series 2021 Preferred Stock. Summit results of operations are included from the Closing Date forward.</w:t>
      </w:r>
    </w:p>
    <w:p>
      <w:pPr>
        <w:spacing w:after="0" w:line="21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Bank’s primary market area includes northern Virginia and West Virginia, and it has over 75 branches and other commercial loan offices across Delaware, Kentucky, Maryland, Virginia, and West Virginia. The Company’s branch locations accept business and consumer deposits from a diverse customer base. The Company’s deposit products include checking, savings, and term certificate accounts. The Company’s loan portfolio includes commercial and consumer loans, a substantial portion of which are secured by real estate.</w:t>
      </w:r>
    </w:p>
    <w:p>
      <w:pPr>
        <w:spacing w:after="0" w:line="20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Bank derives a significant portion of its income from interest received on loans and investments. The Bank’s primary source of funding is deposits, both interest-bearing and non-interest-bearing. In order to maximize the Bank’s net interest income, or the difference between the income on interest-earning assets and the expense of interest-bearing liabilities, the Bank must not only manage the volume of these balance sheet items, but also the yields earned on interest-earning assets and the rates paid on interest-bearing liabilities. To account for credit risk inherent in all loans, the Bank maintains an ACL to absorb expected credit losses on existing loans that may become uncollectible. The Bank establishes and maintains this ACL by charging a provision for credit losses against operating earnings. In order to maintain its operations and branch locations, the Bank incurs various operating expenses which are further described within the “Results of Operations” later in this section.</w:t>
      </w:r>
    </w:p>
    <w:p>
      <w:pPr>
        <w:spacing w:after="0" w:line="13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June 30, 2024, we had total consolidated assets of $7.8 billion, gross loans of $5.6 billion, total deposits of $6.6 billion, and total shareholders’ equity of $693.1 million. As of June 30, 2024, we had 850 full-time employees. None of our employees are covered by a collective bargaining agreement.</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Critical Accounting Policies and Estimates</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accounting and reporting policies conform to accounting principles generally accepted in the United States of America and conform to general practices within the industry in which we operate. To prepare financial statements in conformity with GAAP, management makes estimates, assumptions, and judgments based on available information. These estimates, assumptions, and judgments affect the amounts reported in the financial statements and accompanying notes and are based on information available as of the date of the financial statements and, as this information changes, actual results could differ from the estimates, assumptions, and judgments reflected in the financial statements. In particular, management has identified several accounting policies that, due to the estimates, assumptions, and judgments inherent in those policies, are critical in understanding our financial statements.</w:t>
      </w:r>
    </w:p>
    <w:p>
      <w:pPr>
        <w:spacing w:after="0" w:line="13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most significant accounting policies are presented in the notes to the accompanying consolidated financial statements. These policies, along with the other disclosures presented in the financial statement notes and in this financial review, provide information on how significant assets and liabilities are valued in the financial statements and how those values are determined. Based on the valuation techniques used and the sensitivity of financial statement amounts to the methods, assumptions, and estimates underlying those amounts, we have identified business combination and goodwill, the</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determination of the allowance for credit losses, and income taxes to be the accounting areas that require the most subjective or complex judgments, and as such, could be most subject to revision as new information becomes available.</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Business Combination and Goodwill</w:t>
      </w:r>
    </w:p>
    <w:p>
      <w:pPr>
        <w:spacing w:after="0" w:line="17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For acquisitions, we are required to record the assets acquired, including identified intangible assets such as core deposit intangibles, and the liabilities assumed at their respective fair values. The difference between consideration and the net fair value of assets acquired is recorded as goodwill. Management uses significant estimates and assumptions to value such items, including projected cash flows, repayment rates, default rates and losses assuming default, discount rates, and realizable collateral values. The allowance for credit losses for PCD loans is recognized within acquisition accounting. The allowance for credit losses for non-PCD assets is recognized as provision for credit losses in the same reporting period as the acquisition. Fair value adjustments are amortized or accreted into the income statement over the estimated life of the acquired assets or assumed liabilities. The purchase date valuations and any subsequent adjustments determine the amount of goodwill recognized in connection with the acquisition. The use of different assumptions could produce significantly different valuation results, which could have material positive or negative effects on our results of operations. The carrying value of goodwill recorded must be reviewed for impairment on an annual basis, as well as on an interim basis if events or changes indicate that the asset might be impaired. An impairment loss must be recognized for any excess of carrying value over fair value of the goodwill.</w:t>
      </w:r>
    </w:p>
    <w:p>
      <w:pPr>
        <w:spacing w:after="0" w:line="14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determination of fair values is based on valuations using management’s assumptions of future growth rates, future attrition, discount rates, multiples of earnings or other relevant factors. In addition, we engage third party specialists to assist in the development of fair values. Preliminary estimates of fair values may be adjusted for a period of time subsequent to the acquisition date if new information is obtained about facts and circumstances that existed as of the acquisition date that, if known, would have affected the measurement of the amounts recognized as of that date. Adjustments recorded during this period are recognized in the current reporting period. Management uses various valuation methodologies to estimate the fair value of these assets and liabilities, and often involves a significant degree of judgment, particularly when liquid markets do not exist for the particular item being valued. Examples of such items include loans, deposits, identifiable intangible assets, and certain other assets and liabilities.</w:t>
      </w:r>
    </w:p>
    <w:p>
      <w:pPr>
        <w:spacing w:after="0" w:line="13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Changes in these factors, as well as downturns in economic or business conditions, could have a significant adverse impact on the carrying value of assets, including goodwill and liabilities, which could result in impairment losses affecting our financial statements as a whole and our banking subsidiary in which the goodwill resides.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Allowance for Credit Losses</w:t>
      </w:r>
    </w:p>
    <w:p>
      <w:pPr>
        <w:spacing w:after="0" w:line="17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allowance for credit losses represents our estimate of all expected credit losses for financial assets held at the reporting date based on historical experience, current conditions, and projections including reasonable and supportable forecasts, reversion, and post-reversion forecasts. It is a valuation account that is deducted from the financial assets’ amortized cost basis to present the net amount expected to be collected on the financial asset. Financial assets are charged-off against the allowance when management believes the uncollectibility of a financial asset is confirmed. Expected recoveries do not exceed the aggregate of amounts previously charged-off and expected to be charged-off.</w:t>
      </w:r>
    </w:p>
    <w:p>
      <w:pPr>
        <w:spacing w:after="0" w:line="1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Company’s loan portfolio is the largest financial asset that is in scope of this critical accounting estimate. Determining the amount of the allowance for credit losses is considered a critical accounting estimate, because it is based on the evaluation of the size and current risk characteristics of the loan portfolio, past events, current conditions, reasonable and supportable forecasts, and prepayment experience as related to credit contractual terms. Management estimates the allowance balance using relevant available information from internal and external sources. Historical credit loss experience provides the basis for the estimation of expected credit losses; adjustments to historical loss information are made for differences in current loan-specific risk characteristics, such as differences in underwriting standards, portfolio mix, and delinquency levels, as well as for changes in environmental conditions, such as changes in unemployment rates, property values, or other relevant factors. The model methodology used for funded credits, along with taking into consideration the probability of drawdowns or funding on unfunded commitments and whether such commitments are irrevocable or not by the Company, is how the Company determines the allowance for credit losses for unfunded commitments. These evaluations are conducted at least quarterly and more frequently, if deemed necessary.</w:t>
      </w:r>
    </w:p>
    <w:p>
      <w:pPr>
        <w:spacing w:after="0" w:line="14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is using an internally developed model that produces an estimate of the allowance for credit losses as the lifetime expected credit losses of the loan portfolio. This model uses a remaining useful life or WARM method within defined-contractual terms by federal call codes. The model forecasts net charge-off rates by call codes using ordinary least</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squares (“OLS”) regression models that use macroeconomic variables to forecast the Company’s and peer banks’ net charge-off rates. These models are used to produce reasonable and supportable forecasts of net charge-off rates. The macroeconomic variables utilized by the Company include variables that meet defined criteria in forecasting credit losses for our loan portfolio. These variables include, but are not limited to, unemployment rates, housing and commercial real estate prices, gross domestic product levels, equity market conditions or interest rates, as well as other variables that are portfolio-specific, such as those pertaining to commercial real estate or to residential loan portfolios. The Company sources the macroeconomic variables and the macroeconomic variable forecasts that it uses in its ACL model from the Standard &amp; Poor’s Global Market Intelligence and from CoStar Group.</w:t>
      </w:r>
    </w:p>
    <w:p>
      <w:pPr>
        <w:spacing w:after="0" w:line="21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Company currently has set an initial reasonable and supportable period of two years with a subsequent straight-line loss-rate reversion for the following four quarters before then utilizing historical average loss rates in remaining periods of the modeled contractual terms. Based on management’s analysis, adjustments may be applied for additional factors impacting the risk of loss in the loan portfolio beyond information used to calculate reasonable and supportable, reversion and post-reversion period forecasts on collectively evaluated loans. As the reasonable and supportable and reversion period forecasts reflect the use of the macroeconomic variable loss drivers, management may consider that an additional or reduced reserve is warranted through qualitative risk factors based on current and expected conditions, including those that utilize supplemental information relative to the macroeconomic variable loss drivers. Qualitative adjustments considered by management include the following: (i) management’s assessment of macroeconomic forecasts used in the model and how those forecasts align with management’s overall evaluation of current expected credit conditions; (ii) organization specific risks such as credit concentrations, collateral specific risks, nature and size of the portfolio, and external factors that may ultimately impact credit quality; and</w:t>
      </w:r>
    </w:p>
    <w:p>
      <w:pPr>
        <w:spacing w:after="0" w:line="6" w:lineRule="exact"/>
        <w:rPr>
          <w:sz w:val="20"/>
          <w:szCs w:val="20"/>
          <w:color w:val="auto"/>
        </w:rPr>
      </w:pPr>
    </w:p>
    <w:p>
      <w:pPr>
        <w:jc w:val="both"/>
        <w:ind w:firstLine="8"/>
        <w:spacing w:after="0" w:line="253" w:lineRule="auto"/>
        <w:tabs>
          <w:tab w:leader="none" w:pos="319"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underwriting and delinquency trends. The qualitative factors applied at June 30, 2024, and the importance and levels of the qualitative factors applied, may change in future periods depending on the level of changes to items such as the uncertainty of economic conditions and management’s assessment of the level of credit risk within the loan portfolio as a result of such changes, compared to the amount of ACL calculated by the model. Management reviews supplemental data sources including historical net charge-off rates and data measuring other specific credit outcomes from its systems of record in supporting qualitative factors. However, qualitative factor evaluations are inherently imprecise and require significant management judgement.</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Taxes</w:t>
      </w:r>
    </w:p>
    <w:p>
      <w:pPr>
        <w:spacing w:after="0" w:line="17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Company’s income tax expense, deferred tax assets and liabilities, and reserves for unrecognized tax benefits reflect management’s best assessment of estimated taxes due. The calculation of each component of the Company’s income tax provision is complex and requires the use of estimates and judgments in its determination. As part of the Company’s evaluation and implementation of business strategies, consideration is given to the regulations and tax laws that apply to the specific facts and circumstances for any tax positions under evaluation. Management closely monitors tax developments on both the federal and state level in order to evaluate the effect they may have on the Company’s overall tax position and the estimates and judgments used in determining the income tax provision and records adjustments as necessary.</w:t>
      </w:r>
    </w:p>
    <w:p>
      <w:pPr>
        <w:spacing w:after="0" w:line="13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Deferred income taxes arise from temporary differences between the tax and financial statement recognition of revenue and expenses. In evaluating the Company’s ability to recover its deferred tax assets within the jurisdiction from which they arise, the Company must consider all available evidence, including scheduled reversals of deferred tax liabilities, projected future taxable income, tax planning strategies, and the results of recent operations. A valuation allowance is recognized for a deferred tax asset if, based on the available evidence, it is more likely than not that some portion or all of a deferred tax asset will not be realized. See Note 8 — Income Taxes, in Notes to the December 31, 2023 Consolidated Financial Statements of the Company for additional information.</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Non-GAAP Financial Measures</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prepare our financial statements in accordance with U.S. GAAP and also present certain non-GAAP financial measures that exclude certain items or otherwise include components that differ from the most directly comparable measures calculated in accordance with U.S. GAAP. Non-GAAP measures are provided as additional useful information to assess our financial condition and results of operations (including period-to-period operating performance). These non-GAAP measures are not intended as a substitute for GAAP financial measures and may not be defined or calculated the same way as non-GAAP measures with similar names used by other companies. For more information, including the reconciliation of these non-GAAP financial measures to their corresponding GAAP financial measures, see the respective sections where the measures are presented.</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Current Economic Environment in the Financial Services Industry</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Commercial Real Estate Sector Concentration</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commercial real estate (“CRE”) sector has been impacted significantly by rising interest rates and higher vacancies, increasing the prospect of default that borrowers may face due to the record amount of upcoming maturities. In addition, the office market continues to struggle with fewer employees in the office after the COVID-19 pandemic. The Bank continues to monitor its commercial real estate portfolio by reviewing various credit risk and concentration reports. The Bank’s exposure to commercial real estate at June 30, 2024, was $2.5 billion or 45.3% of its gross loan portfolio, not including owner-occupied commercial real estate and acquisition, construction &amp; development. Commercial real estate as a percent of total assets at June 30, 2024, was 32.6%, not including owner-occupied commercial real estate and acquisition, construction &amp; development. Including owner-occupied commercial real estate and acquisition, construction &amp; development, total exposure was at $3.6 billion or 65.0% of our total gross loans and 46.7% of total assets at June 30, 2024.</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Loan balances by portfolio segment amortized cost (in thousands) and by percentage of our total gross loan portfolio at June 30, 2024, were as follows: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2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280" w:type="dxa"/>
            <w:vAlign w:val="bottom"/>
            <w:tcBorders>
              <w:bottom w:val="single" w:sz="8" w:color="auto"/>
            </w:tcBorders>
            <w:gridSpan w:val="3"/>
          </w:tcPr>
          <w:p>
            <w:pPr>
              <w:ind w:left="1280"/>
              <w:spacing w:after="0"/>
              <w:rPr>
                <w:sz w:val="20"/>
                <w:szCs w:val="20"/>
                <w:color w:val="auto"/>
              </w:rPr>
            </w:pPr>
            <w:r>
              <w:rPr>
                <w:rFonts w:ascii="Times New Roman" w:cs="Times New Roman" w:eastAsia="Times New Roman" w:hAnsi="Times New Roman"/>
                <w:sz w:val="16"/>
                <w:szCs w:val="16"/>
                <w:b w:val="1"/>
                <w:bCs w:val="1"/>
                <w:color w:val="auto"/>
              </w:rPr>
              <w:t>June 30, 2024</w:t>
            </w:r>
          </w:p>
        </w:tc>
        <w:tc>
          <w:tcPr>
            <w:tcW w:w="1480" w:type="dxa"/>
            <w:vAlign w:val="bottom"/>
            <w:tcBorders>
              <w:bottom w:val="single" w:sz="8" w:color="auto"/>
            </w:tcBorders>
          </w:tcPr>
          <w:p>
            <w:pPr>
              <w:spacing w:after="0"/>
              <w:rPr>
                <w:sz w:val="18"/>
                <w:szCs w:val="18"/>
                <w:color w:val="auto"/>
              </w:rPr>
            </w:pPr>
          </w:p>
        </w:tc>
      </w:tr>
      <w:tr>
        <w:trPr>
          <w:trHeight w:val="211"/>
        </w:trPr>
        <w:tc>
          <w:tcPr>
            <w:tcW w:w="7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80" w:type="dxa"/>
            <w:vAlign w:val="bottom"/>
            <w:gridSpan w:val="3"/>
          </w:tcPr>
          <w:p>
            <w:pPr>
              <w:ind w:left="140"/>
              <w:spacing w:after="0"/>
              <w:rPr>
                <w:sz w:val="20"/>
                <w:szCs w:val="20"/>
                <w:color w:val="auto"/>
              </w:rPr>
            </w:pPr>
            <w:r>
              <w:rPr>
                <w:rFonts w:ascii="Times New Roman" w:cs="Times New Roman" w:eastAsia="Times New Roman" w:hAnsi="Times New Roman"/>
                <w:sz w:val="16"/>
                <w:szCs w:val="16"/>
                <w:b w:val="1"/>
                <w:bCs w:val="1"/>
                <w:color w:val="auto"/>
              </w:rPr>
              <w:t>Amortized Cost</w:t>
            </w:r>
          </w:p>
        </w:tc>
        <w:tc>
          <w:tcPr>
            <w:tcW w:w="1480" w:type="dxa"/>
            <w:vAlign w:val="bottom"/>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Percentage</w:t>
            </w:r>
          </w:p>
        </w:tc>
      </w:tr>
      <w:tr>
        <w:trPr>
          <w:trHeight w:val="225"/>
        </w:trPr>
        <w:tc>
          <w:tcPr>
            <w:tcW w:w="72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Commercial real estate</w:t>
            </w: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2,543,668</w:t>
            </w:r>
          </w:p>
        </w:tc>
        <w:tc>
          <w:tcPr>
            <w:tcW w:w="100" w:type="dxa"/>
            <w:vAlign w:val="bottom"/>
            <w:tcBorders>
              <w:top w:val="single" w:sz="8" w:color="CCEEFF"/>
            </w:tcBorders>
            <w:shd w:val="clear" w:color="auto" w:fill="CCEEFF"/>
          </w:tcPr>
          <w:p>
            <w:pPr>
              <w:spacing w:after="0"/>
              <w:rPr>
                <w:sz w:val="19"/>
                <w:szCs w:val="19"/>
                <w:color w:val="auto"/>
              </w:rPr>
            </w:pPr>
          </w:p>
        </w:tc>
        <w:tc>
          <w:tcPr>
            <w:tcW w:w="560" w:type="dxa"/>
            <w:vAlign w:val="bottom"/>
            <w:tcBorders>
              <w:top w:val="single" w:sz="8" w:color="auto"/>
            </w:tcBorders>
            <w:shd w:val="clear" w:color="auto" w:fill="CCEEFF"/>
          </w:tcPr>
          <w:p>
            <w:pPr>
              <w:spacing w:after="0"/>
              <w:rPr>
                <w:sz w:val="19"/>
                <w:szCs w:val="19"/>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45.3 %</w:t>
            </w:r>
          </w:p>
        </w:tc>
      </w:tr>
      <w:tr>
        <w:trPr>
          <w:trHeight w:val="229"/>
        </w:trPr>
        <w:tc>
          <w:tcPr>
            <w:tcW w:w="7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Owner-occupied commercial real estate</w:t>
            </w:r>
          </w:p>
        </w:tc>
        <w:tc>
          <w:tcPr>
            <w:tcW w:w="26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626,375</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4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11.2</w:t>
            </w:r>
          </w:p>
        </w:tc>
      </w:tr>
      <w:tr>
        <w:trPr>
          <w:trHeight w:val="230"/>
        </w:trPr>
        <w:tc>
          <w:tcPr>
            <w:tcW w:w="7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Acquisition, construction &amp; development</w:t>
            </w:r>
          </w:p>
        </w:tc>
        <w:tc>
          <w:tcPr>
            <w:tcW w:w="26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479,937</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4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8.5</w:t>
            </w:r>
          </w:p>
        </w:tc>
      </w:tr>
      <w:tr>
        <w:trPr>
          <w:trHeight w:val="229"/>
        </w:trPr>
        <w:tc>
          <w:tcPr>
            <w:tcW w:w="7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Commercial &amp; industrial</w:t>
            </w:r>
          </w:p>
        </w:tc>
        <w:tc>
          <w:tcPr>
            <w:tcW w:w="26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499,892</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4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8.9</w:t>
            </w:r>
          </w:p>
        </w:tc>
      </w:tr>
      <w:tr>
        <w:trPr>
          <w:trHeight w:val="230"/>
        </w:trPr>
        <w:tc>
          <w:tcPr>
            <w:tcW w:w="7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Single family residential (1-4 units)</w:t>
            </w:r>
          </w:p>
        </w:tc>
        <w:tc>
          <w:tcPr>
            <w:tcW w:w="26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1,219,984</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4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21.7</w:t>
            </w:r>
          </w:p>
        </w:tc>
      </w:tr>
      <w:tr>
        <w:trPr>
          <w:trHeight w:val="229"/>
        </w:trPr>
        <w:tc>
          <w:tcPr>
            <w:tcW w:w="7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Consumer non-real estate and other</w:t>
            </w:r>
          </w:p>
        </w:tc>
        <w:tc>
          <w:tcPr>
            <w:tcW w:w="26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246,868</w:t>
            </w:r>
          </w:p>
        </w:tc>
        <w:tc>
          <w:tcPr>
            <w:tcW w:w="10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4.4</w:t>
            </w:r>
          </w:p>
        </w:tc>
      </w:tr>
      <w:tr>
        <w:trPr>
          <w:trHeight w:val="223"/>
        </w:trPr>
        <w:tc>
          <w:tcPr>
            <w:tcW w:w="7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gross loans</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5,616,724</w:t>
            </w:r>
          </w:p>
        </w:tc>
        <w:tc>
          <w:tcPr>
            <w:tcW w:w="10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100.0 %</w:t>
            </w:r>
          </w:p>
        </w:tc>
      </w:tr>
    </w:tbl>
    <w:p>
      <w:pPr>
        <w:spacing w:after="0" w:line="23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Monitoring of the CRE concentration is performed at both the loan level and at the portfolio level. The Credit Risk Management team provides management and the board of directors with periodic reports on the credit portfolio, which include the CRE portfolio (including owner-occupied CRE and acquisition, construction &amp; development loans). These reports provide an assessment of asset quality and risk rating migration and monitor concentrations against the board approved concentration limits (including sub-limits). The tables below present the Bank’s commercial real estate, owner-occupied commercial real estate, and acquisition, construction &amp; development portfolios by collateral type and geographic location as of June 30, 2024 (in thousands).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6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5760" w:type="dxa"/>
            <w:vAlign w:val="bottom"/>
            <w:tcBorders>
              <w:bottom w:val="single" w:sz="8" w:color="auto"/>
            </w:tcBorders>
            <w:gridSpan w:val="14"/>
          </w:tcPr>
          <w:p>
            <w:pPr>
              <w:ind w:left="420"/>
              <w:spacing w:after="0"/>
              <w:rPr>
                <w:sz w:val="20"/>
                <w:szCs w:val="20"/>
                <w:color w:val="auto"/>
              </w:rPr>
            </w:pPr>
            <w:r>
              <w:rPr>
                <w:rFonts w:ascii="Times New Roman" w:cs="Times New Roman" w:eastAsia="Times New Roman" w:hAnsi="Times New Roman"/>
                <w:sz w:val="16"/>
                <w:szCs w:val="16"/>
                <w:b w:val="1"/>
                <w:bCs w:val="1"/>
                <w:color w:val="auto"/>
              </w:rPr>
              <w:t>Commercial Real Estate by Collateral Type and Geographic Location</w:t>
            </w:r>
          </w:p>
        </w:tc>
        <w:tc>
          <w:tcPr>
            <w:tcW w:w="1360" w:type="dxa"/>
            <w:vAlign w:val="bottom"/>
            <w:tcBorders>
              <w:bottom w:val="single" w:sz="8" w:color="auto"/>
            </w:tcBorders>
          </w:tcPr>
          <w:p>
            <w:pPr>
              <w:spacing w:after="0"/>
              <w:rPr>
                <w:sz w:val="18"/>
                <w:szCs w:val="18"/>
                <w:color w:val="auto"/>
              </w:rPr>
            </w:pPr>
          </w:p>
        </w:tc>
      </w:tr>
      <w:tr>
        <w:trPr>
          <w:trHeight w:val="211"/>
        </w:trPr>
        <w:tc>
          <w:tcPr>
            <w:tcW w:w="2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2"/>
          </w:tcPr>
          <w:p>
            <w:pPr>
              <w:ind w:left="200"/>
              <w:spacing w:after="0"/>
              <w:rPr>
                <w:sz w:val="20"/>
                <w:szCs w:val="20"/>
                <w:color w:val="auto"/>
              </w:rPr>
            </w:pPr>
            <w:r>
              <w:rPr>
                <w:rFonts w:ascii="Times New Roman" w:cs="Times New Roman" w:eastAsia="Times New Roman" w:hAnsi="Times New Roman"/>
                <w:sz w:val="16"/>
                <w:szCs w:val="16"/>
                <w:b w:val="1"/>
                <w:bCs w:val="1"/>
                <w:color w:val="auto"/>
              </w:rPr>
              <w:t>VA</w:t>
            </w:r>
          </w:p>
        </w:tc>
        <w:tc>
          <w:tcPr>
            <w:tcW w:w="260" w:type="dxa"/>
            <w:vAlign w:val="bottom"/>
          </w:tcPr>
          <w:p>
            <w:pPr>
              <w:spacing w:after="0"/>
              <w:rPr>
                <w:sz w:val="18"/>
                <w:szCs w:val="18"/>
                <w:color w:val="auto"/>
              </w:rPr>
            </w:pPr>
          </w:p>
        </w:tc>
        <w:tc>
          <w:tcPr>
            <w:tcW w:w="96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WV</w:t>
            </w:r>
          </w:p>
        </w:tc>
        <w:tc>
          <w:tcPr>
            <w:tcW w:w="240" w:type="dxa"/>
            <w:vAlign w:val="bottom"/>
          </w:tcPr>
          <w:p>
            <w:pPr>
              <w:spacing w:after="0"/>
              <w:rPr>
                <w:sz w:val="18"/>
                <w:szCs w:val="18"/>
                <w:color w:val="auto"/>
              </w:rPr>
            </w:pPr>
          </w:p>
        </w:tc>
        <w:tc>
          <w:tcPr>
            <w:tcW w:w="96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MD</w:t>
            </w:r>
          </w:p>
        </w:tc>
        <w:tc>
          <w:tcPr>
            <w:tcW w:w="260" w:type="dxa"/>
            <w:vAlign w:val="bottom"/>
          </w:tcPr>
          <w:p>
            <w:pPr>
              <w:spacing w:after="0"/>
              <w:rPr>
                <w:sz w:val="18"/>
                <w:szCs w:val="18"/>
                <w:color w:val="auto"/>
              </w:rPr>
            </w:pPr>
          </w:p>
        </w:tc>
        <w:tc>
          <w:tcPr>
            <w:tcW w:w="94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DC</w:t>
            </w:r>
          </w:p>
        </w:tc>
        <w:tc>
          <w:tcPr>
            <w:tcW w:w="220" w:type="dxa"/>
            <w:vAlign w:val="bottom"/>
          </w:tcPr>
          <w:p>
            <w:pPr>
              <w:spacing w:after="0"/>
              <w:rPr>
                <w:sz w:val="18"/>
                <w:szCs w:val="18"/>
                <w:color w:val="auto"/>
              </w:rPr>
            </w:pPr>
          </w:p>
        </w:tc>
        <w:tc>
          <w:tcPr>
            <w:tcW w:w="98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Other</w:t>
            </w:r>
          </w:p>
        </w:tc>
        <w:tc>
          <w:tcPr>
            <w:tcW w:w="240" w:type="dxa"/>
            <w:vAlign w:val="bottom"/>
          </w:tcPr>
          <w:p>
            <w:pPr>
              <w:spacing w:after="0"/>
              <w:rPr>
                <w:sz w:val="18"/>
                <w:szCs w:val="18"/>
                <w:color w:val="auto"/>
              </w:rPr>
            </w:pPr>
          </w:p>
        </w:tc>
        <w:tc>
          <w:tcPr>
            <w:tcW w:w="96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360" w:type="dxa"/>
            <w:vAlign w:val="bottom"/>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Percentage</w:t>
            </w:r>
          </w:p>
        </w:tc>
      </w:tr>
      <w:tr>
        <w:trPr>
          <w:trHeight w:val="211"/>
        </w:trPr>
        <w:tc>
          <w:tcPr>
            <w:tcW w:w="26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Retail Real Estate</w:t>
            </w: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287,723</w:t>
            </w: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64,765</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137,319</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42,110</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48,418</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580,335</w:t>
            </w:r>
          </w:p>
        </w:tc>
        <w:tc>
          <w:tcPr>
            <w:tcW w:w="8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22.8 %</w:t>
            </w:r>
          </w:p>
        </w:tc>
      </w:tr>
      <w:tr>
        <w:trPr>
          <w:trHeight w:val="213"/>
        </w:trPr>
        <w:tc>
          <w:tcPr>
            <w:tcW w:w="26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Multi-Family</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227,908</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105,067</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44,800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84,230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26,713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488,718</w:t>
            </w:r>
          </w:p>
        </w:tc>
        <w:tc>
          <w:tcPr>
            <w:tcW w:w="80" w:type="dxa"/>
            <w:vAlign w:val="bottom"/>
          </w:tcPr>
          <w:p>
            <w:pPr>
              <w:spacing w:after="0"/>
              <w:rPr>
                <w:sz w:val="18"/>
                <w:szCs w:val="18"/>
                <w:color w:val="auto"/>
              </w:rPr>
            </w:pPr>
          </w:p>
        </w:tc>
        <w:tc>
          <w:tcPr>
            <w:tcW w:w="13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19.2</w:t>
            </w:r>
          </w:p>
        </w:tc>
      </w:tr>
      <w:tr>
        <w:trPr>
          <w:trHeight w:val="219"/>
        </w:trPr>
        <w:tc>
          <w:tcPr>
            <w:tcW w:w="2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Office Buildings/Condos</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193,342</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37,294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120,123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27,861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29,852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408,472</w:t>
            </w:r>
          </w:p>
        </w:tc>
        <w:tc>
          <w:tcPr>
            <w:tcW w:w="8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16.2</w:t>
            </w:r>
          </w:p>
        </w:tc>
      </w:tr>
      <w:tr>
        <w:trPr>
          <w:trHeight w:val="213"/>
        </w:trPr>
        <w:tc>
          <w:tcPr>
            <w:tcW w:w="26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Hotels/Motels</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124,780</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53,723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66,626</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52,357</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77,704</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375,190</w:t>
            </w:r>
          </w:p>
        </w:tc>
        <w:tc>
          <w:tcPr>
            <w:tcW w:w="80" w:type="dxa"/>
            <w:vAlign w:val="bottom"/>
          </w:tcPr>
          <w:p>
            <w:pPr>
              <w:spacing w:after="0"/>
              <w:rPr>
                <w:sz w:val="18"/>
                <w:szCs w:val="18"/>
                <w:color w:val="auto"/>
              </w:rPr>
            </w:pPr>
          </w:p>
        </w:tc>
        <w:tc>
          <w:tcPr>
            <w:tcW w:w="13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14.7</w:t>
            </w:r>
          </w:p>
        </w:tc>
      </w:tr>
      <w:tr>
        <w:trPr>
          <w:trHeight w:val="219"/>
        </w:trPr>
        <w:tc>
          <w:tcPr>
            <w:tcW w:w="2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Industrial/Warehouse</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202,797</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4,222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20,921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227,940</w:t>
            </w:r>
          </w:p>
        </w:tc>
        <w:tc>
          <w:tcPr>
            <w:tcW w:w="8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9.0</w:t>
            </w:r>
          </w:p>
        </w:tc>
      </w:tr>
      <w:tr>
        <w:trPr>
          <w:trHeight w:val="213"/>
        </w:trPr>
        <w:tc>
          <w:tcPr>
            <w:tcW w:w="26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Self-Storage</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67,962</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29,883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33,029</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132,374</w:t>
            </w:r>
          </w:p>
        </w:tc>
        <w:tc>
          <w:tcPr>
            <w:tcW w:w="80" w:type="dxa"/>
            <w:vAlign w:val="bottom"/>
          </w:tcPr>
          <w:p>
            <w:pPr>
              <w:spacing w:after="0"/>
              <w:rPr>
                <w:sz w:val="18"/>
                <w:szCs w:val="18"/>
                <w:color w:val="auto"/>
              </w:rPr>
            </w:pPr>
          </w:p>
        </w:tc>
        <w:tc>
          <w:tcPr>
            <w:tcW w:w="13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5.2</w:t>
            </w:r>
          </w:p>
        </w:tc>
      </w:tr>
      <w:tr>
        <w:trPr>
          <w:trHeight w:val="219"/>
        </w:trPr>
        <w:tc>
          <w:tcPr>
            <w:tcW w:w="2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Nursing-Assisted Living</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44,128</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3,629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21,715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69,472</w:t>
            </w:r>
          </w:p>
        </w:tc>
        <w:tc>
          <w:tcPr>
            <w:tcW w:w="8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2.7</w:t>
            </w:r>
          </w:p>
        </w:tc>
      </w:tr>
      <w:tr>
        <w:trPr>
          <w:trHeight w:val="213"/>
        </w:trPr>
        <w:tc>
          <w:tcPr>
            <w:tcW w:w="26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Restaurants</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19,457</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1,835</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7,763</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10,606</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6,065</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45,726</w:t>
            </w:r>
          </w:p>
        </w:tc>
        <w:tc>
          <w:tcPr>
            <w:tcW w:w="80" w:type="dxa"/>
            <w:vAlign w:val="bottom"/>
          </w:tcPr>
          <w:p>
            <w:pPr>
              <w:spacing w:after="0"/>
              <w:rPr>
                <w:sz w:val="18"/>
                <w:szCs w:val="18"/>
                <w:color w:val="auto"/>
              </w:rPr>
            </w:pPr>
          </w:p>
        </w:tc>
        <w:tc>
          <w:tcPr>
            <w:tcW w:w="13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1.8</w:t>
            </w:r>
          </w:p>
        </w:tc>
      </w:tr>
      <w:tr>
        <w:trPr>
          <w:trHeight w:val="219"/>
        </w:trPr>
        <w:tc>
          <w:tcPr>
            <w:tcW w:w="2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Gas Stations</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7,358</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1,862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2,117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14,812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3,069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29,218</w:t>
            </w:r>
          </w:p>
        </w:tc>
        <w:tc>
          <w:tcPr>
            <w:tcW w:w="8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1.1</w:t>
            </w:r>
          </w:p>
        </w:tc>
      </w:tr>
      <w:tr>
        <w:trPr>
          <w:trHeight w:val="213"/>
        </w:trPr>
        <w:tc>
          <w:tcPr>
            <w:tcW w:w="26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105,280</w:t>
            </w:r>
          </w:p>
        </w:tc>
        <w:tc>
          <w:tcPr>
            <w:tcW w:w="8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3,871</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19,938</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43,640</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13,494</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186,223</w:t>
            </w:r>
          </w:p>
        </w:tc>
        <w:tc>
          <w:tcPr>
            <w:tcW w:w="80" w:type="dxa"/>
            <w:vAlign w:val="bottom"/>
            <w:tcBorders>
              <w:bottom w:val="single" w:sz="8" w:color="CCEEFF"/>
            </w:tcBorders>
          </w:tcPr>
          <w:p>
            <w:pPr>
              <w:spacing w:after="0"/>
              <w:rPr>
                <w:sz w:val="18"/>
                <w:szCs w:val="18"/>
                <w:color w:val="auto"/>
              </w:rPr>
            </w:pPr>
          </w:p>
        </w:tc>
        <w:tc>
          <w:tcPr>
            <w:tcW w:w="136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7.3</w:t>
            </w:r>
          </w:p>
        </w:tc>
      </w:tr>
      <w:tr>
        <w:trPr>
          <w:trHeight w:val="210"/>
        </w:trPr>
        <w:tc>
          <w:tcPr>
            <w:tcW w:w="2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1,280,735</w:t>
            </w:r>
          </w:p>
        </w:tc>
        <w:tc>
          <w:tcPr>
            <w:tcW w:w="8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302,522</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424,736</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275,616</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260,059</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2,543,668</w:t>
            </w:r>
          </w:p>
        </w:tc>
        <w:tc>
          <w:tcPr>
            <w:tcW w:w="80" w:type="dxa"/>
            <w:vAlign w:val="bottom"/>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100.0 %</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6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220" w:type="dxa"/>
            <w:vAlign w:val="bottom"/>
            <w:tcBorders>
              <w:bottom w:val="single" w:sz="8" w:color="auto"/>
            </w:tcBorders>
            <w:gridSpan w:val="16"/>
          </w:tcPr>
          <w:p>
            <w:pPr>
              <w:ind w:left="80"/>
              <w:spacing w:after="0"/>
              <w:rPr>
                <w:sz w:val="20"/>
                <w:szCs w:val="20"/>
                <w:color w:val="auto"/>
              </w:rPr>
            </w:pPr>
            <w:r>
              <w:rPr>
                <w:rFonts w:ascii="Times New Roman" w:cs="Times New Roman" w:eastAsia="Times New Roman" w:hAnsi="Times New Roman"/>
                <w:sz w:val="16"/>
                <w:szCs w:val="16"/>
                <w:b w:val="1"/>
                <w:bCs w:val="1"/>
                <w:color w:val="auto"/>
              </w:rPr>
              <w:t>Owner-Occupied Commercial Real Estate by Collateral Type and Geographic Location</w:t>
            </w:r>
          </w:p>
        </w:tc>
        <w:tc>
          <w:tcPr>
            <w:tcW w:w="11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gridSpan w:val="2"/>
          </w:tcPr>
          <w:p>
            <w:pPr>
              <w:ind w:left="180"/>
              <w:spacing w:after="0"/>
              <w:rPr>
                <w:sz w:val="20"/>
                <w:szCs w:val="20"/>
                <w:color w:val="auto"/>
              </w:rPr>
            </w:pPr>
            <w:r>
              <w:rPr>
                <w:rFonts w:ascii="Times New Roman" w:cs="Times New Roman" w:eastAsia="Times New Roman" w:hAnsi="Times New Roman"/>
                <w:sz w:val="16"/>
                <w:szCs w:val="16"/>
                <w:b w:val="1"/>
                <w:bCs w:val="1"/>
                <w:color w:val="auto"/>
              </w:rPr>
              <w:t>VA</w:t>
            </w:r>
          </w:p>
        </w:tc>
        <w:tc>
          <w:tcPr>
            <w:tcW w:w="260" w:type="dxa"/>
            <w:vAlign w:val="bottom"/>
          </w:tcPr>
          <w:p>
            <w:pPr>
              <w:spacing w:after="0"/>
              <w:rPr>
                <w:sz w:val="18"/>
                <w:szCs w:val="18"/>
                <w:color w:val="auto"/>
              </w:rPr>
            </w:pPr>
          </w:p>
        </w:tc>
        <w:tc>
          <w:tcPr>
            <w:tcW w:w="94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WV</w:t>
            </w:r>
          </w:p>
        </w:tc>
        <w:tc>
          <w:tcPr>
            <w:tcW w:w="260" w:type="dxa"/>
            <w:vAlign w:val="bottom"/>
          </w:tcPr>
          <w:p>
            <w:pPr>
              <w:spacing w:after="0"/>
              <w:rPr>
                <w:sz w:val="18"/>
                <w:szCs w:val="18"/>
                <w:color w:val="auto"/>
              </w:rPr>
            </w:pPr>
          </w:p>
        </w:tc>
        <w:tc>
          <w:tcPr>
            <w:tcW w:w="94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MD</w:t>
            </w:r>
          </w:p>
        </w:tc>
        <w:tc>
          <w:tcPr>
            <w:tcW w:w="260" w:type="dxa"/>
            <w:vAlign w:val="bottom"/>
          </w:tcPr>
          <w:p>
            <w:pPr>
              <w:spacing w:after="0"/>
              <w:rPr>
                <w:sz w:val="18"/>
                <w:szCs w:val="18"/>
                <w:color w:val="auto"/>
              </w:rPr>
            </w:pPr>
          </w:p>
        </w:tc>
        <w:tc>
          <w:tcPr>
            <w:tcW w:w="940" w:type="dxa"/>
            <w:vAlign w:val="bottom"/>
            <w:gridSpan w:val="2"/>
          </w:tcPr>
          <w:p>
            <w:pPr>
              <w:ind w:left="180"/>
              <w:spacing w:after="0"/>
              <w:rPr>
                <w:sz w:val="20"/>
                <w:szCs w:val="20"/>
                <w:color w:val="auto"/>
              </w:rPr>
            </w:pPr>
            <w:r>
              <w:rPr>
                <w:rFonts w:ascii="Times New Roman" w:cs="Times New Roman" w:eastAsia="Times New Roman" w:hAnsi="Times New Roman"/>
                <w:sz w:val="16"/>
                <w:szCs w:val="16"/>
                <w:b w:val="1"/>
                <w:bCs w:val="1"/>
                <w:color w:val="auto"/>
              </w:rPr>
              <w:t>DC</w:t>
            </w:r>
          </w:p>
        </w:tc>
        <w:tc>
          <w:tcPr>
            <w:tcW w:w="220" w:type="dxa"/>
            <w:vAlign w:val="bottom"/>
          </w:tcPr>
          <w:p>
            <w:pPr>
              <w:spacing w:after="0"/>
              <w:rPr>
                <w:sz w:val="18"/>
                <w:szCs w:val="18"/>
                <w:color w:val="auto"/>
              </w:rPr>
            </w:pPr>
          </w:p>
        </w:tc>
        <w:tc>
          <w:tcPr>
            <w:tcW w:w="100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Other</w:t>
            </w:r>
          </w:p>
        </w:tc>
        <w:tc>
          <w:tcPr>
            <w:tcW w:w="240" w:type="dxa"/>
            <w:vAlign w:val="bottom"/>
          </w:tcPr>
          <w:p>
            <w:pPr>
              <w:spacing w:after="0"/>
              <w:rPr>
                <w:sz w:val="18"/>
                <w:szCs w:val="18"/>
                <w:color w:val="auto"/>
              </w:rPr>
            </w:pPr>
          </w:p>
        </w:tc>
        <w:tc>
          <w:tcPr>
            <w:tcW w:w="1160" w:type="dxa"/>
            <w:vAlign w:val="bottom"/>
            <w:gridSpan w:val="3"/>
          </w:tcPr>
          <w:p>
            <w:pPr>
              <w:ind w:left="14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160" w:type="dxa"/>
            <w:vAlign w:val="bottom"/>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Percentage</w:t>
            </w:r>
          </w:p>
        </w:tc>
        <w:tc>
          <w:tcPr>
            <w:tcW w:w="0" w:type="dxa"/>
            <w:vAlign w:val="bottom"/>
          </w:tcPr>
          <w:p>
            <w:pPr>
              <w:spacing w:after="0"/>
              <w:rPr>
                <w:sz w:val="1"/>
                <w:szCs w:val="1"/>
                <w:color w:val="auto"/>
              </w:rPr>
            </w:pPr>
          </w:p>
        </w:tc>
      </w:tr>
      <w:tr>
        <w:trPr>
          <w:trHeight w:val="211"/>
        </w:trPr>
        <w:tc>
          <w:tcPr>
            <w:tcW w:w="26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Office Buildings/Condos</w:t>
            </w:r>
          </w:p>
        </w:tc>
        <w:tc>
          <w:tcPr>
            <w:tcW w:w="260" w:type="dxa"/>
            <w:vAlign w:val="bottom"/>
            <w:tcBorders>
              <w:top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69,160</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30,923</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21,671</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635</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14,398</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136,787</w:t>
            </w: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21.8 %</w:t>
            </w:r>
          </w:p>
        </w:tc>
        <w:tc>
          <w:tcPr>
            <w:tcW w:w="0" w:type="dxa"/>
            <w:vAlign w:val="bottom"/>
          </w:tcPr>
          <w:p>
            <w:pPr>
              <w:spacing w:after="0"/>
              <w:rPr>
                <w:sz w:val="1"/>
                <w:szCs w:val="1"/>
                <w:color w:val="auto"/>
              </w:rPr>
            </w:pPr>
          </w:p>
        </w:tc>
      </w:tr>
      <w:tr>
        <w:trPr>
          <w:trHeight w:val="213"/>
        </w:trPr>
        <w:tc>
          <w:tcPr>
            <w:tcW w:w="26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Retail</w:t>
            </w: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45,284</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50,396</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14,611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126</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24,014</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134,431</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21.5</w:t>
            </w:r>
          </w:p>
        </w:tc>
        <w:tc>
          <w:tcPr>
            <w:tcW w:w="0" w:type="dxa"/>
            <w:vAlign w:val="bottom"/>
          </w:tcPr>
          <w:p>
            <w:pPr>
              <w:spacing w:after="0"/>
              <w:rPr>
                <w:sz w:val="1"/>
                <w:szCs w:val="1"/>
                <w:color w:val="auto"/>
              </w:rPr>
            </w:pPr>
          </w:p>
        </w:tc>
      </w:tr>
      <w:tr>
        <w:trPr>
          <w:trHeight w:val="219"/>
        </w:trPr>
        <w:tc>
          <w:tcPr>
            <w:tcW w:w="2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Industrial/Warehouse</w:t>
            </w: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49,586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16,672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1,798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16,147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84,203</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13.4</w:t>
            </w:r>
          </w:p>
        </w:tc>
        <w:tc>
          <w:tcPr>
            <w:tcW w:w="0" w:type="dxa"/>
            <w:vAlign w:val="bottom"/>
          </w:tcPr>
          <w:p>
            <w:pPr>
              <w:spacing w:after="0"/>
              <w:rPr>
                <w:sz w:val="1"/>
                <w:szCs w:val="1"/>
                <w:color w:val="auto"/>
              </w:rPr>
            </w:pPr>
          </w:p>
        </w:tc>
      </w:tr>
      <w:tr>
        <w:trPr>
          <w:trHeight w:val="213"/>
        </w:trPr>
        <w:tc>
          <w:tcPr>
            <w:tcW w:w="26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Gas Stations</w:t>
            </w: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26,914</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11,331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10,076</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29,225</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77,546</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12.4</w:t>
            </w:r>
          </w:p>
        </w:tc>
        <w:tc>
          <w:tcPr>
            <w:tcW w:w="0" w:type="dxa"/>
            <w:vAlign w:val="bottom"/>
          </w:tcPr>
          <w:p>
            <w:pPr>
              <w:spacing w:after="0"/>
              <w:rPr>
                <w:sz w:val="1"/>
                <w:szCs w:val="1"/>
                <w:color w:val="auto"/>
              </w:rPr>
            </w:pPr>
          </w:p>
        </w:tc>
      </w:tr>
      <w:tr>
        <w:trPr>
          <w:trHeight w:val="219"/>
        </w:trPr>
        <w:tc>
          <w:tcPr>
            <w:tcW w:w="2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Restaurants</w:t>
            </w: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6,678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8,264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3,951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15,974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34,867</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5.6</w:t>
            </w:r>
          </w:p>
        </w:tc>
        <w:tc>
          <w:tcPr>
            <w:tcW w:w="0" w:type="dxa"/>
            <w:vAlign w:val="bottom"/>
          </w:tcPr>
          <w:p>
            <w:pPr>
              <w:spacing w:after="0"/>
              <w:rPr>
                <w:sz w:val="1"/>
                <w:szCs w:val="1"/>
                <w:color w:val="auto"/>
              </w:rPr>
            </w:pPr>
          </w:p>
        </w:tc>
      </w:tr>
      <w:tr>
        <w:trPr>
          <w:trHeight w:val="213"/>
        </w:trPr>
        <w:tc>
          <w:tcPr>
            <w:tcW w:w="26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Churches/Religious Organizations</w:t>
            </w: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21,088</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8,388</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1,628</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3,462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34,807</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5.6</w:t>
            </w:r>
          </w:p>
        </w:tc>
        <w:tc>
          <w:tcPr>
            <w:tcW w:w="0" w:type="dxa"/>
            <w:vAlign w:val="bottom"/>
          </w:tcPr>
          <w:p>
            <w:pPr>
              <w:spacing w:after="0"/>
              <w:rPr>
                <w:sz w:val="1"/>
                <w:szCs w:val="1"/>
                <w:color w:val="auto"/>
              </w:rPr>
            </w:pPr>
          </w:p>
        </w:tc>
      </w:tr>
      <w:tr>
        <w:trPr>
          <w:trHeight w:val="165"/>
        </w:trPr>
        <w:tc>
          <w:tcPr>
            <w:tcW w:w="2660" w:type="dxa"/>
            <w:vAlign w:val="bottom"/>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Coal, oil, gas, and natural resource</w:t>
            </w:r>
          </w:p>
        </w:tc>
        <w:tc>
          <w:tcPr>
            <w:tcW w:w="260" w:type="dxa"/>
            <w:vAlign w:val="bottom"/>
            <w:shd w:val="clear" w:color="auto" w:fill="CCEEFF"/>
          </w:tcPr>
          <w:p>
            <w:pPr>
              <w:spacing w:after="0"/>
              <w:rPr>
                <w:sz w:val="14"/>
                <w:szCs w:val="14"/>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927</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10,493</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4"/>
                <w:szCs w:val="14"/>
                <w:color w:val="auto"/>
              </w:rPr>
            </w:pPr>
          </w:p>
        </w:tc>
        <w:tc>
          <w:tcPr>
            <w:tcW w:w="9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4"/>
                <w:szCs w:val="14"/>
                <w:color w:val="auto"/>
              </w:rPr>
            </w:pP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11,554</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60" w:type="dxa"/>
            <w:vAlign w:val="bottom"/>
            <w:vMerge w:val="restart"/>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1.8</w:t>
            </w:r>
          </w:p>
        </w:tc>
        <w:tc>
          <w:tcPr>
            <w:tcW w:w="0" w:type="dxa"/>
            <w:vAlign w:val="bottom"/>
          </w:tcPr>
          <w:p>
            <w:pPr>
              <w:spacing w:after="0"/>
              <w:rPr>
                <w:sz w:val="1"/>
                <w:szCs w:val="1"/>
                <w:color w:val="auto"/>
              </w:rPr>
            </w:pPr>
          </w:p>
        </w:tc>
      </w:tr>
      <w:tr>
        <w:trPr>
          <w:trHeight w:val="216"/>
        </w:trPr>
        <w:tc>
          <w:tcPr>
            <w:tcW w:w="2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extraction</w:t>
            </w:r>
          </w:p>
        </w:tc>
        <w:tc>
          <w:tcPr>
            <w:tcW w:w="260" w:type="dxa"/>
            <w:vAlign w:val="bottom"/>
            <w:shd w:val="clear" w:color="auto" w:fill="CCEEFF"/>
          </w:tcPr>
          <w:p>
            <w:pPr>
              <w:spacing w:after="0"/>
              <w:rPr>
                <w:sz w:val="18"/>
                <w:szCs w:val="18"/>
                <w:color w:val="auto"/>
              </w:rPr>
            </w:pPr>
          </w:p>
        </w:tc>
        <w:tc>
          <w:tcPr>
            <w:tcW w:w="8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gridSpan w:val="2"/>
            <w:vMerge w:val="continue"/>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gridSpan w:val="2"/>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6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Private School</w:t>
            </w: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7,563</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7,563</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1.2 %</w:t>
            </w:r>
          </w:p>
        </w:tc>
        <w:tc>
          <w:tcPr>
            <w:tcW w:w="0" w:type="dxa"/>
            <w:vAlign w:val="bottom"/>
          </w:tcPr>
          <w:p>
            <w:pPr>
              <w:spacing w:after="0"/>
              <w:rPr>
                <w:sz w:val="1"/>
                <w:szCs w:val="1"/>
                <w:color w:val="auto"/>
              </w:rPr>
            </w:pPr>
          </w:p>
        </w:tc>
      </w:tr>
      <w:tr>
        <w:trPr>
          <w:trHeight w:val="219"/>
        </w:trPr>
        <w:tc>
          <w:tcPr>
            <w:tcW w:w="2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2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29,493</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19,858</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8,001</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361</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46,904</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104,617</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16.7</w:t>
            </w:r>
          </w:p>
        </w:tc>
        <w:tc>
          <w:tcPr>
            <w:tcW w:w="0" w:type="dxa"/>
            <w:vAlign w:val="bottom"/>
          </w:tcPr>
          <w:p>
            <w:pPr>
              <w:spacing w:after="0"/>
              <w:rPr>
                <w:sz w:val="1"/>
                <w:szCs w:val="1"/>
                <w:color w:val="auto"/>
              </w:rPr>
            </w:pPr>
          </w:p>
        </w:tc>
      </w:tr>
      <w:tr>
        <w:trPr>
          <w:trHeight w:val="207"/>
        </w:trPr>
        <w:tc>
          <w:tcPr>
            <w:tcW w:w="26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256,693</w:t>
            </w:r>
          </w:p>
        </w:tc>
        <w:tc>
          <w:tcPr>
            <w:tcW w:w="100" w:type="dxa"/>
            <w:vAlign w:val="bottom"/>
          </w:tcPr>
          <w:p>
            <w:pPr>
              <w:spacing w:after="0"/>
              <w:rPr>
                <w:sz w:val="17"/>
                <w:szCs w:val="17"/>
                <w:color w:val="auto"/>
              </w:rPr>
            </w:pP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156,325</w:t>
            </w:r>
          </w:p>
        </w:tc>
        <w:tc>
          <w:tcPr>
            <w:tcW w:w="100" w:type="dxa"/>
            <w:vAlign w:val="bottom"/>
          </w:tcPr>
          <w:p>
            <w:pPr>
              <w:spacing w:after="0"/>
              <w:rPr>
                <w:sz w:val="17"/>
                <w:szCs w:val="17"/>
                <w:color w:val="auto"/>
              </w:rPr>
            </w:pP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61,736</w:t>
            </w:r>
          </w:p>
        </w:tc>
        <w:tc>
          <w:tcPr>
            <w:tcW w:w="100" w:type="dxa"/>
            <w:vAlign w:val="bottom"/>
          </w:tcPr>
          <w:p>
            <w:pPr>
              <w:spacing w:after="0"/>
              <w:rPr>
                <w:sz w:val="17"/>
                <w:szCs w:val="17"/>
                <w:color w:val="auto"/>
              </w:rPr>
            </w:pP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1,363</w:t>
            </w:r>
          </w:p>
        </w:tc>
        <w:tc>
          <w:tcPr>
            <w:tcW w:w="100" w:type="dxa"/>
            <w:vAlign w:val="bottom"/>
          </w:tcPr>
          <w:p>
            <w:pPr>
              <w:spacing w:after="0"/>
              <w:rPr>
                <w:sz w:val="17"/>
                <w:szCs w:val="17"/>
                <w:color w:val="auto"/>
              </w:rPr>
            </w:pP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150,258</w:t>
            </w:r>
          </w:p>
        </w:tc>
        <w:tc>
          <w:tcPr>
            <w:tcW w:w="100" w:type="dxa"/>
            <w:vAlign w:val="bottom"/>
          </w:tcPr>
          <w:p>
            <w:pPr>
              <w:spacing w:after="0"/>
              <w:rPr>
                <w:sz w:val="17"/>
                <w:szCs w:val="17"/>
                <w:color w:val="auto"/>
              </w:rPr>
            </w:pPr>
          </w:p>
        </w:tc>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626,375</w:t>
            </w:r>
          </w:p>
        </w:tc>
        <w:tc>
          <w:tcPr>
            <w:tcW w:w="8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100.0 %</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6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220" w:type="dxa"/>
            <w:vAlign w:val="bottom"/>
            <w:tcBorders>
              <w:bottom w:val="single" w:sz="8" w:color="auto"/>
            </w:tcBorders>
            <w:gridSpan w:val="16"/>
          </w:tcPr>
          <w:p>
            <w:pPr>
              <w:ind w:left="60"/>
              <w:spacing w:after="0"/>
              <w:rPr>
                <w:sz w:val="20"/>
                <w:szCs w:val="20"/>
                <w:color w:val="auto"/>
              </w:rPr>
            </w:pPr>
            <w:r>
              <w:rPr>
                <w:rFonts w:ascii="Times New Roman" w:cs="Times New Roman" w:eastAsia="Times New Roman" w:hAnsi="Times New Roman"/>
                <w:sz w:val="16"/>
                <w:szCs w:val="16"/>
                <w:b w:val="1"/>
                <w:bCs w:val="1"/>
                <w:color w:val="auto"/>
              </w:rPr>
              <w:t>Acquisition, Construction &amp; Development by Collateral Type and Geographic Location</w:t>
            </w:r>
          </w:p>
        </w:tc>
        <w:tc>
          <w:tcPr>
            <w:tcW w:w="1160" w:type="dxa"/>
            <w:vAlign w:val="bottom"/>
            <w:tcBorders>
              <w:bottom w:val="single" w:sz="8" w:color="auto"/>
            </w:tcBorders>
          </w:tcPr>
          <w:p>
            <w:pPr>
              <w:spacing w:after="0"/>
              <w:rPr>
                <w:sz w:val="18"/>
                <w:szCs w:val="18"/>
                <w:color w:val="auto"/>
              </w:rPr>
            </w:pPr>
          </w:p>
        </w:tc>
      </w:tr>
      <w:tr>
        <w:trPr>
          <w:trHeight w:val="211"/>
        </w:trPr>
        <w:tc>
          <w:tcPr>
            <w:tcW w:w="2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gridSpan w:val="2"/>
          </w:tcPr>
          <w:p>
            <w:pPr>
              <w:ind w:left="180"/>
              <w:spacing w:after="0"/>
              <w:rPr>
                <w:sz w:val="20"/>
                <w:szCs w:val="20"/>
                <w:color w:val="auto"/>
              </w:rPr>
            </w:pPr>
            <w:r>
              <w:rPr>
                <w:rFonts w:ascii="Times New Roman" w:cs="Times New Roman" w:eastAsia="Times New Roman" w:hAnsi="Times New Roman"/>
                <w:sz w:val="16"/>
                <w:szCs w:val="16"/>
                <w:b w:val="1"/>
                <w:bCs w:val="1"/>
                <w:color w:val="auto"/>
              </w:rPr>
              <w:t>VA</w:t>
            </w:r>
          </w:p>
        </w:tc>
        <w:tc>
          <w:tcPr>
            <w:tcW w:w="260" w:type="dxa"/>
            <w:vAlign w:val="bottom"/>
          </w:tcPr>
          <w:p>
            <w:pPr>
              <w:spacing w:after="0"/>
              <w:rPr>
                <w:sz w:val="18"/>
                <w:szCs w:val="18"/>
                <w:color w:val="auto"/>
              </w:rPr>
            </w:pPr>
          </w:p>
        </w:tc>
        <w:tc>
          <w:tcPr>
            <w:tcW w:w="94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WV</w:t>
            </w:r>
          </w:p>
        </w:tc>
        <w:tc>
          <w:tcPr>
            <w:tcW w:w="260" w:type="dxa"/>
            <w:vAlign w:val="bottom"/>
          </w:tcPr>
          <w:p>
            <w:pPr>
              <w:spacing w:after="0"/>
              <w:rPr>
                <w:sz w:val="18"/>
                <w:szCs w:val="18"/>
                <w:color w:val="auto"/>
              </w:rPr>
            </w:pPr>
          </w:p>
        </w:tc>
        <w:tc>
          <w:tcPr>
            <w:tcW w:w="94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MD</w:t>
            </w:r>
          </w:p>
        </w:tc>
        <w:tc>
          <w:tcPr>
            <w:tcW w:w="260" w:type="dxa"/>
            <w:vAlign w:val="bottom"/>
          </w:tcPr>
          <w:p>
            <w:pPr>
              <w:spacing w:after="0"/>
              <w:rPr>
                <w:sz w:val="18"/>
                <w:szCs w:val="18"/>
                <w:color w:val="auto"/>
              </w:rPr>
            </w:pPr>
          </w:p>
        </w:tc>
        <w:tc>
          <w:tcPr>
            <w:tcW w:w="940" w:type="dxa"/>
            <w:vAlign w:val="bottom"/>
            <w:gridSpan w:val="2"/>
          </w:tcPr>
          <w:p>
            <w:pPr>
              <w:ind w:left="180"/>
              <w:spacing w:after="0"/>
              <w:rPr>
                <w:sz w:val="20"/>
                <w:szCs w:val="20"/>
                <w:color w:val="auto"/>
              </w:rPr>
            </w:pPr>
            <w:r>
              <w:rPr>
                <w:rFonts w:ascii="Times New Roman" w:cs="Times New Roman" w:eastAsia="Times New Roman" w:hAnsi="Times New Roman"/>
                <w:sz w:val="16"/>
                <w:szCs w:val="16"/>
                <w:b w:val="1"/>
                <w:bCs w:val="1"/>
                <w:color w:val="auto"/>
              </w:rPr>
              <w:t>DC</w:t>
            </w:r>
          </w:p>
        </w:tc>
        <w:tc>
          <w:tcPr>
            <w:tcW w:w="220" w:type="dxa"/>
            <w:vAlign w:val="bottom"/>
          </w:tcPr>
          <w:p>
            <w:pPr>
              <w:spacing w:after="0"/>
              <w:rPr>
                <w:sz w:val="18"/>
                <w:szCs w:val="18"/>
                <w:color w:val="auto"/>
              </w:rPr>
            </w:pPr>
          </w:p>
        </w:tc>
        <w:tc>
          <w:tcPr>
            <w:tcW w:w="100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Other</w:t>
            </w:r>
          </w:p>
        </w:tc>
        <w:tc>
          <w:tcPr>
            <w:tcW w:w="240" w:type="dxa"/>
            <w:vAlign w:val="bottom"/>
          </w:tcPr>
          <w:p>
            <w:pPr>
              <w:spacing w:after="0"/>
              <w:rPr>
                <w:sz w:val="18"/>
                <w:szCs w:val="18"/>
                <w:color w:val="auto"/>
              </w:rPr>
            </w:pPr>
          </w:p>
        </w:tc>
        <w:tc>
          <w:tcPr>
            <w:tcW w:w="1160" w:type="dxa"/>
            <w:vAlign w:val="bottom"/>
            <w:gridSpan w:val="3"/>
          </w:tcPr>
          <w:p>
            <w:pPr>
              <w:ind w:left="14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160" w:type="dxa"/>
            <w:vAlign w:val="bottom"/>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Percentage</w:t>
            </w:r>
          </w:p>
        </w:tc>
      </w:tr>
      <w:tr>
        <w:trPr>
          <w:trHeight w:val="211"/>
        </w:trPr>
        <w:tc>
          <w:tcPr>
            <w:tcW w:w="26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Multi-Family</w:t>
            </w:r>
          </w:p>
        </w:tc>
        <w:tc>
          <w:tcPr>
            <w:tcW w:w="280" w:type="dxa"/>
            <w:vAlign w:val="bottom"/>
            <w:tcBorders>
              <w:top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11,560</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3,569</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26,599</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46,744</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57,332</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145,804</w:t>
            </w: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30.4 %</w:t>
            </w:r>
          </w:p>
        </w:tc>
      </w:tr>
      <w:tr>
        <w:trPr>
          <w:trHeight w:val="213"/>
        </w:trPr>
        <w:tc>
          <w:tcPr>
            <w:tcW w:w="2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Land</w:t>
            </w:r>
          </w:p>
        </w:tc>
        <w:tc>
          <w:tcPr>
            <w:tcW w:w="2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56,808</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32,113</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11,174</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12,584</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112,740</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23.5</w:t>
            </w:r>
          </w:p>
        </w:tc>
      </w:tr>
      <w:tr>
        <w:trPr>
          <w:trHeight w:val="219"/>
        </w:trPr>
        <w:tc>
          <w:tcPr>
            <w:tcW w:w="2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Office Buildings/Condos</w:t>
            </w:r>
          </w:p>
        </w:tc>
        <w:tc>
          <w:tcPr>
            <w:tcW w:w="2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11,849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2,304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27,593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31,456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73,202</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15.3</w:t>
            </w:r>
          </w:p>
        </w:tc>
      </w:tr>
      <w:tr>
        <w:trPr>
          <w:trHeight w:val="213"/>
        </w:trPr>
        <w:tc>
          <w:tcPr>
            <w:tcW w:w="2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Self-Storage</w:t>
            </w:r>
          </w:p>
        </w:tc>
        <w:tc>
          <w:tcPr>
            <w:tcW w:w="2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8,004</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569</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22,336</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21,767</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52,676</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11.0</w:t>
            </w:r>
          </w:p>
        </w:tc>
      </w:tr>
      <w:tr>
        <w:trPr>
          <w:trHeight w:val="219"/>
        </w:trPr>
        <w:tc>
          <w:tcPr>
            <w:tcW w:w="2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Retail Real Estate</w:t>
            </w:r>
          </w:p>
        </w:tc>
        <w:tc>
          <w:tcPr>
            <w:tcW w:w="2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13,678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4,640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10,336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2,574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31,228</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6.5</w:t>
            </w:r>
          </w:p>
        </w:tc>
      </w:tr>
      <w:tr>
        <w:trPr>
          <w:trHeight w:val="213"/>
        </w:trPr>
        <w:tc>
          <w:tcPr>
            <w:tcW w:w="2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Residential For-Sale</w:t>
            </w:r>
          </w:p>
        </w:tc>
        <w:tc>
          <w:tcPr>
            <w:tcW w:w="2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5,500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5,257</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882</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3,822</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3,008</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18,469</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3.8</w:t>
            </w:r>
          </w:p>
        </w:tc>
      </w:tr>
      <w:tr>
        <w:trPr>
          <w:trHeight w:val="219"/>
        </w:trPr>
        <w:tc>
          <w:tcPr>
            <w:tcW w:w="2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2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22,184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4,350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11,958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7,326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45,818</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9.5</w:t>
            </w:r>
          </w:p>
        </w:tc>
      </w:tr>
      <w:tr>
        <w:trPr>
          <w:trHeight w:val="207"/>
        </w:trPr>
        <w:tc>
          <w:tcPr>
            <w:tcW w:w="26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280" w:type="dxa"/>
            <w:vAlign w:val="bottom"/>
            <w:tcBorders>
              <w:top w:val="single" w:sz="8" w:color="auto"/>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129,583</w:t>
            </w:r>
          </w:p>
        </w:tc>
        <w:tc>
          <w:tcPr>
            <w:tcW w:w="100" w:type="dxa"/>
            <w:vAlign w:val="bottom"/>
          </w:tcPr>
          <w:p>
            <w:pPr>
              <w:spacing w:after="0"/>
              <w:rPr>
                <w:sz w:val="17"/>
                <w:szCs w:val="17"/>
                <w:color w:val="auto"/>
              </w:rPr>
            </w:pP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50,498</w:t>
            </w:r>
          </w:p>
        </w:tc>
        <w:tc>
          <w:tcPr>
            <w:tcW w:w="100" w:type="dxa"/>
            <w:vAlign w:val="bottom"/>
          </w:tcPr>
          <w:p>
            <w:pPr>
              <w:spacing w:after="0"/>
              <w:rPr>
                <w:sz w:val="17"/>
                <w:szCs w:val="17"/>
                <w:color w:val="auto"/>
              </w:rPr>
            </w:pP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85,589</w:t>
            </w:r>
          </w:p>
        </w:tc>
        <w:tc>
          <w:tcPr>
            <w:tcW w:w="100" w:type="dxa"/>
            <w:vAlign w:val="bottom"/>
          </w:tcPr>
          <w:p>
            <w:pPr>
              <w:spacing w:after="0"/>
              <w:rPr>
                <w:sz w:val="17"/>
                <w:szCs w:val="17"/>
                <w:color w:val="auto"/>
              </w:rPr>
            </w:pP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78,220</w:t>
            </w:r>
          </w:p>
        </w:tc>
        <w:tc>
          <w:tcPr>
            <w:tcW w:w="100" w:type="dxa"/>
            <w:vAlign w:val="bottom"/>
          </w:tcPr>
          <w:p>
            <w:pPr>
              <w:spacing w:after="0"/>
              <w:rPr>
                <w:sz w:val="17"/>
                <w:szCs w:val="17"/>
                <w:color w:val="auto"/>
              </w:rPr>
            </w:pP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136,047</w:t>
            </w:r>
          </w:p>
        </w:tc>
        <w:tc>
          <w:tcPr>
            <w:tcW w:w="100" w:type="dxa"/>
            <w:vAlign w:val="bottom"/>
          </w:tcPr>
          <w:p>
            <w:pPr>
              <w:spacing w:after="0"/>
              <w:rPr>
                <w:sz w:val="17"/>
                <w:szCs w:val="17"/>
                <w:color w:val="auto"/>
              </w:rPr>
            </w:pP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479,937</w:t>
            </w:r>
          </w:p>
        </w:tc>
        <w:tc>
          <w:tcPr>
            <w:tcW w:w="80" w:type="dxa"/>
            <w:vAlign w:val="bottom"/>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100.0 %</w:t>
            </w:r>
          </w:p>
        </w:tc>
      </w:tr>
    </w:tbl>
    <w:p>
      <w:pPr>
        <w:spacing w:after="0" w:line="36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CRE loans are monitored through various processes that include payment monitoring, financial reporting, and covenant compliance monitoring, and annual reviews for larger relationships. Furthermore, construction loans are monitored throughout the life of the project and the construction loan administration function is centralized within the Credit Risk Management team. Monitoring the market conditions is also an important component of prudent CRE risk management. Quarterly construction progress reviews are also completed on all acquisition, construction &amp; development loans. For each loan, management reviews the adequacy of the construction budget, adequacy of the interest reserve, pace of construction, and review of any loan covenants.</w:t>
      </w:r>
    </w:p>
    <w:p>
      <w:pPr>
        <w:spacing w:after="0" w:line="1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The Bank believes its underwriting and monitoring standards for commercial real estate loans are sufficient to evaluate its loan portfolio and keep it from incurring significant losses. The largest concentration of the Bank’s commercial real estate loans are in Virginia (approximately 45.7%) and the Bank does not have significant exposure to any economic areas of the country that are underperforming the national economy. Additionally, the Bank’s overall exposure to the “Office Building / Condo” collateral type is 16.9% of total commercial real estate loans, including owner-occupied commercial real estate and acquisition, construction &amp; development. The Bank believes that the combined loan portfolio is well-diversified, generally seasoned, manageable, and will outperform the industry in terms of performance through the economic cycle; however, our underwriting, review, and monitoring cannot eliminate all of the risks related to these loans. For further discussion see </w:t>
      </w:r>
      <w:r>
        <w:rPr>
          <w:rFonts w:ascii="Times New Roman" w:cs="Times New Roman" w:eastAsia="Times New Roman" w:hAnsi="Times New Roman"/>
          <w:sz w:val="18"/>
          <w:szCs w:val="18"/>
          <w:u w:val="single" w:color="auto"/>
          <w:color w:val="0000FF"/>
        </w:rPr>
        <w:t>Part II, Item 1A. “Risk Factors”</w:t>
      </w:r>
      <w:r>
        <w:rPr>
          <w:rFonts w:ascii="Times New Roman" w:cs="Times New Roman" w:eastAsia="Times New Roman" w:hAnsi="Times New Roman"/>
          <w:sz w:val="18"/>
          <w:szCs w:val="18"/>
          <w:color w:val="auto"/>
        </w:rPr>
        <w:t>.</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2023 Banking Failures and Ensuing Banking Industry Liquidity Concerns</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response to the bank failures that occurred during March and May 2023 and the attendant stress on economic agents, including various financial markets, the Company took multiple proactive measures to mitigate any potential financial and operational impacts. Such measures included, but were not limited to:</w:t>
      </w:r>
    </w:p>
    <w:p>
      <w:pPr>
        <w:spacing w:after="0" w:line="122" w:lineRule="exact"/>
        <w:rPr>
          <w:sz w:val="20"/>
          <w:szCs w:val="20"/>
          <w:color w:val="auto"/>
        </w:rPr>
      </w:pPr>
    </w:p>
    <w:p>
      <w:pPr>
        <w:ind w:left="660" w:hanging="328"/>
        <w:spacing w:after="0" w:line="282"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dissemination of internal communication to inform the Board and employees of current events and the Company’s condition and desired market response;</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testing of available liquidity sources;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real-time analysis of our deposit composition and deposit concentrations;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assessment of our investment securities portfolio; and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stress testing of liquidity and capital metrics based on observed financial conditions with particular emphasis on the causes of such risk events.</w:t>
      </w:r>
    </w:p>
    <w:p>
      <w:pPr>
        <w:spacing w:after="0" w:line="17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For further discussion see </w:t>
      </w:r>
      <w:r>
        <w:rPr>
          <w:rFonts w:ascii="Times New Roman" w:cs="Times New Roman" w:eastAsia="Times New Roman" w:hAnsi="Times New Roman"/>
          <w:sz w:val="18"/>
          <w:szCs w:val="18"/>
          <w:u w:val="single" w:color="auto"/>
          <w:color w:val="0000FF"/>
        </w:rPr>
        <w:t>Part II, Item 1A. “Risk Factors”</w:t>
      </w:r>
      <w:r>
        <w:rPr>
          <w:rFonts w:ascii="Times New Roman" w:cs="Times New Roman" w:eastAsia="Times New Roman" w:hAnsi="Times New Roman"/>
          <w:sz w:val="18"/>
          <w:szCs w:val="18"/>
          <w:color w:val="auto"/>
        </w:rPr>
        <w:t xml:space="preserve">. The measures taken followed meetings convened by a subcommittee provided for in our Asset/Liability policy more fully described in </w:t>
      </w:r>
      <w:r>
        <w:rPr>
          <w:rFonts w:ascii="Times New Roman" w:cs="Times New Roman" w:eastAsia="Times New Roman" w:hAnsi="Times New Roman"/>
          <w:sz w:val="18"/>
          <w:szCs w:val="18"/>
          <w:u w:val="single" w:color="auto"/>
          <w:color w:val="0000FF"/>
        </w:rPr>
        <w:t>Item 3. — Quantitative and Qualitative Disclosures About Market Risk</w:t>
      </w:r>
      <w:r>
        <w:rPr>
          <w:rFonts w:ascii="Times New Roman" w:cs="Times New Roman" w:eastAsia="Times New Roman" w:hAnsi="Times New Roman"/>
          <w:sz w:val="18"/>
          <w:szCs w:val="18"/>
          <w:color w:val="auto"/>
        </w:rPr>
        <w:t>.</w:t>
      </w:r>
    </w:p>
    <w:p>
      <w:pPr>
        <w:spacing w:after="0" w:line="10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The Company’s key inputs and certain assumptions of the stress testing included, but were not limited to, uninsured deposits, deposit composition and deposit flows, borrowings and borrowing capacity, interest rate movements and sensitivity, unrealized losses in the investment securities portfolio, loan balances and loan demand, credit risks, and current allowances for credit losses. Results of the stress tests indicated capital levels that remained above the well capitalized regulatory ratios and liquidity metrics remained within internal policy guidelines. For additional information related to capital, see Notes to the Consolidated Financial Statements – </w:t>
      </w:r>
      <w:r>
        <w:rPr>
          <w:rFonts w:ascii="Times New Roman" w:cs="Times New Roman" w:eastAsia="Times New Roman" w:hAnsi="Times New Roman"/>
          <w:sz w:val="18"/>
          <w:szCs w:val="18"/>
          <w:u w:val="single" w:color="auto"/>
          <w:color w:val="0000FF"/>
        </w:rPr>
        <w:t>Note 8 — Regulatory Capital Matters</w:t>
      </w:r>
      <w:r>
        <w:rPr>
          <w:rFonts w:ascii="Times New Roman" w:cs="Times New Roman" w:eastAsia="Times New Roman" w:hAnsi="Times New Roman"/>
          <w:sz w:val="18"/>
          <w:szCs w:val="18"/>
          <w:color w:val="auto"/>
        </w:rPr>
        <w:t>. The Company intends to continue conducting such stress tests on a periodic basis.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 Management</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Liquidity is the ability of the Company to convert assets into cash or cash equivalents without significant loss and to raise additional funds by increasing liabilities. Liquidity management involves maintaining the Company’s ability to meet the day-to-day cash flow requirements of its customers, whether they are depositors wishing to withdraw funds or borrowers requiring funds to meet their credit needs. Without proper liquidity management, the Company would not be able to perform the primary function of a financial intermediary and would, therefore, not be able to meet the needs of the communities it serves.</w:t>
      </w:r>
    </w:p>
    <w:p>
      <w:pPr>
        <w:spacing w:after="0" w:line="1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assesses the need for liquidity in a variety of scenarios. Those scenarios may include projected growth, credit deterioration, deposit decay, interest rate changes, and a variety of other economic scenarios that can impact the liquidity position of the Company. These analyses are performed on a quarterly basis in conjunction with the Company’s Asset/Liability meetings, and findings are reported to the Asset/Liability Committee (the “ALCO”) and to the Board. From time to time, management may change the frequency of such testing or update certain inputs as a result of abnormal market conditions.</w:t>
      </w:r>
    </w:p>
    <w:p>
      <w:pPr>
        <w:spacing w:after="0" w:line="12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Findings, as a result of the Company’s prudent liquidity modeling, may result in the change of certain products offered to customers or adjust the way the Company manages its balance sheet. Such changes could include adjusting interest rates offered on certain deposit products, changes to interest rates charged in lending activities, or the suspension of certain products and activities altogether. Times of significant economic stress may cause the mix of funding to shift and increase the likelihood of changes to certain products in order to manage the Company’s overall liquidity and capital position.</w:t>
      </w:r>
    </w:p>
    <w:p>
      <w:pPr>
        <w:spacing w:after="0" w:line="12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asset portion of the balance sheet provides liquidity primarily through unencumbered securities available-for-sale, loan principal and interest payments, maturities and prepayments of investment securities, and, to a lesser extent, sales of investment securities available-for-sale. Other short-term investments available to the Company that could act as potential sources of liquidity are federal funds sold, securities purchased under agreements to resell, and maturing interest-bearing deposits with other banks.</w:t>
      </w:r>
    </w:p>
    <w:p>
      <w:pPr>
        <w:spacing w:after="0" w:line="12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liability portion of the balance sheet provides liquidity through interest-bearing and non-interest-bearing deposit accounts and through FHLB and other borrowings. Brokered deposits, federal funds purchased, securities sold under agreements to repurchase, and other short-term borrowings are additional sources of liquidity and basically represent the Company’s incremental borrowing capacity. These sources of liquidity are used as necessary to fund asset growth and meet short-term liquidity needs.</w:t>
      </w:r>
    </w:p>
    <w:p>
      <w:pPr>
        <w:spacing w:after="0" w:line="12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to the Company’s financial performance and condition, liquidity may be impacted by the Company’s structure as a financial holding company that is a separate legal entity from the Bank. The Company requires cash for various operating needs that could include payment of dividends to its shareholders, the servicing of debt, and the payment of general corporate expenses. The primary source of liquidity for the Company is dividends paid by the Bank. Applicable</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federal and state statutes and regulations impose restrictions on the amount of dividends that may be paid by the Bank. In addition to the formal statutes and regulations, regulatory authorities also consider the adequacy of the Bank’s total capital in relation to its assets, deposits, and other such items. Any future dividends must be set forth in the Company’s capital plans before any dividends can be paid.</w:t>
      </w:r>
    </w:p>
    <w:p>
      <w:pPr>
        <w:spacing w:after="0" w:line="12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Management believes that the current sources of liquidity are adequate to meet the Company’s requirements and plans for continued growth. See </w:t>
      </w:r>
      <w:r>
        <w:rPr>
          <w:rFonts w:ascii="Times New Roman" w:cs="Times New Roman" w:eastAsia="Times New Roman" w:hAnsi="Times New Roman"/>
          <w:sz w:val="18"/>
          <w:szCs w:val="18"/>
          <w:u w:val="single" w:color="auto"/>
          <w:color w:val="0000FF"/>
        </w:rPr>
        <w:t>Note 6 -</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Advances and Other Borrowings</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and</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u w:val="single" w:color="auto"/>
          <w:color w:val="0000FF"/>
        </w:rPr>
        <w:t>Note 10 - Commitments and Contingencies</w:t>
      </w:r>
      <w:r>
        <w:rPr>
          <w:rFonts w:ascii="Times New Roman" w:cs="Times New Roman" w:eastAsia="Times New Roman" w:hAnsi="Times New Roman"/>
          <w:sz w:val="18"/>
          <w:szCs w:val="18"/>
          <w:color w:val="000000"/>
        </w:rPr>
        <w:t>, in Notes to Consolidated Financial Statements for additional information</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regarding outstanding balances of sources of liquidity and contractual commitments and obligations.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Capital</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and the Bank are subject to various regulatory capital requirements administered by the federal banking agencies. Failure to meet minimum capital requirements can initiate certain mandatory and possible additional discretionary actions by regulators that, if undertaken, could have a direct material effect on the Company’s consolidated financial statements.</w:t>
      </w:r>
    </w:p>
    <w:p>
      <w:pPr>
        <w:spacing w:after="0" w:line="12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Applicable Basel III Capital Rules require the Company and the Bank to maintain minimum Common Equity Tier 1 (“CET 1”), Tier 1, and Total Capital ratios, along with a capital conservation buffer, effectively resulting in new minimum capital ratios. The capital conservation buffer is designed to absorb losses during periods of economic stress. Banking institutions with a ratio of CET 1 capital to risk-weighted assets above the minimum but below the conservation buffer (or below the combined capital conservation buffer and counter-cyclical capital buffer, when the latter is applied) will face constraints on dividends, equity repurchases, and compensation based on the amount of the shortfall. The Basel III Capital Rules also provide for a “counter-cyclical capital buffer” that is applicable to only certain covered institutions and does not have any current applicability to the Company or the Bank.</w:t>
      </w:r>
    </w:p>
    <w:p>
      <w:pPr>
        <w:spacing w:after="0" w:line="13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Under capital adequacy guidelines and the regulatory framework for “prompt corrective action”, the Company and the Bank must meet specific capital guidelines that involve quantitative measures of assets, liabilities, and certain off-balance sheet items as calculated under regulatory accounting practices. The capital amounts and classifications are also subject to qualitative judgments by the regulators about components, risk weightings, and other factors.</w:t>
      </w:r>
    </w:p>
    <w:p>
      <w:pPr>
        <w:spacing w:after="0" w:line="12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Additionally, federal banking laws require regulatory authorities to take “prompt corrective action” with respect to depository institutions that do not satisfy minimum capital requirements. The extent of these powers depends upon whether the institution in question is “well capitalized”, “adequately capitalized”, “undercapitalized”, “significantly undercapitalized”, or “critically undercapitalized”, as such terms are defined under federal banking agency regulations. Depository institutions that do not meet minimum capital requirements will face constraints on payment of dividends, equity repurchases, and compensation based on the amount of shortfall. A depository institution that is not “well capitalized” is generally prohibited from accepting brokered deposits and offering interest rates on deposits higher than the prevailing rate in its market, may be subject to asset growth limitations, and may be required to submit capital restoration plans.</w:t>
      </w:r>
    </w:p>
    <w:p>
      <w:pPr>
        <w:spacing w:after="0" w:line="13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As of June 30, 2024, and December 31, 2023, the Bank complied with all regulatory capital standards and qualifies as “well capitalized”. </w:t>
      </w:r>
      <w:r>
        <w:rPr>
          <w:rFonts w:ascii="Times New Roman" w:cs="Times New Roman" w:eastAsia="Times New Roman" w:hAnsi="Times New Roman"/>
          <w:sz w:val="18"/>
          <w:szCs w:val="18"/>
          <w:u w:val="single" w:color="auto"/>
          <w:color w:val="0000FF"/>
        </w:rPr>
        <w:t>Note 8 -</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Regulatory Capital Matters</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in Notes to Consolidated Financial Statements contains additional discussion and analysis regarding the Company and the</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Bank’s regulatory capital requirements.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Effects of Inflation</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majority of assets and liabilities of a financial institution are monetary in nature; therefore, a financial institution differs greatly from most commercial and industrial companies, which have significant investments in fixed assets or inventories that are greatly impacted by inflation. However, inflation does have an important impact on the growth of total assets in the banking industry and the resulting need to increase equity capital at higher-than-normal rates in order to maintain an appropriate equity-to-assets ratio. Inflation also affects other expenses that tend to rise during periods of general inflation.</w:t>
      </w:r>
    </w:p>
    <w:p>
      <w:pPr>
        <w:spacing w:after="0" w:line="12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Management believes the most significant potential impact of inflation on financial results is a direct result of the Company’s ability to manage the impact of changes in interest rates. Management attempts to maintain a balanced position between rate-sensitive assets and liabilities over an economic cycle in order to minimize the impact of interest rate</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fluctuations on net interest income. However, this goal can be difficult to completely achieve in times of rapidly changing interest rates and is one of many factors considered in determining the Company’s interest rate positioning.</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Key Factors Affecting Financial Performance</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face a variety of risks that may impact various aspects of our financial performance from time to time. The extent of such impacts may vary depending on factors such as the current business and economic conditions, political and regulatory environment, and operational challenges. Many of these risks and our risk management strategies are described in more detail elsewhere in this Report as well as with the audited consolidated financial statements and notes for the year ended December 31, 2023, included in our Form 10-K.</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success will depend upon, among other things, the following factors that we manage or control:</w:t>
      </w:r>
    </w:p>
    <w:p>
      <w:pPr>
        <w:spacing w:after="0" w:line="171" w:lineRule="exact"/>
        <w:rPr>
          <w:sz w:val="20"/>
          <w:szCs w:val="20"/>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Effectively managing capital and liquidity, including:</w:t>
      </w:r>
    </w:p>
    <w:p>
      <w:pPr>
        <w:spacing w:after="0" w:line="171"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Continuing to maintain and, over time, grow our deposit base as a low-cost stable funding source,</w:t>
      </w:r>
    </w:p>
    <w:p>
      <w:pPr>
        <w:spacing w:after="0" w:line="171"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Prudent liquidity and capital management to meet evolving regulatory capital, capital planning, stress testing, and liquidity standards, and</w:t>
      </w:r>
    </w:p>
    <w:p>
      <w:pPr>
        <w:spacing w:after="0" w:line="171"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Actions we take within the capital and other financial markets,</w:t>
      </w:r>
    </w:p>
    <w:p>
      <w:pPr>
        <w:spacing w:after="0" w:line="17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manage any material costs related to the execution of our strategic priorities, including increased employees, infrastructure, compliance, and other costs in a profitable manner over the long term,</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of credit risk and interest rate risk in our portfolio,</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manage and implement strategic business objectives within the changing regulatory environment,</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legal and regulatory-related contingencies,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appropriateness of critical accounting estimates and related contingencies,</w:t>
      </w:r>
    </w:p>
    <w:p>
      <w:pPr>
        <w:spacing w:after="0" w:line="17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manage operational risks related to new products and services, changes in processes and procedures, or the implementation of new technology,</w:t>
      </w:r>
    </w:p>
    <w:p>
      <w:pPr>
        <w:spacing w:after="0" w:line="107"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make investments to promote compliance with existing and evolving regulatory requirements that will increase as the Company grows and will result in increased administrative expenses that we did not previously incur, which costs may materially increase our general and administrative expenses, and</w:t>
      </w:r>
    </w:p>
    <w:p>
      <w:pPr>
        <w:spacing w:after="0" w:line="12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execute our strategic objectives, including successfully integrating Summit’s operations, people, and technology with ours, and continuing to efficiently satisfy the obligations associated with being a public company, all of which will require significant resources and management attention and may divert management’s attention from our business operations.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financial performance is also substantially affected by a number of external factors outside of our control, including the following:</w:t>
      </w:r>
    </w:p>
    <w:p>
      <w:pPr>
        <w:spacing w:after="0" w:line="171" w:lineRule="exact"/>
        <w:rPr>
          <w:sz w:val="20"/>
          <w:szCs w:val="20"/>
          <w:color w:val="auto"/>
        </w:rPr>
      </w:pPr>
    </w:p>
    <w:p>
      <w:pPr>
        <w:ind w:left="660" w:hanging="328"/>
        <w:spacing w:after="0" w:line="282"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conditions, including the length and extent of the economic impacts of events affecting the financial services market generally as well as pandemics and political instability and conflicts, and any actions taken to mitigate and manage such impacts,</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climate change on our business and performance, including indirectly through impacts on our customers,</w:t>
      </w:r>
    </w:p>
    <w:p>
      <w:pPr>
        <w:spacing w:after="0" w:line="17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actions by the Federal Reserve, U.S. Treasury, and other government agencies, including those that impact money supply and market interest rates and inflation,</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of, and direction, timing, and magnitude of movement in interest rates and the shape of the interest rate yield curve,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functioning and other performance of and availability of liquidity in U.S. and global financial markets, including capital markets,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tariffs and other trade policies of the U.S. and its global trading partners,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competitive landscape,</w:t>
      </w:r>
    </w:p>
    <w:p>
      <w:pPr>
        <w:spacing w:after="0" w:line="17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Impacts of changes in federal, state, and local governmental policy, including on the regulatory landscape, capital markets, taxes, infrastructure spending, and social programs,</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market credit spreads on asset valuations,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customers, counterparties, and issuers to perform in accordance with contractual terms and the resulting impact on our asset quality,</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Loan demand, utilization of credit commitments, and standby letters of credit,</w:t>
      </w:r>
    </w:p>
    <w:p>
      <w:pPr>
        <w:spacing w:after="0" w:line="17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on customers and changes in customer behavior due to changing business and economic conditions or regulatory or legislative initiatives,</w:t>
      </w:r>
    </w:p>
    <w:p>
      <w:pPr>
        <w:spacing w:after="0" w:line="107"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integrate into our operations Summit’s assets, liabilities, and systems, as well as new management personnel and customers, and our ability to realize related revenue synergies and cost savings within expected time frames and any goodwill charges related thereto.</w:t>
      </w:r>
    </w:p>
    <w:p>
      <w:pPr>
        <w:spacing w:after="0" w:line="12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 xml:space="preserve">The impact of these items, where material, is discussed in the applicable sections of this Management’s Discussion and Analysis of Financial Condition and Results of Operation. For additional information on the risks we face, see </w:t>
      </w:r>
      <w:r>
        <w:rPr>
          <w:rFonts w:ascii="Times New Roman" w:cs="Times New Roman" w:eastAsia="Times New Roman" w:hAnsi="Times New Roman"/>
          <w:sz w:val="18"/>
          <w:szCs w:val="18"/>
          <w:u w:val="single" w:color="auto"/>
          <w:color w:val="0000FF"/>
        </w:rPr>
        <w:t>Part II, Item 1A. - Risk Factors</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Selected Financial Data</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following table contains selected historical consolidated financial data as of the dates and for the periods shown. The selected balance sheet data as of June 30, 2024, and June 30, 2023, and the selected income statement data for the three months and six months ended June 30, 2024, and June 30, 2023, have been derived from our consolidated financial statements included elsewhere in this Form 10-Q and in other filings we have submitted with the SEC and should be read in conjunction with the other information contained in this Form 10-Q.</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0" w:type="dxa"/>
            <w:vAlign w:val="bottom"/>
            <w:gridSpan w:val="6"/>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As of the Three Months Ended June 30,</w:t>
            </w:r>
          </w:p>
        </w:tc>
        <w:tc>
          <w:tcPr>
            <w:tcW w:w="100" w:type="dxa"/>
            <w:vAlign w:val="bottom"/>
          </w:tcPr>
          <w:p>
            <w:pPr>
              <w:spacing w:after="0"/>
              <w:rPr>
                <w:sz w:val="18"/>
                <w:szCs w:val="18"/>
                <w:color w:val="auto"/>
              </w:rPr>
            </w:pPr>
          </w:p>
        </w:tc>
        <w:tc>
          <w:tcPr>
            <w:tcW w:w="3120" w:type="dxa"/>
            <w:vAlign w:val="bottom"/>
            <w:gridSpan w:val="4"/>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As of the Six Months Ended June 30,</w:t>
            </w:r>
          </w:p>
        </w:tc>
        <w:tc>
          <w:tcPr>
            <w:tcW w:w="0" w:type="dxa"/>
            <w:vAlign w:val="bottom"/>
          </w:tcPr>
          <w:p>
            <w:pPr>
              <w:spacing w:after="0"/>
              <w:rPr>
                <w:sz w:val="1"/>
                <w:szCs w:val="1"/>
                <w:color w:val="auto"/>
              </w:rPr>
            </w:pPr>
          </w:p>
        </w:tc>
      </w:tr>
      <w:tr>
        <w:trPr>
          <w:trHeight w:val="214"/>
        </w:trPr>
        <w:tc>
          <w:tcPr>
            <w:tcW w:w="470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(In thousands, except ratios, share and per share data)</w:t>
            </w:r>
          </w:p>
        </w:tc>
        <w:tc>
          <w:tcPr>
            <w:tcW w:w="12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2023</w:t>
            </w:r>
          </w:p>
        </w:tc>
        <w:tc>
          <w:tcPr>
            <w:tcW w:w="0" w:type="dxa"/>
            <w:vAlign w:val="bottom"/>
          </w:tcPr>
          <w:p>
            <w:pPr>
              <w:spacing w:after="0"/>
              <w:rPr>
                <w:sz w:val="1"/>
                <w:szCs w:val="1"/>
                <w:color w:val="auto"/>
              </w:rPr>
            </w:pPr>
          </w:p>
        </w:tc>
      </w:tr>
      <w:tr>
        <w:trPr>
          <w:trHeight w:val="211"/>
        </w:trPr>
        <w:tc>
          <w:tcPr>
            <w:tcW w:w="46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Selected Financial Condition Data:</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7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Total assets</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7,810,193</w:t>
            </w:r>
          </w:p>
        </w:tc>
        <w:tc>
          <w:tcPr>
            <w:tcW w:w="560" w:type="dxa"/>
            <w:vAlign w:val="bottom"/>
            <w:gridSpan w:val="3"/>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3,569,226</w:t>
            </w:r>
          </w:p>
        </w:tc>
        <w:tc>
          <w:tcPr>
            <w:tcW w:w="1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7,810,193</w:t>
            </w:r>
          </w:p>
        </w:tc>
        <w:tc>
          <w:tcPr>
            <w:tcW w:w="100" w:type="dxa"/>
            <w:vAlign w:val="bottom"/>
          </w:tcPr>
          <w:p>
            <w:pPr>
              <w:spacing w:after="0"/>
              <w:rPr>
                <w:sz w:val="18"/>
                <w:szCs w:val="18"/>
                <w:color w:val="auto"/>
              </w:rPr>
            </w:pP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3,569,226</w:t>
            </w:r>
          </w:p>
        </w:tc>
        <w:tc>
          <w:tcPr>
            <w:tcW w:w="0" w:type="dxa"/>
            <w:vAlign w:val="bottom"/>
          </w:tcPr>
          <w:p>
            <w:pPr>
              <w:spacing w:after="0"/>
              <w:rPr>
                <w:sz w:val="1"/>
                <w:szCs w:val="1"/>
                <w:color w:val="auto"/>
              </w:rPr>
            </w:pPr>
          </w:p>
        </w:tc>
      </w:tr>
      <w:tr>
        <w:trPr>
          <w:trHeight w:val="219"/>
        </w:trPr>
        <w:tc>
          <w:tcPr>
            <w:tcW w:w="4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cash and cash equivalents</w:t>
            </w: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211,920</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80,799</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211,920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80,799</w:t>
            </w:r>
          </w:p>
        </w:tc>
        <w:tc>
          <w:tcPr>
            <w:tcW w:w="0" w:type="dxa"/>
            <w:vAlign w:val="bottom"/>
          </w:tcPr>
          <w:p>
            <w:pPr>
              <w:spacing w:after="0"/>
              <w:rPr>
                <w:sz w:val="1"/>
                <w:szCs w:val="1"/>
                <w:color w:val="auto"/>
              </w:rPr>
            </w:pPr>
          </w:p>
        </w:tc>
      </w:tr>
      <w:tr>
        <w:trPr>
          <w:trHeight w:val="213"/>
        </w:trPr>
        <w:tc>
          <w:tcPr>
            <w:tcW w:w="47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Total investment securities, at fair value</w:t>
            </w:r>
          </w:p>
        </w:tc>
        <w:tc>
          <w:tcPr>
            <w:tcW w:w="120" w:type="dxa"/>
            <w:vAlign w:val="bottom"/>
          </w:tcPr>
          <w:p>
            <w:pPr>
              <w:spacing w:after="0"/>
              <w:rPr>
                <w:sz w:val="18"/>
                <w:szCs w:val="18"/>
                <w:color w:val="auto"/>
              </w:rPr>
            </w:pPr>
          </w:p>
        </w:tc>
        <w:tc>
          <w:tcPr>
            <w:tcW w:w="13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1,414,870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1,252,190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1,414,870</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1,252,190</w:t>
            </w:r>
          </w:p>
        </w:tc>
        <w:tc>
          <w:tcPr>
            <w:tcW w:w="0" w:type="dxa"/>
            <w:vAlign w:val="bottom"/>
          </w:tcPr>
          <w:p>
            <w:pPr>
              <w:spacing w:after="0"/>
              <w:rPr>
                <w:sz w:val="1"/>
                <w:szCs w:val="1"/>
                <w:color w:val="auto"/>
              </w:rPr>
            </w:pPr>
          </w:p>
        </w:tc>
      </w:tr>
      <w:tr>
        <w:trPr>
          <w:trHeight w:val="219"/>
        </w:trPr>
        <w:tc>
          <w:tcPr>
            <w:tcW w:w="4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loans</w:t>
            </w: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5,548,707</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1,975,050</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5,548,707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1,975,050</w:t>
            </w:r>
          </w:p>
        </w:tc>
        <w:tc>
          <w:tcPr>
            <w:tcW w:w="0" w:type="dxa"/>
            <w:vAlign w:val="bottom"/>
          </w:tcPr>
          <w:p>
            <w:pPr>
              <w:spacing w:after="0"/>
              <w:rPr>
                <w:sz w:val="1"/>
                <w:szCs w:val="1"/>
                <w:color w:val="auto"/>
              </w:rPr>
            </w:pPr>
          </w:p>
        </w:tc>
      </w:tr>
      <w:tr>
        <w:trPr>
          <w:trHeight w:val="213"/>
        </w:trPr>
        <w:tc>
          <w:tcPr>
            <w:tcW w:w="47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Company-owned life insurance</w:t>
            </w:r>
          </w:p>
        </w:tc>
        <w:tc>
          <w:tcPr>
            <w:tcW w:w="120" w:type="dxa"/>
            <w:vAlign w:val="bottom"/>
          </w:tcPr>
          <w:p>
            <w:pPr>
              <w:spacing w:after="0"/>
              <w:rPr>
                <w:sz w:val="18"/>
                <w:szCs w:val="18"/>
                <w:color w:val="auto"/>
              </w:rPr>
            </w:pPr>
          </w:p>
        </w:tc>
        <w:tc>
          <w:tcPr>
            <w:tcW w:w="13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182,112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93,625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182,112</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93,625</w:t>
            </w:r>
          </w:p>
        </w:tc>
        <w:tc>
          <w:tcPr>
            <w:tcW w:w="0" w:type="dxa"/>
            <w:vAlign w:val="bottom"/>
          </w:tcPr>
          <w:p>
            <w:pPr>
              <w:spacing w:after="0"/>
              <w:rPr>
                <w:sz w:val="1"/>
                <w:szCs w:val="1"/>
                <w:color w:val="auto"/>
              </w:rPr>
            </w:pPr>
          </w:p>
        </w:tc>
      </w:tr>
      <w:tr>
        <w:trPr>
          <w:trHeight w:val="219"/>
        </w:trPr>
        <w:tc>
          <w:tcPr>
            <w:tcW w:w="4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Premises and equipment, net</w:t>
            </w: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135,581</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56,183</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135,581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56,183</w:t>
            </w:r>
          </w:p>
        </w:tc>
        <w:tc>
          <w:tcPr>
            <w:tcW w:w="0" w:type="dxa"/>
            <w:vAlign w:val="bottom"/>
          </w:tcPr>
          <w:p>
            <w:pPr>
              <w:spacing w:after="0"/>
              <w:rPr>
                <w:sz w:val="1"/>
                <w:szCs w:val="1"/>
                <w:color w:val="auto"/>
              </w:rPr>
            </w:pPr>
          </w:p>
        </w:tc>
      </w:tr>
      <w:tr>
        <w:trPr>
          <w:trHeight w:val="213"/>
        </w:trPr>
        <w:tc>
          <w:tcPr>
            <w:tcW w:w="47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Total deposits</w:t>
            </w:r>
          </w:p>
        </w:tc>
        <w:tc>
          <w:tcPr>
            <w:tcW w:w="120" w:type="dxa"/>
            <w:vAlign w:val="bottom"/>
          </w:tcPr>
          <w:p>
            <w:pPr>
              <w:spacing w:after="0"/>
              <w:rPr>
                <w:sz w:val="18"/>
                <w:szCs w:val="18"/>
                <w:color w:val="auto"/>
              </w:rPr>
            </w:pPr>
          </w:p>
        </w:tc>
        <w:tc>
          <w:tcPr>
            <w:tcW w:w="13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6,639,571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3,005,263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6,639,571</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3,005,263</w:t>
            </w:r>
          </w:p>
        </w:tc>
        <w:tc>
          <w:tcPr>
            <w:tcW w:w="0" w:type="dxa"/>
            <w:vAlign w:val="bottom"/>
          </w:tcPr>
          <w:p>
            <w:pPr>
              <w:spacing w:after="0"/>
              <w:rPr>
                <w:sz w:val="1"/>
                <w:szCs w:val="1"/>
                <w:color w:val="auto"/>
              </w:rPr>
            </w:pPr>
          </w:p>
        </w:tc>
      </w:tr>
      <w:tr>
        <w:trPr>
          <w:trHeight w:val="219"/>
        </w:trPr>
        <w:tc>
          <w:tcPr>
            <w:tcW w:w="4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Advances and other borrowings</w:t>
            </w: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285,161</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249,000</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285,161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249,000</w:t>
            </w:r>
          </w:p>
        </w:tc>
        <w:tc>
          <w:tcPr>
            <w:tcW w:w="0" w:type="dxa"/>
            <w:vAlign w:val="bottom"/>
          </w:tcPr>
          <w:p>
            <w:pPr>
              <w:spacing w:after="0"/>
              <w:rPr>
                <w:sz w:val="1"/>
                <w:szCs w:val="1"/>
                <w:color w:val="auto"/>
              </w:rPr>
            </w:pPr>
          </w:p>
        </w:tc>
      </w:tr>
      <w:tr>
        <w:trPr>
          <w:trHeight w:val="213"/>
        </w:trPr>
        <w:tc>
          <w:tcPr>
            <w:tcW w:w="47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Total shareholders’ equity</w:t>
            </w:r>
          </w:p>
        </w:tc>
        <w:tc>
          <w:tcPr>
            <w:tcW w:w="120" w:type="dxa"/>
            <w:vAlign w:val="bottom"/>
          </w:tcPr>
          <w:p>
            <w:pPr>
              <w:spacing w:after="0"/>
              <w:rPr>
                <w:sz w:val="18"/>
                <w:szCs w:val="18"/>
                <w:color w:val="auto"/>
              </w:rPr>
            </w:pPr>
          </w:p>
        </w:tc>
        <w:tc>
          <w:tcPr>
            <w:tcW w:w="13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693,126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290,072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693,126</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290,072</w:t>
            </w:r>
          </w:p>
        </w:tc>
        <w:tc>
          <w:tcPr>
            <w:tcW w:w="0" w:type="dxa"/>
            <w:vAlign w:val="bottom"/>
          </w:tcPr>
          <w:p>
            <w:pPr>
              <w:spacing w:after="0"/>
              <w:rPr>
                <w:sz w:val="1"/>
                <w:szCs w:val="1"/>
                <w:color w:val="auto"/>
              </w:rPr>
            </w:pPr>
          </w:p>
        </w:tc>
      </w:tr>
      <w:tr>
        <w:trPr>
          <w:trHeight w:val="219"/>
        </w:trPr>
        <w:tc>
          <w:tcPr>
            <w:tcW w:w="4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Common shareholders’ equity</w:t>
            </w: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682,713</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290,072</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682,713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290,072</w:t>
            </w:r>
          </w:p>
        </w:tc>
        <w:tc>
          <w:tcPr>
            <w:tcW w:w="0" w:type="dxa"/>
            <w:vAlign w:val="bottom"/>
          </w:tcPr>
          <w:p>
            <w:pPr>
              <w:spacing w:after="0"/>
              <w:rPr>
                <w:sz w:val="1"/>
                <w:szCs w:val="1"/>
                <w:color w:val="auto"/>
              </w:rPr>
            </w:pPr>
          </w:p>
        </w:tc>
      </w:tr>
      <w:tr>
        <w:trPr>
          <w:trHeight w:val="270"/>
        </w:trPr>
        <w:tc>
          <w:tcPr>
            <w:tcW w:w="46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40" w:type="dxa"/>
            <w:vAlign w:val="bottom"/>
            <w:gridSpan w:val="2"/>
          </w:tcPr>
          <w:p>
            <w:pPr>
              <w:spacing w:after="0"/>
              <w:rPr>
                <w:sz w:val="23"/>
                <w:szCs w:val="23"/>
                <w:color w:val="auto"/>
              </w:rPr>
            </w:pPr>
          </w:p>
        </w:tc>
        <w:tc>
          <w:tcPr>
            <w:tcW w:w="100" w:type="dxa"/>
            <w:vAlign w:val="bottom"/>
          </w:tcPr>
          <w:p>
            <w:pPr>
              <w:spacing w:after="0"/>
              <w:rPr>
                <w:sz w:val="23"/>
                <w:szCs w:val="23"/>
                <w:color w:val="auto"/>
              </w:rPr>
            </w:pPr>
          </w:p>
        </w:tc>
        <w:tc>
          <w:tcPr>
            <w:tcW w:w="1560" w:type="dxa"/>
            <w:vAlign w:val="bottom"/>
            <w:gridSpan w:val="2"/>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62"/>
        </w:trPr>
        <w:tc>
          <w:tcPr>
            <w:tcW w:w="46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200" w:type="dxa"/>
            <w:vAlign w:val="bottom"/>
            <w:gridSpan w:val="6"/>
            <w:shd w:val="clear" w:color="auto" w:fill="CCEEFF"/>
          </w:tcPr>
          <w:p>
            <w:pPr>
              <w:jc w:val="center"/>
              <w:ind w:right="220"/>
              <w:spacing w:after="0" w:line="162" w:lineRule="exact"/>
              <w:rPr>
                <w:sz w:val="20"/>
                <w:szCs w:val="20"/>
                <w:color w:val="auto"/>
              </w:rPr>
            </w:pPr>
            <w:r>
              <w:rPr>
                <w:rFonts w:ascii="Times New Roman" w:cs="Times New Roman" w:eastAsia="Times New Roman" w:hAnsi="Times New Roman"/>
                <w:sz w:val="16"/>
                <w:szCs w:val="16"/>
                <w:b w:val="1"/>
                <w:bCs w:val="1"/>
                <w:color w:val="auto"/>
              </w:rPr>
              <w:t>As of or for the Three Months Ended June</w:t>
            </w:r>
          </w:p>
        </w:tc>
        <w:tc>
          <w:tcPr>
            <w:tcW w:w="100" w:type="dxa"/>
            <w:vAlign w:val="bottom"/>
            <w:shd w:val="clear" w:color="auto" w:fill="CCEEFF"/>
          </w:tcPr>
          <w:p>
            <w:pPr>
              <w:spacing w:after="0"/>
              <w:rPr>
                <w:sz w:val="14"/>
                <w:szCs w:val="14"/>
                <w:color w:val="auto"/>
              </w:rPr>
            </w:pPr>
          </w:p>
        </w:tc>
        <w:tc>
          <w:tcPr>
            <w:tcW w:w="3120" w:type="dxa"/>
            <w:vAlign w:val="bottom"/>
            <w:gridSpan w:val="4"/>
            <w:vMerge w:val="restart"/>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As of or for the Six Months Ended June 30,</w:t>
            </w:r>
          </w:p>
        </w:tc>
        <w:tc>
          <w:tcPr>
            <w:tcW w:w="0" w:type="dxa"/>
            <w:vAlign w:val="bottom"/>
          </w:tcPr>
          <w:p>
            <w:pPr>
              <w:spacing w:after="0"/>
              <w:rPr>
                <w:sz w:val="1"/>
                <w:szCs w:val="1"/>
                <w:color w:val="auto"/>
              </w:rPr>
            </w:pPr>
          </w:p>
        </w:tc>
      </w:tr>
      <w:tr>
        <w:trPr>
          <w:trHeight w:val="129"/>
        </w:trPr>
        <w:tc>
          <w:tcPr>
            <w:tcW w:w="4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340" w:type="dxa"/>
            <w:vAlign w:val="bottom"/>
            <w:shd w:val="clear" w:color="auto" w:fill="CCEEFF"/>
          </w:tcPr>
          <w:p>
            <w:pPr>
              <w:spacing w:after="0"/>
              <w:rPr>
                <w:sz w:val="11"/>
                <w:szCs w:val="11"/>
                <w:color w:val="auto"/>
              </w:rPr>
            </w:pPr>
          </w:p>
        </w:tc>
        <w:tc>
          <w:tcPr>
            <w:tcW w:w="560" w:type="dxa"/>
            <w:vAlign w:val="bottom"/>
            <w:gridSpan w:val="3"/>
            <w:vMerge w:val="restart"/>
            <w:shd w:val="clear" w:color="auto" w:fill="CCEEFF"/>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9"/>
              </w:rPr>
              <w:t>30,</w:t>
            </w:r>
          </w:p>
        </w:tc>
        <w:tc>
          <w:tcPr>
            <w:tcW w:w="1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120" w:type="dxa"/>
            <w:vAlign w:val="bottom"/>
            <w:gridSpan w:val="4"/>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85"/>
        </w:trPr>
        <w:tc>
          <w:tcPr>
            <w:tcW w:w="46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20" w:type="dxa"/>
            <w:vAlign w:val="bottom"/>
            <w:tcBorders>
              <w:bottom w:val="single" w:sz="8" w:color="auto"/>
            </w:tcBorders>
            <w:shd w:val="clear" w:color="auto" w:fill="CCEEFF"/>
          </w:tcPr>
          <w:p>
            <w:pPr>
              <w:spacing w:after="0"/>
              <w:rPr>
                <w:sz w:val="7"/>
                <w:szCs w:val="7"/>
                <w:color w:val="auto"/>
              </w:rPr>
            </w:pPr>
          </w:p>
        </w:tc>
        <w:tc>
          <w:tcPr>
            <w:tcW w:w="1340" w:type="dxa"/>
            <w:vAlign w:val="bottom"/>
            <w:tcBorders>
              <w:bottom w:val="single" w:sz="8" w:color="auto"/>
            </w:tcBorders>
            <w:shd w:val="clear" w:color="auto" w:fill="CCEEFF"/>
          </w:tcPr>
          <w:p>
            <w:pPr>
              <w:spacing w:after="0"/>
              <w:rPr>
                <w:sz w:val="7"/>
                <w:szCs w:val="7"/>
                <w:color w:val="auto"/>
              </w:rPr>
            </w:pPr>
          </w:p>
        </w:tc>
        <w:tc>
          <w:tcPr>
            <w:tcW w:w="560" w:type="dxa"/>
            <w:vAlign w:val="bottom"/>
            <w:tcBorders>
              <w:bottom w:val="single" w:sz="8" w:color="auto"/>
            </w:tcBorders>
            <w:gridSpan w:val="3"/>
            <w:vMerge w:val="continue"/>
            <w:shd w:val="clear" w:color="auto" w:fill="CCEEFF"/>
          </w:tcPr>
          <w:p>
            <w:pPr>
              <w:spacing w:after="0"/>
              <w:rPr>
                <w:sz w:val="7"/>
                <w:szCs w:val="7"/>
                <w:color w:val="auto"/>
              </w:rPr>
            </w:pPr>
          </w:p>
        </w:tc>
        <w:tc>
          <w:tcPr>
            <w:tcW w:w="1200" w:type="dxa"/>
            <w:vAlign w:val="bottom"/>
            <w:tcBorders>
              <w:bottom w:val="single" w:sz="8" w:color="auto"/>
            </w:tcBorders>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00" w:type="dxa"/>
            <w:vAlign w:val="bottom"/>
            <w:tcBorders>
              <w:bottom w:val="single" w:sz="8" w:color="auto"/>
            </w:tcBorders>
            <w:shd w:val="clear" w:color="auto" w:fill="CCEEFF"/>
          </w:tcPr>
          <w:p>
            <w:pPr>
              <w:spacing w:after="0"/>
              <w:rPr>
                <w:sz w:val="7"/>
                <w:szCs w:val="7"/>
                <w:color w:val="auto"/>
              </w:rPr>
            </w:pPr>
          </w:p>
        </w:tc>
        <w:tc>
          <w:tcPr>
            <w:tcW w:w="1460" w:type="dxa"/>
            <w:vAlign w:val="bottom"/>
            <w:tcBorders>
              <w:bottom w:val="single" w:sz="8" w:color="auto"/>
            </w:tcBorders>
            <w:shd w:val="clear" w:color="auto" w:fill="CCEEFF"/>
          </w:tcPr>
          <w:p>
            <w:pPr>
              <w:spacing w:after="0"/>
              <w:rPr>
                <w:sz w:val="7"/>
                <w:szCs w:val="7"/>
                <w:color w:val="auto"/>
              </w:rPr>
            </w:pPr>
          </w:p>
        </w:tc>
        <w:tc>
          <w:tcPr>
            <w:tcW w:w="100" w:type="dxa"/>
            <w:vAlign w:val="bottom"/>
            <w:tcBorders>
              <w:bottom w:val="single" w:sz="8" w:color="auto"/>
            </w:tcBorders>
            <w:shd w:val="clear" w:color="auto" w:fill="CCEEFF"/>
          </w:tcPr>
          <w:p>
            <w:pPr>
              <w:spacing w:after="0"/>
              <w:rPr>
                <w:sz w:val="7"/>
                <w:szCs w:val="7"/>
                <w:color w:val="auto"/>
              </w:rPr>
            </w:pPr>
          </w:p>
        </w:tc>
        <w:tc>
          <w:tcPr>
            <w:tcW w:w="360" w:type="dxa"/>
            <w:vAlign w:val="bottom"/>
            <w:tcBorders>
              <w:bottom w:val="single" w:sz="8" w:color="auto"/>
            </w:tcBorders>
            <w:shd w:val="clear" w:color="auto" w:fill="CCEEFF"/>
          </w:tcPr>
          <w:p>
            <w:pPr>
              <w:spacing w:after="0"/>
              <w:rPr>
                <w:sz w:val="7"/>
                <w:szCs w:val="7"/>
                <w:color w:val="auto"/>
              </w:rPr>
            </w:pPr>
          </w:p>
        </w:tc>
        <w:tc>
          <w:tcPr>
            <w:tcW w:w="1200" w:type="dxa"/>
            <w:vAlign w:val="bottom"/>
            <w:tcBorders>
              <w:bottom w:val="single" w:sz="8" w:color="auto"/>
            </w:tcBorders>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10"/>
        </w:trPr>
        <w:tc>
          <w:tcPr>
            <w:tcW w:w="46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2023</w:t>
            </w:r>
          </w:p>
        </w:tc>
        <w:tc>
          <w:tcPr>
            <w:tcW w:w="0" w:type="dxa"/>
            <w:vAlign w:val="bottom"/>
          </w:tcPr>
          <w:p>
            <w:pPr>
              <w:spacing w:after="0"/>
              <w:rPr>
                <w:sz w:val="1"/>
                <w:szCs w:val="1"/>
                <w:color w:val="auto"/>
              </w:rPr>
            </w:pPr>
          </w:p>
        </w:tc>
      </w:tr>
      <w:tr>
        <w:trPr>
          <w:trHeight w:val="198"/>
        </w:trPr>
        <w:tc>
          <w:tcPr>
            <w:tcW w:w="4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Selected Operating Data:</w:t>
            </w:r>
          </w:p>
        </w:tc>
        <w:tc>
          <w:tcPr>
            <w:tcW w:w="12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47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Interest income</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96,097</w:t>
            </w:r>
          </w:p>
        </w:tc>
        <w:tc>
          <w:tcPr>
            <w:tcW w:w="560" w:type="dxa"/>
            <w:vAlign w:val="bottom"/>
            <w:gridSpan w:val="3"/>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37,116</w:t>
            </w:r>
          </w:p>
        </w:tc>
        <w:tc>
          <w:tcPr>
            <w:tcW w:w="1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134,842</w:t>
            </w:r>
          </w:p>
        </w:tc>
        <w:tc>
          <w:tcPr>
            <w:tcW w:w="100" w:type="dxa"/>
            <w:vAlign w:val="bottom"/>
          </w:tcPr>
          <w:p>
            <w:pPr>
              <w:spacing w:after="0"/>
              <w:rPr>
                <w:sz w:val="18"/>
                <w:szCs w:val="18"/>
                <w:color w:val="auto"/>
              </w:rPr>
            </w:pP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71,444</w:t>
            </w:r>
          </w:p>
        </w:tc>
        <w:tc>
          <w:tcPr>
            <w:tcW w:w="0" w:type="dxa"/>
            <w:vAlign w:val="bottom"/>
          </w:tcPr>
          <w:p>
            <w:pPr>
              <w:spacing w:after="0"/>
              <w:rPr>
                <w:sz w:val="1"/>
                <w:szCs w:val="1"/>
                <w:color w:val="auto"/>
              </w:rPr>
            </w:pPr>
          </w:p>
        </w:tc>
      </w:tr>
      <w:tr>
        <w:trPr>
          <w:trHeight w:val="219"/>
        </w:trPr>
        <w:tc>
          <w:tcPr>
            <w:tcW w:w="4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expense</w:t>
            </w: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36,332</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13,324</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52,946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22,878</w:t>
            </w:r>
          </w:p>
        </w:tc>
        <w:tc>
          <w:tcPr>
            <w:tcW w:w="0" w:type="dxa"/>
            <w:vAlign w:val="bottom"/>
          </w:tcPr>
          <w:p>
            <w:pPr>
              <w:spacing w:after="0"/>
              <w:rPr>
                <w:sz w:val="1"/>
                <w:szCs w:val="1"/>
                <w:color w:val="auto"/>
              </w:rPr>
            </w:pPr>
          </w:p>
        </w:tc>
      </w:tr>
      <w:tr>
        <w:trPr>
          <w:trHeight w:val="213"/>
        </w:trPr>
        <w:tc>
          <w:tcPr>
            <w:tcW w:w="47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Net interest income</w:t>
            </w:r>
          </w:p>
        </w:tc>
        <w:tc>
          <w:tcPr>
            <w:tcW w:w="120" w:type="dxa"/>
            <w:vAlign w:val="bottom"/>
          </w:tcPr>
          <w:p>
            <w:pPr>
              <w:spacing w:after="0"/>
              <w:rPr>
                <w:sz w:val="18"/>
                <w:szCs w:val="18"/>
                <w:color w:val="auto"/>
              </w:rPr>
            </w:pPr>
          </w:p>
        </w:tc>
        <w:tc>
          <w:tcPr>
            <w:tcW w:w="13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59,765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23,792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81,896</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48,566</w:t>
            </w:r>
          </w:p>
        </w:tc>
        <w:tc>
          <w:tcPr>
            <w:tcW w:w="0" w:type="dxa"/>
            <w:vAlign w:val="bottom"/>
          </w:tcPr>
          <w:p>
            <w:pPr>
              <w:spacing w:after="0"/>
              <w:rPr>
                <w:sz w:val="1"/>
                <w:szCs w:val="1"/>
                <w:color w:val="auto"/>
              </w:rPr>
            </w:pPr>
          </w:p>
        </w:tc>
      </w:tr>
      <w:tr>
        <w:trPr>
          <w:trHeight w:val="219"/>
        </w:trPr>
        <w:tc>
          <w:tcPr>
            <w:tcW w:w="4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Provision for (recapture of) credit losses</w:t>
            </w: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23,910</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214</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23,240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729</w:t>
            </w:r>
          </w:p>
        </w:tc>
        <w:tc>
          <w:tcPr>
            <w:tcW w:w="0" w:type="dxa"/>
            <w:vAlign w:val="bottom"/>
          </w:tcPr>
          <w:p>
            <w:pPr>
              <w:spacing w:after="0"/>
              <w:rPr>
                <w:sz w:val="1"/>
                <w:szCs w:val="1"/>
                <w:color w:val="auto"/>
              </w:rPr>
            </w:pPr>
          </w:p>
        </w:tc>
      </w:tr>
      <w:tr>
        <w:trPr>
          <w:trHeight w:val="213"/>
        </w:trPr>
        <w:tc>
          <w:tcPr>
            <w:tcW w:w="47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Total non-interest income</w:t>
            </w:r>
          </w:p>
        </w:tc>
        <w:tc>
          <w:tcPr>
            <w:tcW w:w="120" w:type="dxa"/>
            <w:vAlign w:val="bottom"/>
          </w:tcPr>
          <w:p>
            <w:pPr>
              <w:spacing w:after="0"/>
              <w:rPr>
                <w:sz w:val="18"/>
                <w:szCs w:val="18"/>
                <w:color w:val="auto"/>
              </w:rPr>
            </w:pPr>
          </w:p>
        </w:tc>
        <w:tc>
          <w:tcPr>
            <w:tcW w:w="13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9,505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4,625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13,759</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8,839</w:t>
            </w:r>
          </w:p>
        </w:tc>
        <w:tc>
          <w:tcPr>
            <w:tcW w:w="0" w:type="dxa"/>
            <w:vAlign w:val="bottom"/>
          </w:tcPr>
          <w:p>
            <w:pPr>
              <w:spacing w:after="0"/>
              <w:rPr>
                <w:sz w:val="1"/>
                <w:szCs w:val="1"/>
                <w:color w:val="auto"/>
              </w:rPr>
            </w:pPr>
          </w:p>
        </w:tc>
      </w:tr>
      <w:tr>
        <w:trPr>
          <w:trHeight w:val="219"/>
        </w:trPr>
        <w:tc>
          <w:tcPr>
            <w:tcW w:w="4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non-interest expenses</w:t>
            </w: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64,432</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21,348</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85,597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41,713</w:t>
            </w:r>
          </w:p>
        </w:tc>
        <w:tc>
          <w:tcPr>
            <w:tcW w:w="0" w:type="dxa"/>
            <w:vAlign w:val="bottom"/>
          </w:tcPr>
          <w:p>
            <w:pPr>
              <w:spacing w:after="0"/>
              <w:rPr>
                <w:sz w:val="1"/>
                <w:szCs w:val="1"/>
                <w:color w:val="auto"/>
              </w:rPr>
            </w:pPr>
          </w:p>
        </w:tc>
      </w:tr>
      <w:tr>
        <w:trPr>
          <w:trHeight w:val="213"/>
        </w:trPr>
        <w:tc>
          <w:tcPr>
            <w:tcW w:w="47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Income (loss) before income taxes</w:t>
            </w:r>
          </w:p>
        </w:tc>
        <w:tc>
          <w:tcPr>
            <w:tcW w:w="1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(19,072)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6,855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(13,182)</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14,963</w:t>
            </w:r>
          </w:p>
        </w:tc>
        <w:tc>
          <w:tcPr>
            <w:tcW w:w="0" w:type="dxa"/>
            <w:vAlign w:val="bottom"/>
          </w:tcPr>
          <w:p>
            <w:pPr>
              <w:spacing w:after="0"/>
              <w:rPr>
                <w:sz w:val="1"/>
                <w:szCs w:val="1"/>
                <w:color w:val="auto"/>
              </w:rPr>
            </w:pPr>
          </w:p>
        </w:tc>
      </w:tr>
      <w:tr>
        <w:trPr>
          <w:trHeight w:val="219"/>
        </w:trPr>
        <w:tc>
          <w:tcPr>
            <w:tcW w:w="4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tax expense (benefit)</w:t>
            </w: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(2,153)</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821</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(1,475)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1,405</w:t>
            </w:r>
          </w:p>
        </w:tc>
        <w:tc>
          <w:tcPr>
            <w:tcW w:w="0" w:type="dxa"/>
            <w:vAlign w:val="bottom"/>
          </w:tcPr>
          <w:p>
            <w:pPr>
              <w:spacing w:after="0"/>
              <w:rPr>
                <w:sz w:val="1"/>
                <w:szCs w:val="1"/>
                <w:color w:val="auto"/>
              </w:rPr>
            </w:pPr>
          </w:p>
        </w:tc>
      </w:tr>
      <w:tr>
        <w:trPr>
          <w:trHeight w:val="213"/>
        </w:trPr>
        <w:tc>
          <w:tcPr>
            <w:tcW w:w="47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Preferred stock dividends</w:t>
            </w:r>
          </w:p>
        </w:tc>
        <w:tc>
          <w:tcPr>
            <w:tcW w:w="120" w:type="dxa"/>
            <w:vAlign w:val="bottom"/>
          </w:tcPr>
          <w:p>
            <w:pPr>
              <w:spacing w:after="0"/>
              <w:rPr>
                <w:sz w:val="18"/>
                <w:szCs w:val="18"/>
                <w:color w:val="auto"/>
              </w:rPr>
            </w:pPr>
          </w:p>
        </w:tc>
        <w:tc>
          <w:tcPr>
            <w:tcW w:w="13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225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4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225</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4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 (loss) applicable to common shares</w:t>
            </w: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(17,144)</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6,034</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(11,932)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13,558</w:t>
            </w:r>
          </w:p>
        </w:tc>
        <w:tc>
          <w:tcPr>
            <w:tcW w:w="0" w:type="dxa"/>
            <w:vAlign w:val="bottom"/>
          </w:tcPr>
          <w:p>
            <w:pPr>
              <w:spacing w:after="0"/>
              <w:rPr>
                <w:sz w:val="1"/>
                <w:szCs w:val="1"/>
                <w:color w:val="auto"/>
              </w:rPr>
            </w:pPr>
          </w:p>
        </w:tc>
      </w:tr>
      <w:tr>
        <w:trPr>
          <w:trHeight w:val="270"/>
        </w:trPr>
        <w:tc>
          <w:tcPr>
            <w:tcW w:w="46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4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Per Share Data:</w:t>
            </w: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7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Average shares of common stock outstanding, basic</w:t>
            </w:r>
          </w:p>
        </w:tc>
        <w:tc>
          <w:tcPr>
            <w:tcW w:w="120" w:type="dxa"/>
            <w:vAlign w:val="bottom"/>
          </w:tcPr>
          <w:p>
            <w:pPr>
              <w:spacing w:after="0"/>
              <w:rPr>
                <w:sz w:val="18"/>
                <w:szCs w:val="18"/>
                <w:color w:val="auto"/>
              </w:rPr>
            </w:pPr>
          </w:p>
        </w:tc>
        <w:tc>
          <w:tcPr>
            <w:tcW w:w="13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12,174,169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7,428,079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9,803,684</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7,427,363</w:t>
            </w:r>
          </w:p>
        </w:tc>
        <w:tc>
          <w:tcPr>
            <w:tcW w:w="0" w:type="dxa"/>
            <w:vAlign w:val="bottom"/>
          </w:tcPr>
          <w:p>
            <w:pPr>
              <w:spacing w:after="0"/>
              <w:rPr>
                <w:sz w:val="1"/>
                <w:szCs w:val="1"/>
                <w:color w:val="auto"/>
              </w:rPr>
            </w:pPr>
          </w:p>
        </w:tc>
      </w:tr>
      <w:tr>
        <w:trPr>
          <w:trHeight w:val="219"/>
        </w:trPr>
        <w:tc>
          <w:tcPr>
            <w:tcW w:w="4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Average shares of common stock outstanding, diluted</w:t>
            </w: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12,174,169</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7,514,955</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9,803,684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7,509,831</w:t>
            </w:r>
          </w:p>
        </w:tc>
        <w:tc>
          <w:tcPr>
            <w:tcW w:w="0" w:type="dxa"/>
            <w:vAlign w:val="bottom"/>
          </w:tcPr>
          <w:p>
            <w:pPr>
              <w:spacing w:after="0"/>
              <w:rPr>
                <w:sz w:val="1"/>
                <w:szCs w:val="1"/>
                <w:color w:val="auto"/>
              </w:rPr>
            </w:pPr>
          </w:p>
        </w:tc>
      </w:tr>
      <w:tr>
        <w:trPr>
          <w:trHeight w:val="213"/>
        </w:trPr>
        <w:tc>
          <w:tcPr>
            <w:tcW w:w="47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Total shares of common stock outstanding</w:t>
            </w:r>
          </w:p>
        </w:tc>
        <w:tc>
          <w:tcPr>
            <w:tcW w:w="120" w:type="dxa"/>
            <w:vAlign w:val="bottom"/>
          </w:tcPr>
          <w:p>
            <w:pPr>
              <w:spacing w:after="0"/>
              <w:rPr>
                <w:sz w:val="18"/>
                <w:szCs w:val="18"/>
                <w:color w:val="auto"/>
              </w:rPr>
            </w:pPr>
          </w:p>
        </w:tc>
        <w:tc>
          <w:tcPr>
            <w:tcW w:w="13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14,932,169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7,428,710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14,932,169</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7,428,710</w:t>
            </w:r>
          </w:p>
        </w:tc>
        <w:tc>
          <w:tcPr>
            <w:tcW w:w="0" w:type="dxa"/>
            <w:vAlign w:val="bottom"/>
          </w:tcPr>
          <w:p>
            <w:pPr>
              <w:spacing w:after="0"/>
              <w:rPr>
                <w:sz w:val="1"/>
                <w:szCs w:val="1"/>
                <w:color w:val="auto"/>
              </w:rPr>
            </w:pPr>
          </w:p>
        </w:tc>
      </w:tr>
      <w:tr>
        <w:trPr>
          <w:trHeight w:val="219"/>
        </w:trPr>
        <w:tc>
          <w:tcPr>
            <w:tcW w:w="4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Basic net income (loss) per common share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(1.41)</w:t>
            </w:r>
          </w:p>
        </w:tc>
        <w:tc>
          <w:tcPr>
            <w:tcW w:w="56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0.81</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(1.22)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1.82</w:t>
            </w:r>
          </w:p>
        </w:tc>
        <w:tc>
          <w:tcPr>
            <w:tcW w:w="0" w:type="dxa"/>
            <w:vAlign w:val="bottom"/>
          </w:tcPr>
          <w:p>
            <w:pPr>
              <w:spacing w:after="0"/>
              <w:rPr>
                <w:sz w:val="1"/>
                <w:szCs w:val="1"/>
                <w:color w:val="auto"/>
              </w:rPr>
            </w:pPr>
          </w:p>
        </w:tc>
      </w:tr>
      <w:tr>
        <w:trPr>
          <w:trHeight w:val="213"/>
        </w:trPr>
        <w:tc>
          <w:tcPr>
            <w:tcW w:w="47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Diluted net income (loss) per common share</w:t>
            </w:r>
          </w:p>
        </w:tc>
        <w:tc>
          <w:tcPr>
            <w:tcW w:w="1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0.80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(1.22)</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1.80</w:t>
            </w:r>
          </w:p>
        </w:tc>
        <w:tc>
          <w:tcPr>
            <w:tcW w:w="0" w:type="dxa"/>
            <w:vAlign w:val="bottom"/>
          </w:tcPr>
          <w:p>
            <w:pPr>
              <w:spacing w:after="0"/>
              <w:rPr>
                <w:sz w:val="1"/>
                <w:szCs w:val="1"/>
                <w:color w:val="auto"/>
              </w:rPr>
            </w:pPr>
          </w:p>
        </w:tc>
      </w:tr>
      <w:tr>
        <w:trPr>
          <w:trHeight w:val="219"/>
        </w:trPr>
        <w:tc>
          <w:tcPr>
            <w:tcW w:w="4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Dividends declared per common share</w:t>
            </w: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0.53</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0.53</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1.06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1.06</w:t>
            </w:r>
          </w:p>
        </w:tc>
        <w:tc>
          <w:tcPr>
            <w:tcW w:w="0" w:type="dxa"/>
            <w:vAlign w:val="bottom"/>
          </w:tcPr>
          <w:p>
            <w:pPr>
              <w:spacing w:after="0"/>
              <w:rPr>
                <w:sz w:val="1"/>
                <w:szCs w:val="1"/>
                <w:color w:val="auto"/>
              </w:rPr>
            </w:pPr>
          </w:p>
        </w:tc>
      </w:tr>
      <w:tr>
        <w:trPr>
          <w:trHeight w:val="216"/>
        </w:trPr>
        <w:tc>
          <w:tcPr>
            <w:tcW w:w="4700" w:type="dxa"/>
            <w:vAlign w:val="bottom"/>
            <w:gridSpan w:val="2"/>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Common stock dividend payout ratio </w:t>
            </w:r>
            <w:r>
              <w:rPr>
                <w:rFonts w:ascii="Times New Roman" w:cs="Times New Roman" w:eastAsia="Times New Roman" w:hAnsi="Times New Roman"/>
                <w:sz w:val="21"/>
                <w:szCs w:val="21"/>
                <w:color w:val="auto"/>
                <w:vertAlign w:val="superscript"/>
              </w:rPr>
              <w:t>(1)</w:t>
            </w:r>
          </w:p>
        </w:tc>
        <w:tc>
          <w:tcPr>
            <w:tcW w:w="120" w:type="dxa"/>
            <w:vAlign w:val="bottom"/>
          </w:tcPr>
          <w:p>
            <w:pPr>
              <w:spacing w:after="0"/>
              <w:rPr>
                <w:sz w:val="18"/>
                <w:szCs w:val="18"/>
                <w:color w:val="auto"/>
              </w:rPr>
            </w:pP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(37.59)%</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66.25 %</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(86.89)%</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58.89 %</w:t>
            </w:r>
          </w:p>
        </w:tc>
        <w:tc>
          <w:tcPr>
            <w:tcW w:w="0" w:type="dxa"/>
            <w:vAlign w:val="bottom"/>
          </w:tcPr>
          <w:p>
            <w:pPr>
              <w:spacing w:after="0"/>
              <w:rPr>
                <w:sz w:val="1"/>
                <w:szCs w:val="1"/>
                <w:color w:val="auto"/>
              </w:rPr>
            </w:pPr>
          </w:p>
        </w:tc>
      </w:tr>
      <w:tr>
        <w:trPr>
          <w:trHeight w:val="216"/>
        </w:trPr>
        <w:tc>
          <w:tcPr>
            <w:tcW w:w="4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Book value per common share (at period end)</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45.72</w:t>
            </w:r>
          </w:p>
        </w:tc>
        <w:tc>
          <w:tcPr>
            <w:tcW w:w="56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39.05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45.72</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39.05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740" w:type="dxa"/>
            <w:vAlign w:val="bottom"/>
          </w:tcPr>
          <w:p>
            <w:pPr>
              <w:spacing w:after="0"/>
              <w:rPr>
                <w:sz w:val="16"/>
                <w:szCs w:val="16"/>
                <w:color w:val="auto"/>
              </w:rPr>
            </w:pPr>
          </w:p>
        </w:tc>
        <w:tc>
          <w:tcPr>
            <w:tcW w:w="3300" w:type="dxa"/>
            <w:vAlign w:val="bottom"/>
            <w:gridSpan w:val="5"/>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As of or for the Three Months Ended June</w:t>
            </w:r>
          </w:p>
        </w:tc>
        <w:tc>
          <w:tcPr>
            <w:tcW w:w="3200" w:type="dxa"/>
            <w:vAlign w:val="bottom"/>
            <w:gridSpan w:val="3"/>
            <w:vMerge w:val="restart"/>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As of or for the Six Months Ended June 30,</w:t>
            </w:r>
          </w:p>
        </w:tc>
        <w:tc>
          <w:tcPr>
            <w:tcW w:w="0" w:type="dxa"/>
            <w:vAlign w:val="bottom"/>
          </w:tcPr>
          <w:p>
            <w:pPr>
              <w:spacing w:after="0"/>
              <w:rPr>
                <w:sz w:val="1"/>
                <w:szCs w:val="1"/>
                <w:color w:val="auto"/>
              </w:rPr>
            </w:pPr>
          </w:p>
        </w:tc>
      </w:tr>
      <w:tr>
        <w:trPr>
          <w:trHeight w:val="129"/>
        </w:trPr>
        <w:tc>
          <w:tcPr>
            <w:tcW w:w="4740" w:type="dxa"/>
            <w:vAlign w:val="bottom"/>
          </w:tcPr>
          <w:p>
            <w:pPr>
              <w:spacing w:after="0"/>
              <w:rPr>
                <w:sz w:val="11"/>
                <w:szCs w:val="11"/>
                <w:color w:val="auto"/>
              </w:rPr>
            </w:pPr>
          </w:p>
        </w:tc>
        <w:tc>
          <w:tcPr>
            <w:tcW w:w="1980" w:type="dxa"/>
            <w:vAlign w:val="bottom"/>
            <w:gridSpan w:val="3"/>
            <w:vMerge w:val="restart"/>
          </w:tcPr>
          <w:p>
            <w:pPr>
              <w:jc w:val="right"/>
              <w:ind w:right="280"/>
              <w:spacing w:after="0"/>
              <w:rPr>
                <w:sz w:val="20"/>
                <w:szCs w:val="20"/>
                <w:color w:val="auto"/>
              </w:rPr>
            </w:pPr>
            <w:r>
              <w:rPr>
                <w:rFonts w:ascii="Times New Roman" w:cs="Times New Roman" w:eastAsia="Times New Roman" w:hAnsi="Times New Roman"/>
                <w:sz w:val="16"/>
                <w:szCs w:val="16"/>
                <w:b w:val="1"/>
                <w:bCs w:val="1"/>
                <w:color w:val="auto"/>
              </w:rPr>
              <w:t>30,</w:t>
            </w:r>
          </w:p>
        </w:tc>
        <w:tc>
          <w:tcPr>
            <w:tcW w:w="1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5"/>
        </w:trPr>
        <w:tc>
          <w:tcPr>
            <w:tcW w:w="4740" w:type="dxa"/>
            <w:vAlign w:val="bottom"/>
          </w:tcPr>
          <w:p>
            <w:pPr>
              <w:spacing w:after="0"/>
              <w:rPr>
                <w:sz w:val="7"/>
                <w:szCs w:val="7"/>
                <w:color w:val="auto"/>
              </w:rPr>
            </w:pPr>
          </w:p>
        </w:tc>
        <w:tc>
          <w:tcPr>
            <w:tcW w:w="1980" w:type="dxa"/>
            <w:vAlign w:val="bottom"/>
            <w:tcBorders>
              <w:bottom w:val="single" w:sz="8" w:color="auto"/>
            </w:tcBorders>
            <w:gridSpan w:val="3"/>
            <w:vMerge w:val="continue"/>
          </w:tcPr>
          <w:p>
            <w:pPr>
              <w:spacing w:after="0"/>
              <w:rPr>
                <w:sz w:val="7"/>
                <w:szCs w:val="7"/>
                <w:color w:val="auto"/>
              </w:rPr>
            </w:pPr>
          </w:p>
        </w:tc>
        <w:tc>
          <w:tcPr>
            <w:tcW w:w="1220" w:type="dxa"/>
            <w:vAlign w:val="bottom"/>
            <w:tcBorders>
              <w:bottom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156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156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9"/>
        </w:trPr>
        <w:tc>
          <w:tcPr>
            <w:tcW w:w="4740" w:type="dxa"/>
            <w:vAlign w:val="bottom"/>
            <w:tcBorders>
              <w:bottom w:val="single" w:sz="8" w:color="CCEEFF"/>
            </w:tcBorders>
          </w:tcPr>
          <w:p>
            <w:pPr>
              <w:spacing w:after="0"/>
              <w:rPr>
                <w:sz w:val="18"/>
                <w:szCs w:val="18"/>
                <w:color w:val="auto"/>
              </w:rPr>
            </w:pPr>
          </w:p>
        </w:tc>
        <w:tc>
          <w:tcPr>
            <w:tcW w:w="1560" w:type="dxa"/>
            <w:vAlign w:val="bottom"/>
            <w:tcBorders>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1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bottom w:val="single" w:sz="8" w:color="CCEEFF"/>
            </w:tcBorders>
          </w:tcPr>
          <w:p>
            <w:pPr>
              <w:spacing w:after="0"/>
              <w:rPr>
                <w:sz w:val="18"/>
                <w:szCs w:val="18"/>
                <w:color w:val="auto"/>
              </w:rPr>
            </w:pPr>
          </w:p>
        </w:tc>
        <w:tc>
          <w:tcPr>
            <w:tcW w:w="1560" w:type="dxa"/>
            <w:vAlign w:val="bottom"/>
            <w:tcBorders>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Borders>
              <w:bottom w:val="single" w:sz="8" w:color="CCEEFF"/>
            </w:tcBorders>
          </w:tcPr>
          <w:p>
            <w:pPr>
              <w:spacing w:after="0"/>
              <w:rPr>
                <w:sz w:val="18"/>
                <w:szCs w:val="18"/>
                <w:color w:val="auto"/>
              </w:rPr>
            </w:pPr>
          </w:p>
        </w:tc>
        <w:tc>
          <w:tcPr>
            <w:tcW w:w="1560" w:type="dxa"/>
            <w:vAlign w:val="bottom"/>
            <w:tcBorders>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2023</w:t>
            </w:r>
          </w:p>
        </w:tc>
        <w:tc>
          <w:tcPr>
            <w:tcW w:w="0" w:type="dxa"/>
            <w:vAlign w:val="bottom"/>
          </w:tcPr>
          <w:p>
            <w:pPr>
              <w:spacing w:after="0"/>
              <w:rPr>
                <w:sz w:val="1"/>
                <w:szCs w:val="1"/>
                <w:color w:val="auto"/>
              </w:rPr>
            </w:pPr>
          </w:p>
        </w:tc>
      </w:tr>
      <w:tr>
        <w:trPr>
          <w:trHeight w:val="198"/>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Performance Ratios:</w:t>
            </w:r>
          </w:p>
        </w:tc>
        <w:tc>
          <w:tcPr>
            <w:tcW w:w="1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4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Return on average assets</w:t>
            </w: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0.67 %</w:t>
            </w:r>
          </w:p>
        </w:tc>
        <w:tc>
          <w:tcPr>
            <w:tcW w:w="10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(0.48)%</w:t>
            </w:r>
          </w:p>
        </w:tc>
        <w:tc>
          <w:tcPr>
            <w:tcW w:w="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0.76 %</w:t>
            </w:r>
          </w:p>
        </w:tc>
        <w:tc>
          <w:tcPr>
            <w:tcW w:w="0" w:type="dxa"/>
            <w:vAlign w:val="bottom"/>
          </w:tcPr>
          <w:p>
            <w:pPr>
              <w:spacing w:after="0"/>
              <w:rPr>
                <w:sz w:val="1"/>
                <w:szCs w:val="1"/>
                <w:color w:val="auto"/>
              </w:rPr>
            </w:pPr>
          </w:p>
        </w:tc>
      </w:tr>
      <w:tr>
        <w:trPr>
          <w:trHeight w:val="219"/>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Return on average equity</w:t>
            </w:r>
          </w:p>
        </w:tc>
        <w:tc>
          <w:tcPr>
            <w:tcW w:w="15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(12.44)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8.34</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(5.52)</w:t>
            </w:r>
          </w:p>
        </w:tc>
        <w:tc>
          <w:tcPr>
            <w:tcW w:w="80" w:type="dxa"/>
            <w:vAlign w:val="bottom"/>
            <w:shd w:val="clear" w:color="auto" w:fill="CCEEFF"/>
          </w:tcPr>
          <w:p>
            <w:pPr>
              <w:spacing w:after="0"/>
              <w:rPr>
                <w:sz w:val="19"/>
                <w:szCs w:val="19"/>
                <w:color w:val="auto"/>
              </w:rPr>
            </w:pPr>
          </w:p>
        </w:tc>
        <w:tc>
          <w:tcPr>
            <w:tcW w:w="15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9.56</w:t>
            </w:r>
          </w:p>
        </w:tc>
        <w:tc>
          <w:tcPr>
            <w:tcW w:w="0" w:type="dxa"/>
            <w:vAlign w:val="bottom"/>
          </w:tcPr>
          <w:p>
            <w:pPr>
              <w:spacing w:after="0"/>
              <w:rPr>
                <w:sz w:val="1"/>
                <w:szCs w:val="1"/>
                <w:color w:val="auto"/>
              </w:rPr>
            </w:pPr>
          </w:p>
        </w:tc>
      </w:tr>
      <w:tr>
        <w:trPr>
          <w:trHeight w:val="216"/>
        </w:trPr>
        <w:tc>
          <w:tcPr>
            <w:tcW w:w="4740" w:type="dxa"/>
            <w:vAlign w:val="bottom"/>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Interest rate spread </w:t>
            </w:r>
            <w:r>
              <w:rPr>
                <w:rFonts w:ascii="Times New Roman" w:cs="Times New Roman" w:eastAsia="Times New Roman" w:hAnsi="Times New Roman"/>
                <w:sz w:val="21"/>
                <w:szCs w:val="21"/>
                <w:color w:val="auto"/>
                <w:vertAlign w:val="superscript"/>
              </w:rPr>
              <w:t>(2)</w:t>
            </w:r>
          </w:p>
        </w:tc>
        <w:tc>
          <w:tcPr>
            <w:tcW w:w="15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3.35</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2.25</w:t>
            </w:r>
          </w:p>
        </w:tc>
        <w:tc>
          <w:tcPr>
            <w:tcW w:w="100" w:type="dxa"/>
            <w:vAlign w:val="bottom"/>
          </w:tcPr>
          <w:p>
            <w:pPr>
              <w:spacing w:after="0"/>
              <w:rPr>
                <w:sz w:val="18"/>
                <w:szCs w:val="18"/>
                <w:color w:val="auto"/>
              </w:rPr>
            </w:pPr>
          </w:p>
        </w:tc>
        <w:tc>
          <w:tcPr>
            <w:tcW w:w="15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2.84</w:t>
            </w:r>
          </w:p>
        </w:tc>
        <w:tc>
          <w:tcPr>
            <w:tcW w:w="80" w:type="dxa"/>
            <w:vAlign w:val="bottom"/>
          </w:tcPr>
          <w:p>
            <w:pPr>
              <w:spacing w:after="0"/>
              <w:rPr>
                <w:sz w:val="18"/>
                <w:szCs w:val="18"/>
                <w:color w:val="auto"/>
              </w:rPr>
            </w:pPr>
          </w:p>
        </w:tc>
        <w:tc>
          <w:tcPr>
            <w:tcW w:w="15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2.41</w:t>
            </w: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Net interest margin </w:t>
            </w:r>
            <w:r>
              <w:rPr>
                <w:rFonts w:ascii="Times New Roman" w:cs="Times New Roman" w:eastAsia="Times New Roman" w:hAnsi="Times New Roman"/>
                <w:sz w:val="21"/>
                <w:szCs w:val="21"/>
                <w:color w:val="auto"/>
                <w:vertAlign w:val="superscript"/>
              </w:rPr>
              <w:t>(3)</w:t>
            </w:r>
          </w:p>
        </w:tc>
        <w:tc>
          <w:tcPr>
            <w:tcW w:w="15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4.06</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2.87</w:t>
            </w:r>
          </w:p>
        </w:tc>
        <w:tc>
          <w:tcPr>
            <w:tcW w:w="100" w:type="dxa"/>
            <w:vAlign w:val="bottom"/>
            <w:shd w:val="clear" w:color="auto" w:fill="CCEEFF"/>
          </w:tcPr>
          <w:p>
            <w:pPr>
              <w:spacing w:after="0"/>
              <w:rPr>
                <w:sz w:val="18"/>
                <w:szCs w:val="18"/>
                <w:color w:val="auto"/>
              </w:rPr>
            </w:pPr>
          </w:p>
        </w:tc>
        <w:tc>
          <w:tcPr>
            <w:tcW w:w="15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3.56</w:t>
            </w:r>
          </w:p>
        </w:tc>
        <w:tc>
          <w:tcPr>
            <w:tcW w:w="80" w:type="dxa"/>
            <w:vAlign w:val="bottom"/>
            <w:shd w:val="clear" w:color="auto" w:fill="CCEEFF"/>
          </w:tcPr>
          <w:p>
            <w:pPr>
              <w:spacing w:after="0"/>
              <w:rPr>
                <w:sz w:val="18"/>
                <w:szCs w:val="18"/>
                <w:color w:val="auto"/>
              </w:rPr>
            </w:pPr>
          </w:p>
        </w:tc>
        <w:tc>
          <w:tcPr>
            <w:tcW w:w="15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2.96</w:t>
            </w:r>
          </w:p>
        </w:tc>
        <w:tc>
          <w:tcPr>
            <w:tcW w:w="0" w:type="dxa"/>
            <w:vAlign w:val="bottom"/>
          </w:tcPr>
          <w:p>
            <w:pPr>
              <w:spacing w:after="0"/>
              <w:rPr>
                <w:sz w:val="1"/>
                <w:szCs w:val="1"/>
                <w:color w:val="auto"/>
              </w:rPr>
            </w:pPr>
          </w:p>
        </w:tc>
      </w:tr>
      <w:tr>
        <w:trPr>
          <w:trHeight w:val="216"/>
        </w:trPr>
        <w:tc>
          <w:tcPr>
            <w:tcW w:w="4740" w:type="dxa"/>
            <w:vAlign w:val="bottom"/>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Efficiency ratio </w:t>
            </w:r>
            <w:r>
              <w:rPr>
                <w:rFonts w:ascii="Times New Roman" w:cs="Times New Roman" w:eastAsia="Times New Roman" w:hAnsi="Times New Roman"/>
                <w:sz w:val="21"/>
                <w:szCs w:val="21"/>
                <w:color w:val="auto"/>
                <w:vertAlign w:val="superscript"/>
              </w:rPr>
              <w:t>(4)</w:t>
            </w:r>
          </w:p>
        </w:tc>
        <w:tc>
          <w:tcPr>
            <w:tcW w:w="15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93.02</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75.12</w:t>
            </w:r>
          </w:p>
        </w:tc>
        <w:tc>
          <w:tcPr>
            <w:tcW w:w="100" w:type="dxa"/>
            <w:vAlign w:val="bottom"/>
          </w:tcPr>
          <w:p>
            <w:pPr>
              <w:spacing w:after="0"/>
              <w:rPr>
                <w:sz w:val="18"/>
                <w:szCs w:val="18"/>
                <w:color w:val="auto"/>
              </w:rPr>
            </w:pPr>
          </w:p>
        </w:tc>
        <w:tc>
          <w:tcPr>
            <w:tcW w:w="15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89.49</w:t>
            </w:r>
          </w:p>
        </w:tc>
        <w:tc>
          <w:tcPr>
            <w:tcW w:w="80" w:type="dxa"/>
            <w:vAlign w:val="bottom"/>
          </w:tcPr>
          <w:p>
            <w:pPr>
              <w:spacing w:after="0"/>
              <w:rPr>
                <w:sz w:val="18"/>
                <w:szCs w:val="18"/>
                <w:color w:val="auto"/>
              </w:rPr>
            </w:pPr>
          </w:p>
        </w:tc>
        <w:tc>
          <w:tcPr>
            <w:tcW w:w="15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72.66</w:t>
            </w:r>
          </w:p>
        </w:tc>
        <w:tc>
          <w:tcPr>
            <w:tcW w:w="0" w:type="dxa"/>
            <w:vAlign w:val="bottom"/>
          </w:tcPr>
          <w:p>
            <w:pPr>
              <w:spacing w:after="0"/>
              <w:rPr>
                <w:sz w:val="1"/>
                <w:szCs w:val="1"/>
                <w:color w:val="auto"/>
              </w:rPr>
            </w:pPr>
          </w:p>
        </w:tc>
      </w:tr>
      <w:tr>
        <w:trPr>
          <w:trHeight w:val="270"/>
        </w:trPr>
        <w:tc>
          <w:tcPr>
            <w:tcW w:w="4740" w:type="dxa"/>
            <w:vAlign w:val="bottom"/>
            <w:shd w:val="clear" w:color="auto" w:fill="CCEEFF"/>
          </w:tcPr>
          <w:p>
            <w:pPr>
              <w:spacing w:after="0"/>
              <w:rPr>
                <w:sz w:val="23"/>
                <w:szCs w:val="23"/>
                <w:color w:val="auto"/>
              </w:rPr>
            </w:pPr>
          </w:p>
        </w:tc>
        <w:tc>
          <w:tcPr>
            <w:tcW w:w="15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56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5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14"/>
        </w:trPr>
        <w:tc>
          <w:tcPr>
            <w:tcW w:w="47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Capital Ratios:</w:t>
            </w: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Common equity tier 1 (CET 1) capital to risk-weighted assets</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10.91 %</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17.60 %</w:t>
            </w:r>
          </w:p>
        </w:tc>
        <w:tc>
          <w:tcPr>
            <w:tcW w:w="10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10.91 %</w:t>
            </w:r>
          </w:p>
        </w:tc>
        <w:tc>
          <w:tcPr>
            <w:tcW w:w="8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17.60 %</w:t>
            </w:r>
          </w:p>
        </w:tc>
        <w:tc>
          <w:tcPr>
            <w:tcW w:w="0" w:type="dxa"/>
            <w:vAlign w:val="bottom"/>
          </w:tcPr>
          <w:p>
            <w:pPr>
              <w:spacing w:after="0"/>
              <w:rPr>
                <w:sz w:val="1"/>
                <w:szCs w:val="1"/>
                <w:color w:val="auto"/>
              </w:rPr>
            </w:pPr>
          </w:p>
        </w:tc>
      </w:tr>
      <w:tr>
        <w:trPr>
          <w:trHeight w:val="213"/>
        </w:trPr>
        <w:tc>
          <w:tcPr>
            <w:tcW w:w="4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risk-based capital to risk-weighted assets</w:t>
            </w:r>
          </w:p>
        </w:tc>
        <w:tc>
          <w:tcPr>
            <w:tcW w:w="15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13.91</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18.71</w:t>
            </w:r>
          </w:p>
        </w:tc>
        <w:tc>
          <w:tcPr>
            <w:tcW w:w="100" w:type="dxa"/>
            <w:vAlign w:val="bottom"/>
          </w:tcPr>
          <w:p>
            <w:pPr>
              <w:spacing w:after="0"/>
              <w:rPr>
                <w:sz w:val="18"/>
                <w:szCs w:val="18"/>
                <w:color w:val="auto"/>
              </w:rPr>
            </w:pPr>
          </w:p>
        </w:tc>
        <w:tc>
          <w:tcPr>
            <w:tcW w:w="15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13.91</w:t>
            </w:r>
          </w:p>
        </w:tc>
        <w:tc>
          <w:tcPr>
            <w:tcW w:w="80" w:type="dxa"/>
            <w:vAlign w:val="bottom"/>
          </w:tcPr>
          <w:p>
            <w:pPr>
              <w:spacing w:after="0"/>
              <w:rPr>
                <w:sz w:val="18"/>
                <w:szCs w:val="18"/>
                <w:color w:val="auto"/>
              </w:rPr>
            </w:pPr>
          </w:p>
        </w:tc>
        <w:tc>
          <w:tcPr>
            <w:tcW w:w="15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18.71</w:t>
            </w:r>
          </w:p>
        </w:tc>
        <w:tc>
          <w:tcPr>
            <w:tcW w:w="0" w:type="dxa"/>
            <w:vAlign w:val="bottom"/>
          </w:tcPr>
          <w:p>
            <w:pPr>
              <w:spacing w:after="0"/>
              <w:rPr>
                <w:sz w:val="1"/>
                <w:szCs w:val="1"/>
                <w:color w:val="auto"/>
              </w:rPr>
            </w:pPr>
          </w:p>
        </w:tc>
      </w:tr>
      <w:tr>
        <w:trPr>
          <w:trHeight w:val="219"/>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Tier 1 capital to risk-weighted assets</w:t>
            </w:r>
          </w:p>
        </w:tc>
        <w:tc>
          <w:tcPr>
            <w:tcW w:w="15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11.34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17.60</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11.34</w:t>
            </w:r>
          </w:p>
        </w:tc>
        <w:tc>
          <w:tcPr>
            <w:tcW w:w="80" w:type="dxa"/>
            <w:vAlign w:val="bottom"/>
            <w:shd w:val="clear" w:color="auto" w:fill="CCEEFF"/>
          </w:tcPr>
          <w:p>
            <w:pPr>
              <w:spacing w:after="0"/>
              <w:rPr>
                <w:sz w:val="19"/>
                <w:szCs w:val="19"/>
                <w:color w:val="auto"/>
              </w:rPr>
            </w:pPr>
          </w:p>
        </w:tc>
        <w:tc>
          <w:tcPr>
            <w:tcW w:w="15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17.60</w:t>
            </w:r>
          </w:p>
        </w:tc>
        <w:tc>
          <w:tcPr>
            <w:tcW w:w="0" w:type="dxa"/>
            <w:vAlign w:val="bottom"/>
          </w:tcPr>
          <w:p>
            <w:pPr>
              <w:spacing w:after="0"/>
              <w:rPr>
                <w:sz w:val="1"/>
                <w:szCs w:val="1"/>
                <w:color w:val="auto"/>
              </w:rPr>
            </w:pPr>
          </w:p>
        </w:tc>
      </w:tr>
      <w:tr>
        <w:trPr>
          <w:trHeight w:val="213"/>
        </w:trPr>
        <w:tc>
          <w:tcPr>
            <w:tcW w:w="4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Tier 1 capital to average assets (leverage ratio)</w:t>
            </w:r>
          </w:p>
        </w:tc>
        <w:tc>
          <w:tcPr>
            <w:tcW w:w="15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9.04</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11.20</w:t>
            </w:r>
          </w:p>
        </w:tc>
        <w:tc>
          <w:tcPr>
            <w:tcW w:w="100" w:type="dxa"/>
            <w:vAlign w:val="bottom"/>
          </w:tcPr>
          <w:p>
            <w:pPr>
              <w:spacing w:after="0"/>
              <w:rPr>
                <w:sz w:val="18"/>
                <w:szCs w:val="18"/>
                <w:color w:val="auto"/>
              </w:rPr>
            </w:pPr>
          </w:p>
        </w:tc>
        <w:tc>
          <w:tcPr>
            <w:tcW w:w="15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9.04</w:t>
            </w:r>
          </w:p>
        </w:tc>
        <w:tc>
          <w:tcPr>
            <w:tcW w:w="80" w:type="dxa"/>
            <w:vAlign w:val="bottom"/>
          </w:tcPr>
          <w:p>
            <w:pPr>
              <w:spacing w:after="0"/>
              <w:rPr>
                <w:sz w:val="18"/>
                <w:szCs w:val="18"/>
                <w:color w:val="auto"/>
              </w:rPr>
            </w:pPr>
          </w:p>
        </w:tc>
        <w:tc>
          <w:tcPr>
            <w:tcW w:w="15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11.20</w:t>
            </w:r>
          </w:p>
        </w:tc>
        <w:tc>
          <w:tcPr>
            <w:tcW w:w="0" w:type="dxa"/>
            <w:vAlign w:val="bottom"/>
          </w:tcPr>
          <w:p>
            <w:pPr>
              <w:spacing w:after="0"/>
              <w:rPr>
                <w:sz w:val="1"/>
                <w:szCs w:val="1"/>
                <w:color w:val="auto"/>
              </w:rPr>
            </w:pPr>
          </w:p>
        </w:tc>
      </w:tr>
      <w:tr>
        <w:trPr>
          <w:trHeight w:val="273"/>
        </w:trPr>
        <w:tc>
          <w:tcPr>
            <w:tcW w:w="4740" w:type="dxa"/>
            <w:vAlign w:val="bottom"/>
            <w:shd w:val="clear" w:color="auto" w:fill="CCEEFF"/>
          </w:tcPr>
          <w:p>
            <w:pPr>
              <w:spacing w:after="0"/>
              <w:rPr>
                <w:sz w:val="23"/>
                <w:szCs w:val="23"/>
                <w:color w:val="auto"/>
              </w:rPr>
            </w:pPr>
          </w:p>
        </w:tc>
        <w:tc>
          <w:tcPr>
            <w:tcW w:w="15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56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5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14"/>
        </w:trPr>
        <w:tc>
          <w:tcPr>
            <w:tcW w:w="47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Asset Quality Ratios:</w:t>
            </w: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Allowance coverage ratio</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1.21 %</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1.30 %</w:t>
            </w:r>
          </w:p>
        </w:tc>
        <w:tc>
          <w:tcPr>
            <w:tcW w:w="10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1.21 %</w:t>
            </w:r>
          </w:p>
        </w:tc>
        <w:tc>
          <w:tcPr>
            <w:tcW w:w="8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1.30 %</w:t>
            </w:r>
          </w:p>
        </w:tc>
        <w:tc>
          <w:tcPr>
            <w:tcW w:w="0" w:type="dxa"/>
            <w:vAlign w:val="bottom"/>
          </w:tcPr>
          <w:p>
            <w:pPr>
              <w:spacing w:after="0"/>
              <w:rPr>
                <w:sz w:val="1"/>
                <w:szCs w:val="1"/>
                <w:color w:val="auto"/>
              </w:rPr>
            </w:pPr>
          </w:p>
        </w:tc>
      </w:tr>
      <w:tr>
        <w:trPr>
          <w:trHeight w:val="213"/>
        </w:trPr>
        <w:tc>
          <w:tcPr>
            <w:tcW w:w="4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Allowance for credit losses as a percentage of non-performing loans</w:t>
            </w:r>
          </w:p>
        </w:tc>
        <w:tc>
          <w:tcPr>
            <w:tcW w:w="15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207.10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886.73</w:t>
            </w:r>
          </w:p>
        </w:tc>
        <w:tc>
          <w:tcPr>
            <w:tcW w:w="100" w:type="dxa"/>
            <w:vAlign w:val="bottom"/>
          </w:tcPr>
          <w:p>
            <w:pPr>
              <w:spacing w:after="0"/>
              <w:rPr>
                <w:sz w:val="18"/>
                <w:szCs w:val="18"/>
                <w:color w:val="auto"/>
              </w:rPr>
            </w:pPr>
          </w:p>
        </w:tc>
        <w:tc>
          <w:tcPr>
            <w:tcW w:w="15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207.10</w:t>
            </w:r>
          </w:p>
        </w:tc>
        <w:tc>
          <w:tcPr>
            <w:tcW w:w="80" w:type="dxa"/>
            <w:vAlign w:val="bottom"/>
          </w:tcPr>
          <w:p>
            <w:pPr>
              <w:spacing w:after="0"/>
              <w:rPr>
                <w:sz w:val="18"/>
                <w:szCs w:val="18"/>
                <w:color w:val="auto"/>
              </w:rPr>
            </w:pPr>
          </w:p>
        </w:tc>
        <w:tc>
          <w:tcPr>
            <w:tcW w:w="15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886.73</w:t>
            </w:r>
          </w:p>
        </w:tc>
        <w:tc>
          <w:tcPr>
            <w:tcW w:w="0" w:type="dxa"/>
            <w:vAlign w:val="bottom"/>
          </w:tcPr>
          <w:p>
            <w:pPr>
              <w:spacing w:after="0"/>
              <w:rPr>
                <w:sz w:val="1"/>
                <w:szCs w:val="1"/>
                <w:color w:val="auto"/>
              </w:rPr>
            </w:pPr>
          </w:p>
        </w:tc>
      </w:tr>
      <w:tr>
        <w:trPr>
          <w:trHeight w:val="219"/>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charge-offs to average outstanding loans during the period</w:t>
            </w:r>
          </w:p>
        </w:tc>
        <w:tc>
          <w:tcPr>
            <w:tcW w:w="15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0.01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0.00</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0.02</w:t>
            </w:r>
          </w:p>
        </w:tc>
        <w:tc>
          <w:tcPr>
            <w:tcW w:w="80" w:type="dxa"/>
            <w:vAlign w:val="bottom"/>
            <w:shd w:val="clear" w:color="auto" w:fill="CCEEFF"/>
          </w:tcPr>
          <w:p>
            <w:pPr>
              <w:spacing w:after="0"/>
              <w:rPr>
                <w:sz w:val="19"/>
                <w:szCs w:val="19"/>
                <w:color w:val="auto"/>
              </w:rPr>
            </w:pPr>
          </w:p>
        </w:tc>
        <w:tc>
          <w:tcPr>
            <w:tcW w:w="15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0.00</w:t>
            </w:r>
          </w:p>
        </w:tc>
        <w:tc>
          <w:tcPr>
            <w:tcW w:w="0" w:type="dxa"/>
            <w:vAlign w:val="bottom"/>
          </w:tcPr>
          <w:p>
            <w:pPr>
              <w:spacing w:after="0"/>
              <w:rPr>
                <w:sz w:val="1"/>
                <w:szCs w:val="1"/>
                <w:color w:val="auto"/>
              </w:rPr>
            </w:pPr>
          </w:p>
        </w:tc>
      </w:tr>
      <w:tr>
        <w:trPr>
          <w:trHeight w:val="213"/>
        </w:trPr>
        <w:tc>
          <w:tcPr>
            <w:tcW w:w="4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Non-performing loans as a percentage of total loans</w:t>
            </w:r>
          </w:p>
        </w:tc>
        <w:tc>
          <w:tcPr>
            <w:tcW w:w="15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0.58</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0.15</w:t>
            </w:r>
          </w:p>
        </w:tc>
        <w:tc>
          <w:tcPr>
            <w:tcW w:w="100" w:type="dxa"/>
            <w:vAlign w:val="bottom"/>
          </w:tcPr>
          <w:p>
            <w:pPr>
              <w:spacing w:after="0"/>
              <w:rPr>
                <w:sz w:val="18"/>
                <w:szCs w:val="18"/>
                <w:color w:val="auto"/>
              </w:rPr>
            </w:pPr>
          </w:p>
        </w:tc>
        <w:tc>
          <w:tcPr>
            <w:tcW w:w="15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0.58</w:t>
            </w:r>
          </w:p>
        </w:tc>
        <w:tc>
          <w:tcPr>
            <w:tcW w:w="80" w:type="dxa"/>
            <w:vAlign w:val="bottom"/>
          </w:tcPr>
          <w:p>
            <w:pPr>
              <w:spacing w:after="0"/>
              <w:rPr>
                <w:sz w:val="18"/>
                <w:szCs w:val="18"/>
                <w:color w:val="auto"/>
              </w:rPr>
            </w:pPr>
          </w:p>
        </w:tc>
        <w:tc>
          <w:tcPr>
            <w:tcW w:w="15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0.15</w:t>
            </w:r>
          </w:p>
        </w:tc>
        <w:tc>
          <w:tcPr>
            <w:tcW w:w="0" w:type="dxa"/>
            <w:vAlign w:val="bottom"/>
          </w:tcPr>
          <w:p>
            <w:pPr>
              <w:spacing w:after="0"/>
              <w:rPr>
                <w:sz w:val="1"/>
                <w:szCs w:val="1"/>
                <w:color w:val="auto"/>
              </w:rPr>
            </w:pPr>
          </w:p>
        </w:tc>
      </w:tr>
      <w:tr>
        <w:trPr>
          <w:trHeight w:val="219"/>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Non-performing assets as a percentage of total assets</w:t>
            </w:r>
          </w:p>
        </w:tc>
        <w:tc>
          <w:tcPr>
            <w:tcW w:w="15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0.46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0.08</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0.46</w:t>
            </w:r>
          </w:p>
        </w:tc>
        <w:tc>
          <w:tcPr>
            <w:tcW w:w="80" w:type="dxa"/>
            <w:vAlign w:val="bottom"/>
            <w:shd w:val="clear" w:color="auto" w:fill="CCEEFF"/>
          </w:tcPr>
          <w:p>
            <w:pPr>
              <w:spacing w:after="0"/>
              <w:rPr>
                <w:sz w:val="19"/>
                <w:szCs w:val="19"/>
                <w:color w:val="auto"/>
              </w:rPr>
            </w:pPr>
          </w:p>
        </w:tc>
        <w:tc>
          <w:tcPr>
            <w:tcW w:w="15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0.08</w:t>
            </w:r>
          </w:p>
        </w:tc>
        <w:tc>
          <w:tcPr>
            <w:tcW w:w="0" w:type="dxa"/>
            <w:vAlign w:val="bottom"/>
          </w:tcPr>
          <w:p>
            <w:pPr>
              <w:spacing w:after="0"/>
              <w:rPr>
                <w:sz w:val="1"/>
                <w:szCs w:val="1"/>
                <w:color w:val="auto"/>
              </w:rPr>
            </w:pPr>
          </w:p>
        </w:tc>
      </w:tr>
      <w:tr>
        <w:trPr>
          <w:trHeight w:val="270"/>
        </w:trPr>
        <w:tc>
          <w:tcPr>
            <w:tcW w:w="474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Other Data:</w:t>
            </w: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Number of full-service branches</w:t>
            </w: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10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w:t>
            </w:r>
          </w:p>
        </w:tc>
        <w:tc>
          <w:tcPr>
            <w:tcW w:w="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0" w:type="dxa"/>
            <w:vAlign w:val="bottom"/>
          </w:tcPr>
          <w:p>
            <w:pPr>
              <w:spacing w:after="0"/>
              <w:rPr>
                <w:sz w:val="1"/>
                <w:szCs w:val="1"/>
                <w:color w:val="auto"/>
              </w:rPr>
            </w:pPr>
          </w:p>
        </w:tc>
      </w:tr>
      <w:tr>
        <w:trPr>
          <w:trHeight w:val="219"/>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Number of full-time equivalent employees</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407</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850</w:t>
            </w:r>
          </w:p>
        </w:tc>
        <w:tc>
          <w:tcPr>
            <w:tcW w:w="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407</w:t>
            </w:r>
          </w:p>
        </w:tc>
        <w:tc>
          <w:tcPr>
            <w:tcW w:w="0" w:type="dxa"/>
            <w:vAlign w:val="bottom"/>
          </w:tcPr>
          <w:p>
            <w:pPr>
              <w:spacing w:after="0"/>
              <w:rPr>
                <w:sz w:val="1"/>
                <w:szCs w:val="1"/>
                <w:color w:val="auto"/>
              </w:rPr>
            </w:pPr>
          </w:p>
        </w:tc>
      </w:tr>
    </w:tbl>
    <w:p>
      <w:pPr>
        <w:spacing w:after="0" w:line="72" w:lineRule="exact"/>
        <w:rPr>
          <w:sz w:val="20"/>
          <w:szCs w:val="20"/>
          <w:color w:val="auto"/>
        </w:rPr>
      </w:pPr>
    </w:p>
    <w:p>
      <w:pPr>
        <w:ind w:left="540" w:hanging="208"/>
        <w:spacing w:after="0"/>
        <w:tabs>
          <w:tab w:leader="none" w:pos="54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dividend payout ratio represents per share dividends declared divided by diluted earnings per share.</w:t>
      </w:r>
    </w:p>
    <w:p>
      <w:pPr>
        <w:spacing w:after="0" w:line="109" w:lineRule="exact"/>
        <w:rPr>
          <w:rFonts w:ascii="Times New Roman" w:cs="Times New Roman" w:eastAsia="Times New Roman" w:hAnsi="Times New Roman"/>
          <w:sz w:val="14"/>
          <w:szCs w:val="14"/>
          <w:color w:val="auto"/>
        </w:rPr>
      </w:pPr>
    </w:p>
    <w:p>
      <w:pPr>
        <w:ind w:left="340" w:hanging="8"/>
        <w:spacing w:after="0" w:line="302" w:lineRule="auto"/>
        <w:tabs>
          <w:tab w:leader="none" w:pos="545"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interest rate spread represents the difference between the fully taxable-equivalent weighted-average yield on interest-earning assets and the weighted-average cost of interest-bearing liabilities for the period.</w:t>
      </w:r>
    </w:p>
    <w:p>
      <w:pPr>
        <w:spacing w:after="0" w:line="53" w:lineRule="exact"/>
        <w:rPr>
          <w:rFonts w:ascii="Times New Roman" w:cs="Times New Roman" w:eastAsia="Times New Roman" w:hAnsi="Times New Roman"/>
          <w:sz w:val="14"/>
          <w:szCs w:val="14"/>
          <w:color w:val="auto"/>
        </w:rPr>
      </w:pPr>
    </w:p>
    <w:p>
      <w:pPr>
        <w:ind w:left="540" w:hanging="208"/>
        <w:spacing w:after="0"/>
        <w:tabs>
          <w:tab w:leader="none" w:pos="54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net interest margin represents fully taxable-equivalent net interest income as a percent of average interest-earning assets for the period.</w:t>
      </w:r>
    </w:p>
    <w:p>
      <w:pPr>
        <w:spacing w:after="0" w:line="122" w:lineRule="exact"/>
        <w:rPr>
          <w:rFonts w:ascii="Times New Roman" w:cs="Times New Roman" w:eastAsia="Times New Roman" w:hAnsi="Times New Roman"/>
          <w:sz w:val="14"/>
          <w:szCs w:val="14"/>
          <w:color w:val="auto"/>
        </w:rPr>
      </w:pPr>
    </w:p>
    <w:p>
      <w:pPr>
        <w:ind w:left="540" w:hanging="208"/>
        <w:spacing w:after="0"/>
        <w:tabs>
          <w:tab w:leader="none" w:pos="54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efficiency ratio represents non-interest expense as a percentage of the sum of net interest income and non-interest income.</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 for the Six Months Ended June 30, 2024, and June 30, 2023</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Net loss applicable to common shares for the six months ended June 30, 2024, was $11.9 million compared to net income applicable to common shares of $13.6 million for the six months ended June 30, 2023. The $25.5 million decrease in net income applicable to common shares was primarily the result of merger related expenses and one-time CECL Day 2 provision for non-PCD assets acquired in the Merger for the six months ended June 30, 2024, compared to the six months ended June 30, 2023.</w:t>
      </w:r>
    </w:p>
    <w:p>
      <w:pPr>
        <w:spacing w:after="0" w:line="12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Net interest income increased by $33.3 million to $81.9 million for the six months ended June 30, 2024, compared to $48.6 million for the six months ended June 30, 2023. The main driver for this increase was the impact of the Merger.</w:t>
      </w:r>
    </w:p>
    <w:p>
      <w:pPr>
        <w:spacing w:after="0" w:line="10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the six months ended June 30, 2024, the Company recorded credit provision expense of $23.2 million compared to a provision of $0.7 million for the six months ended June 30, 2023. For the six months ended June 30, 2024, the Company recognized a one-time CECL Day 2 provision for non-PCD assets acquired in the Merger, which resulted in a higher credit provision expense for the six months ended June 30, 2024, compared to the six months ended, June 30, 2023.</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Non-interest income increased by $4.9 million, or 55.7%, to $13.8 million for the six months ended June 30, 2024, as compared to $8.8 million for the six months ended June 30, 2023, as a result of the Merger. In addition, the Company liquidated the majority of the acquired securities portfolio that resulted in a gain on sale of securities of $0.6 million.</w:t>
      </w:r>
    </w:p>
    <w:p>
      <w:pPr>
        <w:spacing w:after="0" w:line="12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Non-interest expense increased by $43.9 million, or 105.2%, to $85.6 million for the six months ended June 30, 2024, compared to $41.7 million for the six months ended June 30, 2023. The increase was primarily due to effect of the Merger and also included higher legal fees, consulting fees, audit fees, investment banking fees, software contract terminations, change-in-control salary and benefit payments, funding a charitable donation (as part of the Merger Agreement), and other expenses related to the Merger. For the six months ended June 30, 2024, the Company incurred $24.4 million of expenses related to the Merger with Summit.</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Interest Income and Net Interest Margin</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Net interest income is the principal component of the Company’s income stream and represents the difference, or spread, between interest and fee income generated from earning assets and the interest expense paid on deposits and borrowed funds. Net interest margin, stated as a percentage, is the yield obtained by dividing the difference between interest income generated on earning assets and the interest expense paid on all funding sources by average earning assets.</w:t>
      </w:r>
    </w:p>
    <w:p>
      <w:pPr>
        <w:spacing w:after="0" w:line="12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Fluctuations in interest rates as well as changes in the volume and mix of earning assets and interest-bearing liabilities can impact net interest income and net interest margin. Management closely monitors both total net interest income and the net interest margin and seeks to maximize net interest income without exposing the Company to an excessive level of interest rate risk through our asset and liability policies. Interest rate risk is managed by monitoring the pricing, maturity and repricing options of all classes of interest-bearing assets and liabilities.</w:t>
      </w:r>
    </w:p>
    <w:p>
      <w:pPr>
        <w:spacing w:after="0" w:line="12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Net interest income totaled $81.9 million for the six months ended June 30, 2024, compared to $48.6 million for the six months ended June 30, 2023. The increase in net interest income was primarily driven by the Merger which resulted in higher average balances of interest-earning assets beyond the higher average balances of interest-bearing liabilities.</w:t>
      </w:r>
    </w:p>
    <w:p>
      <w:pPr>
        <w:spacing w:after="0" w:line="12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tax-adjusted net interest margin was 3.56% for the six months ended June 30, 2024, compared to 2.96% for the six months ended June 30, 2023. The increase in tax-adjusted net interest margin was primarily driven by the effect of the Merger and the acquisition of additional, higher-yielding interest-earning assets.</w:t>
      </w:r>
    </w:p>
    <w:p>
      <w:pPr>
        <w:spacing w:after="0" w:line="12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yield for the loan portfolio was 6.72% for the six months ended June 30, 2024, compared to 4.94% for the six months ended June 30, 2023. The increase was primarily the result of the effect of the Merger which resulted in the acquisition of additional, higher-yielding loans.</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tax-adjusted yield on the total investment securities portfolio was 3.76% for the six months ended June 30, 2024, compared to 3.45% for the six months ended June 30, 2023. The increase was partly due to higher yields in our investment portfolio in addition to the Merger, which resulted in the acquisition of additional securities with higher tax-adjusted yields.</w:t>
      </w:r>
    </w:p>
    <w:p>
      <w:pPr>
        <w:spacing w:after="0" w:line="12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yield on interest-bearing deposits increased to 2.73% during the six months ended June 30, 2024, from 1.50% during the six months ended June 30, 2023. The increase was a result of the Merger which resulted in the assumption of additional interest-bearing deposits with higher interest rates and to a lesser extent by higher market interest rates.</w:t>
      </w:r>
    </w:p>
    <w:p>
      <w:pPr>
        <w:spacing w:after="0" w:line="12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yield on our short-term borrowings for the six months ended June 30, 2024, was 4.58%, compared to 4.66% for the six months ended June 30, 2023. The decrease was due to the cash flow hedges that effectively lowered our yield on short-term borrowings. The yield on our subordinated debt acquired in the Merger was 10.30%.</w:t>
      </w:r>
    </w:p>
    <w:p>
      <w:pPr>
        <w:spacing w:after="0" w:line="12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major components of net interest income and the related yields and rates for the six months ended June 30, 2024, and June 30, 2023, for comparison (dollars in thousands).</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5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840" w:type="dxa"/>
            <w:vAlign w:val="bottom"/>
            <w:tcBorders>
              <w:bottom w:val="single" w:sz="8" w:color="auto"/>
            </w:tcBorders>
            <w:gridSpan w:val="4"/>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For the Six Months Ended June 30,</w:t>
            </w:r>
          </w:p>
        </w:tc>
        <w:tc>
          <w:tcPr>
            <w:tcW w:w="1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5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2023</w:t>
            </w:r>
          </w:p>
        </w:tc>
        <w:tc>
          <w:tcPr>
            <w:tcW w:w="8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7"/>
        </w:trPr>
        <w:tc>
          <w:tcPr>
            <w:tcW w:w="2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60" w:type="dxa"/>
            <w:vAlign w:val="bottom"/>
          </w:tcPr>
          <w:p>
            <w:pPr>
              <w:jc w:val="center"/>
              <w:ind w:right="79"/>
              <w:spacing w:after="0" w:line="158" w:lineRule="exact"/>
              <w:rPr>
                <w:sz w:val="20"/>
                <w:szCs w:val="20"/>
                <w:color w:val="auto"/>
              </w:rPr>
            </w:pPr>
            <w:r>
              <w:rPr>
                <w:rFonts w:ascii="Times New Roman" w:cs="Times New Roman" w:eastAsia="Times New Roman" w:hAnsi="Times New Roman"/>
                <w:sz w:val="16"/>
                <w:szCs w:val="16"/>
                <w:b w:val="1"/>
                <w:bCs w:val="1"/>
                <w:color w:val="auto"/>
                <w:w w:val="98"/>
              </w:rPr>
              <w:t>Average</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40" w:type="dxa"/>
            <w:vAlign w:val="bottom"/>
            <w:vMerge w:val="restart"/>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Interest</w:t>
            </w:r>
          </w:p>
        </w:tc>
        <w:tc>
          <w:tcPr>
            <w:tcW w:w="100" w:type="dxa"/>
            <w:vAlign w:val="bottom"/>
          </w:tcPr>
          <w:p>
            <w:pPr>
              <w:spacing w:after="0"/>
              <w:rPr>
                <w:sz w:val="13"/>
                <w:szCs w:val="13"/>
                <w:color w:val="auto"/>
              </w:rPr>
            </w:pPr>
          </w:p>
        </w:tc>
        <w:tc>
          <w:tcPr>
            <w:tcW w:w="152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8"/>
              </w:rPr>
              <w:t>Average Yield /</w:t>
            </w:r>
          </w:p>
        </w:tc>
        <w:tc>
          <w:tcPr>
            <w:tcW w:w="180" w:type="dxa"/>
            <w:vAlign w:val="bottom"/>
          </w:tcPr>
          <w:p>
            <w:pPr>
              <w:spacing w:after="0"/>
              <w:rPr>
                <w:sz w:val="13"/>
                <w:szCs w:val="13"/>
                <w:color w:val="auto"/>
              </w:rPr>
            </w:pPr>
          </w:p>
        </w:tc>
        <w:tc>
          <w:tcPr>
            <w:tcW w:w="1140" w:type="dxa"/>
            <w:vAlign w:val="bottom"/>
          </w:tcPr>
          <w:p>
            <w:pPr>
              <w:jc w:val="center"/>
              <w:ind w:right="79"/>
              <w:spacing w:after="0" w:line="158" w:lineRule="exact"/>
              <w:rPr>
                <w:sz w:val="20"/>
                <w:szCs w:val="20"/>
                <w:color w:val="auto"/>
              </w:rPr>
            </w:pPr>
            <w:r>
              <w:rPr>
                <w:rFonts w:ascii="Times New Roman" w:cs="Times New Roman" w:eastAsia="Times New Roman" w:hAnsi="Times New Roman"/>
                <w:sz w:val="16"/>
                <w:szCs w:val="16"/>
                <w:b w:val="1"/>
                <w:bCs w:val="1"/>
                <w:color w:val="auto"/>
              </w:rPr>
              <w:t>Average</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vMerge w:val="restart"/>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Interest</w:t>
            </w:r>
          </w:p>
        </w:tc>
        <w:tc>
          <w:tcPr>
            <w:tcW w:w="80" w:type="dxa"/>
            <w:vAlign w:val="bottom"/>
          </w:tcPr>
          <w:p>
            <w:pPr>
              <w:spacing w:after="0"/>
              <w:rPr>
                <w:sz w:val="13"/>
                <w:szCs w:val="13"/>
                <w:color w:val="auto"/>
              </w:rPr>
            </w:pPr>
          </w:p>
        </w:tc>
        <w:tc>
          <w:tcPr>
            <w:tcW w:w="1440" w:type="dxa"/>
            <w:vAlign w:val="bottom"/>
            <w:vMerge w:val="restart"/>
          </w:tcPr>
          <w:p>
            <w:pPr>
              <w:ind w:left="200"/>
              <w:spacing w:after="0"/>
              <w:rPr>
                <w:sz w:val="20"/>
                <w:szCs w:val="20"/>
                <w:color w:val="auto"/>
              </w:rPr>
            </w:pPr>
            <w:r>
              <w:rPr>
                <w:rFonts w:ascii="Times New Roman" w:cs="Times New Roman" w:eastAsia="Times New Roman" w:hAnsi="Times New Roman"/>
                <w:sz w:val="16"/>
                <w:szCs w:val="16"/>
                <w:b w:val="1"/>
                <w:bCs w:val="1"/>
                <w:color w:val="auto"/>
              </w:rPr>
              <w:t>Average Yield /</w:t>
            </w:r>
          </w:p>
        </w:tc>
        <w:tc>
          <w:tcPr>
            <w:tcW w:w="0" w:type="dxa"/>
            <w:vAlign w:val="bottom"/>
          </w:tcPr>
          <w:p>
            <w:pPr>
              <w:spacing w:after="0"/>
              <w:rPr>
                <w:sz w:val="1"/>
                <w:szCs w:val="1"/>
                <w:color w:val="auto"/>
              </w:rPr>
            </w:pPr>
          </w:p>
        </w:tc>
      </w:tr>
      <w:tr>
        <w:trPr>
          <w:trHeight w:val="162"/>
        </w:trPr>
        <w:tc>
          <w:tcPr>
            <w:tcW w:w="2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tcPr>
          <w:p>
            <w:pPr>
              <w:jc w:val="center"/>
              <w:ind w:right="79"/>
              <w:spacing w:after="0" w:line="162" w:lineRule="exact"/>
              <w:rPr>
                <w:sz w:val="20"/>
                <w:szCs w:val="20"/>
                <w:color w:val="auto"/>
              </w:rPr>
            </w:pPr>
            <w:r>
              <w:rPr>
                <w:rFonts w:ascii="Times New Roman" w:cs="Times New Roman" w:eastAsia="Times New Roman" w:hAnsi="Times New Roman"/>
                <w:sz w:val="16"/>
                <w:szCs w:val="16"/>
                <w:b w:val="1"/>
                <w:bCs w:val="1"/>
                <w:color w:val="auto"/>
              </w:rPr>
              <w:t>Outstanding</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52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Pr>
          <w:p>
            <w:pPr>
              <w:jc w:val="center"/>
              <w:ind w:right="79"/>
              <w:spacing w:after="0" w:line="162" w:lineRule="exact"/>
              <w:rPr>
                <w:sz w:val="20"/>
                <w:szCs w:val="20"/>
                <w:color w:val="auto"/>
              </w:rPr>
            </w:pPr>
            <w:r>
              <w:rPr>
                <w:rFonts w:ascii="Times New Roman" w:cs="Times New Roman" w:eastAsia="Times New Roman" w:hAnsi="Times New Roman"/>
                <w:sz w:val="16"/>
                <w:szCs w:val="16"/>
                <w:b w:val="1"/>
                <w:bCs w:val="1"/>
                <w:color w:val="auto"/>
              </w:rPr>
              <w:t>Outstanding</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4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2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jc w:val="center"/>
              <w:ind w:right="79"/>
              <w:spacing w:after="0"/>
              <w:rPr>
                <w:sz w:val="20"/>
                <w:szCs w:val="20"/>
                <w:color w:val="auto"/>
              </w:rPr>
            </w:pPr>
            <w:r>
              <w:rPr>
                <w:rFonts w:ascii="Times New Roman" w:cs="Times New Roman" w:eastAsia="Times New Roman" w:hAnsi="Times New Roman"/>
                <w:sz w:val="16"/>
                <w:szCs w:val="16"/>
                <w:b w:val="1"/>
                <w:bCs w:val="1"/>
                <w:color w:val="auto"/>
              </w:rPr>
              <w:t>Balance</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w w:val="99"/>
              </w:rPr>
              <w:t>Income/Expense</w:t>
            </w:r>
          </w:p>
        </w:tc>
        <w:tc>
          <w:tcPr>
            <w:tcW w:w="100" w:type="dxa"/>
            <w:vAlign w:val="bottom"/>
          </w:tcPr>
          <w:p>
            <w:pPr>
              <w:spacing w:after="0"/>
              <w:rPr>
                <w:sz w:val="18"/>
                <w:szCs w:val="18"/>
                <w:color w:val="auto"/>
              </w:rPr>
            </w:pPr>
          </w:p>
        </w:tc>
        <w:tc>
          <w:tcPr>
            <w:tcW w:w="152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9"/>
              </w:rPr>
              <w:t>Rate</w:t>
            </w:r>
          </w:p>
        </w:tc>
        <w:tc>
          <w:tcPr>
            <w:tcW w:w="180" w:type="dxa"/>
            <w:vAlign w:val="bottom"/>
          </w:tcPr>
          <w:p>
            <w:pPr>
              <w:spacing w:after="0"/>
              <w:rPr>
                <w:sz w:val="18"/>
                <w:szCs w:val="18"/>
                <w:color w:val="auto"/>
              </w:rPr>
            </w:pPr>
          </w:p>
        </w:tc>
        <w:tc>
          <w:tcPr>
            <w:tcW w:w="1140" w:type="dxa"/>
            <w:vAlign w:val="bottom"/>
          </w:tcPr>
          <w:p>
            <w:pPr>
              <w:jc w:val="center"/>
              <w:ind w:right="79"/>
              <w:spacing w:after="0"/>
              <w:rPr>
                <w:sz w:val="20"/>
                <w:szCs w:val="20"/>
                <w:color w:val="auto"/>
              </w:rPr>
            </w:pPr>
            <w:r>
              <w:rPr>
                <w:rFonts w:ascii="Times New Roman" w:cs="Times New Roman" w:eastAsia="Times New Roman" w:hAnsi="Times New Roman"/>
                <w:sz w:val="16"/>
                <w:szCs w:val="16"/>
                <w:b w:val="1"/>
                <w:bCs w:val="1"/>
                <w:color w:val="auto"/>
                <w:w w:val="99"/>
              </w:rPr>
              <w:t>Balance</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w w:val="99"/>
              </w:rPr>
              <w:t>Income/Expense</w:t>
            </w:r>
          </w:p>
        </w:tc>
        <w:tc>
          <w:tcPr>
            <w:tcW w:w="80" w:type="dxa"/>
            <w:vAlign w:val="bottom"/>
          </w:tcPr>
          <w:p>
            <w:pPr>
              <w:spacing w:after="0"/>
              <w:rPr>
                <w:sz w:val="18"/>
                <w:szCs w:val="18"/>
                <w:color w:val="auto"/>
              </w:rPr>
            </w:pPr>
          </w:p>
        </w:tc>
        <w:tc>
          <w:tcPr>
            <w:tcW w:w="1440" w:type="dxa"/>
            <w:vAlign w:val="bottom"/>
          </w:tcPr>
          <w:p>
            <w:pPr>
              <w:ind w:left="560"/>
              <w:spacing w:after="0"/>
              <w:rPr>
                <w:sz w:val="20"/>
                <w:szCs w:val="20"/>
                <w:color w:val="auto"/>
              </w:rPr>
            </w:pPr>
            <w:r>
              <w:rPr>
                <w:rFonts w:ascii="Times New Roman" w:cs="Times New Roman" w:eastAsia="Times New Roman" w:hAnsi="Times New Roman"/>
                <w:sz w:val="16"/>
                <w:szCs w:val="16"/>
                <w:b w:val="1"/>
                <w:bCs w:val="1"/>
                <w:color w:val="auto"/>
              </w:rPr>
              <w:t>Rate</w:t>
            </w:r>
          </w:p>
        </w:tc>
        <w:tc>
          <w:tcPr>
            <w:tcW w:w="0" w:type="dxa"/>
            <w:vAlign w:val="bottom"/>
          </w:tcPr>
          <w:p>
            <w:pPr>
              <w:spacing w:after="0"/>
              <w:rPr>
                <w:sz w:val="1"/>
                <w:szCs w:val="1"/>
                <w:color w:val="auto"/>
              </w:rPr>
            </w:pPr>
          </w:p>
        </w:tc>
      </w:tr>
      <w:tr>
        <w:trPr>
          <w:trHeight w:val="252"/>
        </w:trPr>
        <w:tc>
          <w:tcPr>
            <w:tcW w:w="256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16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124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44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14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126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144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60" w:type="dxa"/>
            <w:vAlign w:val="bottom"/>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Taxable loans </w:t>
            </w:r>
            <w:r>
              <w:rPr>
                <w:rFonts w:ascii="Times New Roman" w:cs="Times New Roman" w:eastAsia="Times New Roman" w:hAnsi="Times New Roman"/>
                <w:sz w:val="21"/>
                <w:szCs w:val="21"/>
                <w:color w:val="auto"/>
                <w:vertAlign w:val="superscript"/>
              </w:rPr>
              <w:t>(1)(2)</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3,283,909</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109,718</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6.72 %</w:t>
            </w:r>
          </w:p>
        </w:tc>
        <w:tc>
          <w:tcPr>
            <w:tcW w:w="8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1,961,309</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48,060</w:t>
            </w:r>
          </w:p>
        </w:tc>
        <w:tc>
          <w:tcPr>
            <w:tcW w:w="1520" w:type="dxa"/>
            <w:vAlign w:val="bottom"/>
            <w:gridSpan w:val="2"/>
          </w:tcPr>
          <w:p>
            <w:pPr>
              <w:ind w:left="1040"/>
              <w:spacing w:after="0"/>
              <w:rPr>
                <w:sz w:val="20"/>
                <w:szCs w:val="20"/>
                <w:color w:val="auto"/>
              </w:rPr>
            </w:pPr>
            <w:r>
              <w:rPr>
                <w:rFonts w:ascii="Times New Roman" w:cs="Times New Roman" w:eastAsia="Times New Roman" w:hAnsi="Times New Roman"/>
                <w:sz w:val="16"/>
                <w:szCs w:val="16"/>
                <w:color w:val="auto"/>
              </w:rPr>
              <w:t>4.94 %</w:t>
            </w:r>
          </w:p>
        </w:tc>
        <w:tc>
          <w:tcPr>
            <w:tcW w:w="0" w:type="dxa"/>
            <w:vAlign w:val="bottom"/>
          </w:tcPr>
          <w:p>
            <w:pPr>
              <w:spacing w:after="0"/>
              <w:rPr>
                <w:sz w:val="1"/>
                <w:szCs w:val="1"/>
                <w:color w:val="auto"/>
              </w:rPr>
            </w:pPr>
          </w:p>
        </w:tc>
      </w:tr>
      <w:tr>
        <w:trPr>
          <w:trHeight w:val="216"/>
        </w:trPr>
        <w:tc>
          <w:tcPr>
            <w:tcW w:w="2560" w:type="dxa"/>
            <w:vAlign w:val="bottom"/>
            <w:shd w:val="clear" w:color="auto" w:fill="CCEEFF"/>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Tax-exempt loans </w:t>
            </w:r>
            <w:r>
              <w:rPr>
                <w:rFonts w:ascii="Times New Roman" w:cs="Times New Roman" w:eastAsia="Times New Roman" w:hAnsi="Times New Roman"/>
                <w:sz w:val="21"/>
                <w:szCs w:val="21"/>
                <w:color w:val="auto"/>
                <w:vertAlign w:val="superscript"/>
              </w:rPr>
              <w:t>(1)(2)</w:t>
            </w: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1,520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w:t>
            </w:r>
          </w:p>
        </w:tc>
        <w:tc>
          <w:tcPr>
            <w:tcW w:w="1540" w:type="dxa"/>
            <w:vAlign w:val="bottom"/>
            <w:gridSpan w:val="2"/>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5.56</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8"/>
                <w:szCs w:val="18"/>
                <w:color w:val="auto"/>
              </w:rPr>
            </w:pPr>
          </w:p>
        </w:tc>
        <w:tc>
          <w:tcPr>
            <w:tcW w:w="1440" w:type="dxa"/>
            <w:vAlign w:val="bottom"/>
            <w:shd w:val="clear" w:color="auto" w:fill="CCEEFF"/>
          </w:tcPr>
          <w:p>
            <w:pPr>
              <w:ind w:left="1140"/>
              <w:spacing w:after="0"/>
              <w:rPr>
                <w:sz w:val="20"/>
                <w:szCs w:val="20"/>
                <w:color w:val="auto"/>
              </w:rPr>
            </w:pPr>
            <w:r>
              <w:rPr>
                <w:rFonts w:ascii="Times New Roman" w:cs="Times New Roman" w:eastAsia="Times New Roman" w:hAnsi="Times New Roman"/>
                <w:sz w:val="16"/>
                <w:szCs w:val="16"/>
                <w:color w:val="auto"/>
              </w:rPr>
              <w:t>N/A</w:t>
            </w:r>
          </w:p>
        </w:tc>
        <w:tc>
          <w:tcPr>
            <w:tcW w:w="0" w:type="dxa"/>
            <w:vAlign w:val="bottom"/>
          </w:tcPr>
          <w:p>
            <w:pPr>
              <w:spacing w:after="0"/>
              <w:rPr>
                <w:sz w:val="1"/>
                <w:szCs w:val="1"/>
                <w:color w:val="auto"/>
              </w:rPr>
            </w:pPr>
          </w:p>
        </w:tc>
      </w:tr>
      <w:tr>
        <w:trPr>
          <w:trHeight w:val="162"/>
        </w:trPr>
        <w:tc>
          <w:tcPr>
            <w:tcW w:w="256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Interest-earning deposits and fed</w:t>
            </w:r>
          </w:p>
        </w:tc>
        <w:tc>
          <w:tcPr>
            <w:tcW w:w="160" w:type="dxa"/>
            <w:vAlign w:val="bottom"/>
          </w:tcPr>
          <w:p>
            <w:pPr>
              <w:spacing w:after="0"/>
              <w:rPr>
                <w:sz w:val="14"/>
                <w:szCs w:val="14"/>
                <w:color w:val="auto"/>
              </w:rPr>
            </w:pP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68,229</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1,229</w:t>
            </w:r>
          </w:p>
        </w:tc>
        <w:tc>
          <w:tcPr>
            <w:tcW w:w="1540" w:type="dxa"/>
            <w:vAlign w:val="bottom"/>
            <w:gridSpan w:val="2"/>
            <w:vMerge w:val="restart"/>
          </w:tcPr>
          <w:p>
            <w:pPr>
              <w:jc w:val="right"/>
              <w:ind w:right="119"/>
              <w:spacing w:after="0"/>
              <w:rPr>
                <w:sz w:val="20"/>
                <w:szCs w:val="20"/>
                <w:color w:val="auto"/>
              </w:rPr>
            </w:pPr>
            <w:r>
              <w:rPr>
                <w:rFonts w:ascii="Times New Roman" w:cs="Times New Roman" w:eastAsia="Times New Roman" w:hAnsi="Times New Roman"/>
                <w:sz w:val="16"/>
                <w:szCs w:val="16"/>
                <w:color w:val="auto"/>
              </w:rPr>
              <w:t>3.62</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59,107</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1,296</w:t>
            </w:r>
          </w:p>
        </w:tc>
        <w:tc>
          <w:tcPr>
            <w:tcW w:w="1520" w:type="dxa"/>
            <w:vAlign w:val="bottom"/>
            <w:gridSpan w:val="2"/>
            <w:vMerge w:val="restart"/>
          </w:tcPr>
          <w:p>
            <w:pPr>
              <w:ind w:left="1040"/>
              <w:spacing w:after="0"/>
              <w:rPr>
                <w:sz w:val="20"/>
                <w:szCs w:val="20"/>
                <w:color w:val="auto"/>
              </w:rPr>
            </w:pPr>
            <w:r>
              <w:rPr>
                <w:rFonts w:ascii="Times New Roman" w:cs="Times New Roman" w:eastAsia="Times New Roman" w:hAnsi="Times New Roman"/>
                <w:sz w:val="16"/>
                <w:szCs w:val="16"/>
                <w:color w:val="auto"/>
              </w:rPr>
              <w:t>4.42</w:t>
            </w:r>
          </w:p>
        </w:tc>
        <w:tc>
          <w:tcPr>
            <w:tcW w:w="0" w:type="dxa"/>
            <w:vAlign w:val="bottom"/>
          </w:tcPr>
          <w:p>
            <w:pPr>
              <w:spacing w:after="0"/>
              <w:rPr>
                <w:sz w:val="1"/>
                <w:szCs w:val="1"/>
                <w:color w:val="auto"/>
              </w:rPr>
            </w:pPr>
          </w:p>
        </w:tc>
      </w:tr>
      <w:tr>
        <w:trPr>
          <w:trHeight w:val="213"/>
        </w:trPr>
        <w:tc>
          <w:tcPr>
            <w:tcW w:w="25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funds sold</w:t>
            </w:r>
          </w:p>
        </w:tc>
        <w:tc>
          <w:tcPr>
            <w:tcW w:w="160" w:type="dxa"/>
            <w:vAlign w:val="bottom"/>
          </w:tcPr>
          <w:p>
            <w:pPr>
              <w:spacing w:after="0"/>
              <w:rPr>
                <w:sz w:val="18"/>
                <w:szCs w:val="18"/>
                <w:color w:val="auto"/>
              </w:rPr>
            </w:pPr>
          </w:p>
        </w:tc>
        <w:tc>
          <w:tcPr>
            <w:tcW w:w="11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vMerge w:val="continue"/>
          </w:tcPr>
          <w:p>
            <w:pPr>
              <w:spacing w:after="0"/>
              <w:rPr>
                <w:sz w:val="18"/>
                <w:szCs w:val="18"/>
                <w:color w:val="auto"/>
              </w:rPr>
            </w:pPr>
          </w:p>
        </w:tc>
        <w:tc>
          <w:tcPr>
            <w:tcW w:w="154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vMerge w:val="continue"/>
          </w:tcPr>
          <w:p>
            <w:pPr>
              <w:spacing w:after="0"/>
              <w:rPr>
                <w:sz w:val="18"/>
                <w:szCs w:val="18"/>
                <w:color w:val="auto"/>
              </w:rPr>
            </w:pPr>
          </w:p>
        </w:tc>
        <w:tc>
          <w:tcPr>
            <w:tcW w:w="152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Taxable securities</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989,183</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19,945</w:t>
            </w:r>
          </w:p>
        </w:tc>
        <w:tc>
          <w:tcPr>
            <w:tcW w:w="1540" w:type="dxa"/>
            <w:vAlign w:val="bottom"/>
            <w:gridSpan w:val="2"/>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4.05</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1,065,868</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19,221</w:t>
            </w:r>
          </w:p>
        </w:tc>
        <w:tc>
          <w:tcPr>
            <w:tcW w:w="1520" w:type="dxa"/>
            <w:vAlign w:val="bottom"/>
            <w:gridSpan w:val="2"/>
            <w:shd w:val="clear" w:color="auto" w:fill="CCEEFF"/>
          </w:tcPr>
          <w:p>
            <w:pPr>
              <w:ind w:left="1040"/>
              <w:spacing w:after="0"/>
              <w:rPr>
                <w:sz w:val="20"/>
                <w:szCs w:val="20"/>
                <w:color w:val="auto"/>
              </w:rPr>
            </w:pPr>
            <w:r>
              <w:rPr>
                <w:rFonts w:ascii="Times New Roman" w:cs="Times New Roman" w:eastAsia="Times New Roman" w:hAnsi="Times New Roman"/>
                <w:sz w:val="16"/>
                <w:szCs w:val="16"/>
                <w:color w:val="auto"/>
              </w:rPr>
              <w:t>3.64</w:t>
            </w:r>
          </w:p>
        </w:tc>
        <w:tc>
          <w:tcPr>
            <w:tcW w:w="0" w:type="dxa"/>
            <w:vAlign w:val="bottom"/>
          </w:tcPr>
          <w:p>
            <w:pPr>
              <w:spacing w:after="0"/>
              <w:rPr>
                <w:sz w:val="1"/>
                <w:szCs w:val="1"/>
                <w:color w:val="auto"/>
              </w:rPr>
            </w:pPr>
          </w:p>
        </w:tc>
      </w:tr>
      <w:tr>
        <w:trPr>
          <w:trHeight w:val="216"/>
        </w:trPr>
        <w:tc>
          <w:tcPr>
            <w:tcW w:w="2560" w:type="dxa"/>
            <w:vAlign w:val="bottom"/>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Tax-exempt securities </w:t>
            </w:r>
            <w:r>
              <w:rPr>
                <w:rFonts w:ascii="Times New Roman" w:cs="Times New Roman" w:eastAsia="Times New Roman" w:hAnsi="Times New Roman"/>
                <w:sz w:val="21"/>
                <w:szCs w:val="21"/>
                <w:color w:val="auto"/>
                <w:vertAlign w:val="superscript"/>
              </w:rPr>
              <w:t>(3)</w:t>
            </w: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342,895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4,958</w:t>
            </w:r>
          </w:p>
        </w:tc>
        <w:tc>
          <w:tcPr>
            <w:tcW w:w="1540" w:type="dxa"/>
            <w:vAlign w:val="bottom"/>
            <w:gridSpan w:val="2"/>
          </w:tcPr>
          <w:p>
            <w:pPr>
              <w:jc w:val="right"/>
              <w:ind w:right="119"/>
              <w:spacing w:after="0"/>
              <w:rPr>
                <w:sz w:val="20"/>
                <w:szCs w:val="20"/>
                <w:color w:val="auto"/>
              </w:rPr>
            </w:pPr>
            <w:r>
              <w:rPr>
                <w:rFonts w:ascii="Times New Roman" w:cs="Times New Roman" w:eastAsia="Times New Roman" w:hAnsi="Times New Roman"/>
                <w:sz w:val="16"/>
                <w:szCs w:val="16"/>
                <w:color w:val="auto"/>
              </w:rPr>
              <w:t>2.91</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269,575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3,629</w:t>
            </w:r>
          </w:p>
        </w:tc>
        <w:tc>
          <w:tcPr>
            <w:tcW w:w="1520" w:type="dxa"/>
            <w:vAlign w:val="bottom"/>
            <w:gridSpan w:val="2"/>
          </w:tcPr>
          <w:p>
            <w:pPr>
              <w:ind w:left="1040"/>
              <w:spacing w:after="0"/>
              <w:rPr>
                <w:sz w:val="20"/>
                <w:szCs w:val="20"/>
                <w:color w:val="auto"/>
              </w:rPr>
            </w:pPr>
            <w:r>
              <w:rPr>
                <w:rFonts w:ascii="Times New Roman" w:cs="Times New Roman" w:eastAsia="Times New Roman" w:hAnsi="Times New Roman"/>
                <w:sz w:val="16"/>
                <w:szCs w:val="16"/>
                <w:color w:val="auto"/>
              </w:rPr>
              <w:t>2.71</w:t>
            </w:r>
          </w:p>
        </w:tc>
        <w:tc>
          <w:tcPr>
            <w:tcW w:w="0" w:type="dxa"/>
            <w:vAlign w:val="bottom"/>
          </w:tcPr>
          <w:p>
            <w:pPr>
              <w:spacing w:after="0"/>
              <w:rPr>
                <w:sz w:val="1"/>
                <w:szCs w:val="1"/>
                <w:color w:val="auto"/>
              </w:rPr>
            </w:pPr>
          </w:p>
        </w:tc>
      </w:tr>
      <w:tr>
        <w:trPr>
          <w:trHeight w:val="209"/>
        </w:trPr>
        <w:tc>
          <w:tcPr>
            <w:tcW w:w="2560" w:type="dxa"/>
            <w:vAlign w:val="bottom"/>
            <w:tcBorders>
              <w:top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Total securities</w:t>
            </w: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1,332,078</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24,903</w:t>
            </w:r>
          </w:p>
        </w:tc>
        <w:tc>
          <w:tcPr>
            <w:tcW w:w="100" w:type="dxa"/>
            <w:vAlign w:val="bottom"/>
            <w:tcBorders>
              <w:top w:val="single" w:sz="8" w:color="CCEEFF"/>
            </w:tcBorders>
            <w:shd w:val="clear" w:color="auto" w:fill="CCEEFF"/>
          </w:tcPr>
          <w:p>
            <w:pPr>
              <w:spacing w:after="0"/>
              <w:rPr>
                <w:sz w:val="18"/>
                <w:szCs w:val="18"/>
                <w:color w:val="auto"/>
              </w:rPr>
            </w:pPr>
          </w:p>
        </w:tc>
        <w:tc>
          <w:tcPr>
            <w:tcW w:w="144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3.76</w:t>
            </w: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1,335,443</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22,850</w:t>
            </w:r>
          </w:p>
        </w:tc>
        <w:tc>
          <w:tcPr>
            <w:tcW w:w="80" w:type="dxa"/>
            <w:vAlign w:val="bottom"/>
            <w:tcBorders>
              <w:top w:val="single" w:sz="8" w:color="CCEEFF"/>
            </w:tcBorders>
            <w:shd w:val="clear" w:color="auto" w:fill="CCEEFF"/>
          </w:tcPr>
          <w:p>
            <w:pPr>
              <w:spacing w:after="0"/>
              <w:rPr>
                <w:sz w:val="18"/>
                <w:szCs w:val="18"/>
                <w:color w:val="auto"/>
              </w:rPr>
            </w:pPr>
          </w:p>
        </w:tc>
        <w:tc>
          <w:tcPr>
            <w:tcW w:w="1440" w:type="dxa"/>
            <w:vAlign w:val="bottom"/>
            <w:tcBorders>
              <w:top w:val="single" w:sz="8" w:color="auto"/>
              <w:bottom w:val="single" w:sz="8" w:color="auto"/>
            </w:tcBorders>
            <w:shd w:val="clear" w:color="auto" w:fill="CCEEFF"/>
          </w:tcPr>
          <w:p>
            <w:pPr>
              <w:ind w:left="960"/>
              <w:spacing w:after="0"/>
              <w:rPr>
                <w:sz w:val="20"/>
                <w:szCs w:val="20"/>
                <w:color w:val="auto"/>
              </w:rPr>
            </w:pPr>
            <w:r>
              <w:rPr>
                <w:rFonts w:ascii="Times New Roman" w:cs="Times New Roman" w:eastAsia="Times New Roman" w:hAnsi="Times New Roman"/>
                <w:sz w:val="16"/>
                <w:szCs w:val="16"/>
                <w:color w:val="auto"/>
              </w:rPr>
              <w:t>3.45</w:t>
            </w:r>
          </w:p>
        </w:tc>
        <w:tc>
          <w:tcPr>
            <w:tcW w:w="0" w:type="dxa"/>
            <w:vAlign w:val="bottom"/>
          </w:tcPr>
          <w:p>
            <w:pPr>
              <w:spacing w:after="0"/>
              <w:rPr>
                <w:sz w:val="1"/>
                <w:szCs w:val="1"/>
                <w:color w:val="auto"/>
              </w:rPr>
            </w:pPr>
          </w:p>
        </w:tc>
      </w:tr>
      <w:tr>
        <w:trPr>
          <w:trHeight w:val="207"/>
        </w:trPr>
        <w:tc>
          <w:tcPr>
            <w:tcW w:w="256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6"/>
                <w:szCs w:val="16"/>
                <w:color w:val="auto"/>
              </w:rPr>
              <w:t>Total interest-earning assets</w:t>
            </w:r>
          </w:p>
        </w:tc>
        <w:tc>
          <w:tcPr>
            <w:tcW w:w="1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4,685,736</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135,892</w:t>
            </w:r>
          </w:p>
        </w:tc>
        <w:tc>
          <w:tcPr>
            <w:tcW w:w="100" w:type="dxa"/>
            <w:vAlign w:val="bottom"/>
            <w:tcBorders>
              <w:bottom w:val="single" w:sz="8" w:color="CCEEFF"/>
            </w:tcBorders>
          </w:tcPr>
          <w:p>
            <w:pPr>
              <w:spacing w:after="0"/>
              <w:rPr>
                <w:sz w:val="17"/>
                <w:szCs w:val="17"/>
                <w:color w:val="auto"/>
              </w:rPr>
            </w:pPr>
          </w:p>
        </w:tc>
        <w:tc>
          <w:tcPr>
            <w:tcW w:w="144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5.83</w:t>
            </w:r>
          </w:p>
        </w:tc>
        <w:tc>
          <w:tcPr>
            <w:tcW w:w="8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3,355,859</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72,206</w:t>
            </w:r>
          </w:p>
        </w:tc>
        <w:tc>
          <w:tcPr>
            <w:tcW w:w="80" w:type="dxa"/>
            <w:vAlign w:val="bottom"/>
            <w:tcBorders>
              <w:bottom w:val="single" w:sz="8" w:color="CCEEFF"/>
            </w:tcBorders>
          </w:tcPr>
          <w:p>
            <w:pPr>
              <w:spacing w:after="0"/>
              <w:rPr>
                <w:sz w:val="17"/>
                <w:szCs w:val="17"/>
                <w:color w:val="auto"/>
              </w:rPr>
            </w:pPr>
          </w:p>
        </w:tc>
        <w:tc>
          <w:tcPr>
            <w:tcW w:w="1440" w:type="dxa"/>
            <w:vAlign w:val="bottom"/>
            <w:tcBorders>
              <w:bottom w:val="single" w:sz="8" w:color="auto"/>
            </w:tcBorders>
          </w:tcPr>
          <w:p>
            <w:pPr>
              <w:ind w:left="960"/>
              <w:spacing w:after="0"/>
              <w:rPr>
                <w:sz w:val="20"/>
                <w:szCs w:val="20"/>
                <w:color w:val="auto"/>
              </w:rPr>
            </w:pPr>
            <w:r>
              <w:rPr>
                <w:rFonts w:ascii="Times New Roman" w:cs="Times New Roman" w:eastAsia="Times New Roman" w:hAnsi="Times New Roman"/>
                <w:sz w:val="16"/>
                <w:szCs w:val="16"/>
                <w:color w:val="auto"/>
              </w:rPr>
              <w:t>4.34</w:t>
            </w:r>
          </w:p>
        </w:tc>
        <w:tc>
          <w:tcPr>
            <w:tcW w:w="0" w:type="dxa"/>
            <w:vAlign w:val="bottom"/>
          </w:tcPr>
          <w:p>
            <w:pPr>
              <w:spacing w:after="0"/>
              <w:rPr>
                <w:sz w:val="1"/>
                <w:szCs w:val="1"/>
                <w:color w:val="auto"/>
              </w:rPr>
            </w:pPr>
          </w:p>
        </w:tc>
      </w:tr>
      <w:tr>
        <w:trPr>
          <w:trHeight w:val="212"/>
        </w:trPr>
        <w:tc>
          <w:tcPr>
            <w:tcW w:w="2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Non-interest-earning assets</w:t>
            </w:r>
          </w:p>
        </w:tc>
        <w:tc>
          <w:tcPr>
            <w:tcW w:w="16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363,336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250,483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56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6"/>
                <w:szCs w:val="16"/>
                <w:color w:val="auto"/>
              </w:rPr>
              <w:t>Total assets</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5,049,072</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24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44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3,606,342</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26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44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53"/>
        </w:trPr>
        <w:tc>
          <w:tcPr>
            <w:tcW w:w="25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4"/>
        </w:trPr>
        <w:tc>
          <w:tcPr>
            <w:tcW w:w="25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Liabilities and shareholders’ equity:</w:t>
            </w: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Deposits:</w:t>
            </w: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56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Non-interest-bearing demand</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1,009,821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901,297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5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Interest-bearing demand</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1,038,847</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12,599</w:t>
            </w:r>
          </w:p>
        </w:tc>
        <w:tc>
          <w:tcPr>
            <w:tcW w:w="1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2.44 %</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563,405</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763</w:t>
            </w:r>
          </w:p>
        </w:tc>
        <w:tc>
          <w:tcPr>
            <w:tcW w:w="1520" w:type="dxa"/>
            <w:vAlign w:val="bottom"/>
            <w:gridSpan w:val="2"/>
            <w:shd w:val="clear" w:color="auto" w:fill="CCEEFF"/>
          </w:tcPr>
          <w:p>
            <w:pPr>
              <w:ind w:left="1040"/>
              <w:spacing w:after="0"/>
              <w:rPr>
                <w:sz w:val="20"/>
                <w:szCs w:val="20"/>
                <w:color w:val="auto"/>
              </w:rPr>
            </w:pPr>
            <w:r>
              <w:rPr>
                <w:rFonts w:ascii="Times New Roman" w:cs="Times New Roman" w:eastAsia="Times New Roman" w:hAnsi="Times New Roman"/>
                <w:sz w:val="16"/>
                <w:szCs w:val="16"/>
                <w:color w:val="auto"/>
              </w:rPr>
              <w:t>0.27 %</w:t>
            </w:r>
          </w:p>
        </w:tc>
        <w:tc>
          <w:tcPr>
            <w:tcW w:w="0" w:type="dxa"/>
            <w:vAlign w:val="bottom"/>
          </w:tcPr>
          <w:p>
            <w:pPr>
              <w:spacing w:after="0"/>
              <w:rPr>
                <w:sz w:val="1"/>
                <w:szCs w:val="1"/>
                <w:color w:val="auto"/>
              </w:rPr>
            </w:pPr>
          </w:p>
        </w:tc>
      </w:tr>
      <w:tr>
        <w:trPr>
          <w:trHeight w:val="213"/>
        </w:trPr>
        <w:tc>
          <w:tcPr>
            <w:tcW w:w="256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Savings</w:t>
            </w: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1,201,858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10,145</w:t>
            </w:r>
          </w:p>
        </w:tc>
        <w:tc>
          <w:tcPr>
            <w:tcW w:w="1540" w:type="dxa"/>
            <w:vAlign w:val="bottom"/>
            <w:gridSpan w:val="2"/>
          </w:tcPr>
          <w:p>
            <w:pPr>
              <w:jc w:val="right"/>
              <w:ind w:right="119"/>
              <w:spacing w:after="0"/>
              <w:rPr>
                <w:sz w:val="20"/>
                <w:szCs w:val="20"/>
                <w:color w:val="auto"/>
              </w:rPr>
            </w:pPr>
            <w:r>
              <w:rPr>
                <w:rFonts w:ascii="Times New Roman" w:cs="Times New Roman" w:eastAsia="Times New Roman" w:hAnsi="Times New Roman"/>
                <w:sz w:val="16"/>
                <w:szCs w:val="16"/>
                <w:color w:val="auto"/>
              </w:rPr>
              <w:t>1.70</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998,826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6,872</w:t>
            </w:r>
          </w:p>
        </w:tc>
        <w:tc>
          <w:tcPr>
            <w:tcW w:w="1520" w:type="dxa"/>
            <w:vAlign w:val="bottom"/>
            <w:gridSpan w:val="2"/>
          </w:tcPr>
          <w:p>
            <w:pPr>
              <w:ind w:left="1040"/>
              <w:spacing w:after="0"/>
              <w:rPr>
                <w:sz w:val="20"/>
                <w:szCs w:val="20"/>
                <w:color w:val="auto"/>
              </w:rPr>
            </w:pPr>
            <w:r>
              <w:rPr>
                <w:rFonts w:ascii="Times New Roman" w:cs="Times New Roman" w:eastAsia="Times New Roman" w:hAnsi="Times New Roman"/>
                <w:sz w:val="16"/>
                <w:szCs w:val="16"/>
                <w:color w:val="auto"/>
              </w:rPr>
              <w:t>1.39</w:t>
            </w:r>
          </w:p>
        </w:tc>
        <w:tc>
          <w:tcPr>
            <w:tcW w:w="0" w:type="dxa"/>
            <w:vAlign w:val="bottom"/>
          </w:tcPr>
          <w:p>
            <w:pPr>
              <w:spacing w:after="0"/>
              <w:rPr>
                <w:sz w:val="1"/>
                <w:szCs w:val="1"/>
                <w:color w:val="auto"/>
              </w:rPr>
            </w:pPr>
          </w:p>
        </w:tc>
      </w:tr>
      <w:tr>
        <w:trPr>
          <w:trHeight w:val="219"/>
        </w:trPr>
        <w:tc>
          <w:tcPr>
            <w:tcW w:w="25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Time</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943,852</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20,560</w:t>
            </w:r>
          </w:p>
        </w:tc>
        <w:tc>
          <w:tcPr>
            <w:tcW w:w="1540" w:type="dxa"/>
            <w:vAlign w:val="bottom"/>
            <w:gridSpan w:val="2"/>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4.38</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510,912</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7,796</w:t>
            </w:r>
          </w:p>
        </w:tc>
        <w:tc>
          <w:tcPr>
            <w:tcW w:w="1520" w:type="dxa"/>
            <w:vAlign w:val="bottom"/>
            <w:gridSpan w:val="2"/>
            <w:shd w:val="clear" w:color="auto" w:fill="CCEEFF"/>
          </w:tcPr>
          <w:p>
            <w:pPr>
              <w:ind w:left="1040"/>
              <w:spacing w:after="0"/>
              <w:rPr>
                <w:sz w:val="20"/>
                <w:szCs w:val="20"/>
                <w:color w:val="auto"/>
              </w:rPr>
            </w:pPr>
            <w:r>
              <w:rPr>
                <w:rFonts w:ascii="Times New Roman" w:cs="Times New Roman" w:eastAsia="Times New Roman" w:hAnsi="Times New Roman"/>
                <w:sz w:val="16"/>
                <w:szCs w:val="16"/>
                <w:color w:val="auto"/>
              </w:rPr>
              <w:t>3.08</w:t>
            </w:r>
          </w:p>
        </w:tc>
        <w:tc>
          <w:tcPr>
            <w:tcW w:w="0" w:type="dxa"/>
            <w:vAlign w:val="bottom"/>
          </w:tcPr>
          <w:p>
            <w:pPr>
              <w:spacing w:after="0"/>
              <w:rPr>
                <w:sz w:val="1"/>
                <w:szCs w:val="1"/>
                <w:color w:val="auto"/>
              </w:rPr>
            </w:pPr>
          </w:p>
        </w:tc>
      </w:tr>
      <w:tr>
        <w:trPr>
          <w:trHeight w:val="207"/>
        </w:trPr>
        <w:tc>
          <w:tcPr>
            <w:tcW w:w="256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6"/>
                <w:szCs w:val="16"/>
                <w:color w:val="auto"/>
              </w:rPr>
              <w:t>Total interest-bearing deposits</w:t>
            </w:r>
          </w:p>
        </w:tc>
        <w:tc>
          <w:tcPr>
            <w:tcW w:w="160" w:type="dxa"/>
            <w:vAlign w:val="bottom"/>
            <w:tcBorders>
              <w:top w:val="single" w:sz="8" w:color="auto"/>
              <w:bottom w:val="single" w:sz="8" w:color="auto"/>
            </w:tcBorders>
          </w:tcPr>
          <w:p>
            <w:pPr>
              <w:spacing w:after="0"/>
              <w:rPr>
                <w:sz w:val="17"/>
                <w:szCs w:val="17"/>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3,184,557</w:t>
            </w:r>
          </w:p>
        </w:tc>
        <w:tc>
          <w:tcPr>
            <w:tcW w:w="100" w:type="dxa"/>
            <w:vAlign w:val="bottom"/>
            <w:tcBorders>
              <w:bottom w:val="single" w:sz="8" w:color="CCEEFF"/>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43,304</w:t>
            </w:r>
          </w:p>
        </w:tc>
        <w:tc>
          <w:tcPr>
            <w:tcW w:w="100" w:type="dxa"/>
            <w:vAlign w:val="bottom"/>
            <w:tcBorders>
              <w:bottom w:val="single" w:sz="8" w:color="CCEEFF"/>
            </w:tcBorders>
          </w:tcPr>
          <w:p>
            <w:pPr>
              <w:spacing w:after="0"/>
              <w:rPr>
                <w:sz w:val="17"/>
                <w:szCs w:val="17"/>
                <w:color w:val="auto"/>
              </w:rPr>
            </w:pPr>
          </w:p>
        </w:tc>
        <w:tc>
          <w:tcPr>
            <w:tcW w:w="1440" w:type="dxa"/>
            <w:vAlign w:val="bottom"/>
            <w:tcBorders>
              <w:top w:val="single" w:sz="8" w:color="auto"/>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2.73</w:t>
            </w:r>
          </w:p>
        </w:tc>
        <w:tc>
          <w:tcPr>
            <w:tcW w:w="80" w:type="dxa"/>
            <w:vAlign w:val="bottom"/>
            <w:tcBorders>
              <w:bottom w:val="single" w:sz="8" w:color="CCEEFF"/>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2,073,143</w:t>
            </w:r>
          </w:p>
        </w:tc>
        <w:tc>
          <w:tcPr>
            <w:tcW w:w="100" w:type="dxa"/>
            <w:vAlign w:val="bottom"/>
            <w:tcBorders>
              <w:bottom w:val="single" w:sz="8" w:color="CCEEFF"/>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15,431</w:t>
            </w:r>
          </w:p>
        </w:tc>
        <w:tc>
          <w:tcPr>
            <w:tcW w:w="80" w:type="dxa"/>
            <w:vAlign w:val="bottom"/>
            <w:tcBorders>
              <w:bottom w:val="single" w:sz="8" w:color="CCEEFF"/>
            </w:tcBorders>
          </w:tcPr>
          <w:p>
            <w:pPr>
              <w:spacing w:after="0"/>
              <w:rPr>
                <w:sz w:val="17"/>
                <w:szCs w:val="17"/>
                <w:color w:val="auto"/>
              </w:rPr>
            </w:pPr>
          </w:p>
        </w:tc>
        <w:tc>
          <w:tcPr>
            <w:tcW w:w="1440" w:type="dxa"/>
            <w:vAlign w:val="bottom"/>
            <w:tcBorders>
              <w:top w:val="single" w:sz="8" w:color="auto"/>
              <w:bottom w:val="single" w:sz="8" w:color="auto"/>
            </w:tcBorders>
          </w:tcPr>
          <w:p>
            <w:pPr>
              <w:ind w:left="960"/>
              <w:spacing w:after="0"/>
              <w:rPr>
                <w:sz w:val="20"/>
                <w:szCs w:val="20"/>
                <w:color w:val="auto"/>
              </w:rPr>
            </w:pPr>
            <w:r>
              <w:rPr>
                <w:rFonts w:ascii="Times New Roman" w:cs="Times New Roman" w:eastAsia="Times New Roman" w:hAnsi="Times New Roman"/>
                <w:sz w:val="16"/>
                <w:szCs w:val="16"/>
                <w:color w:val="auto"/>
              </w:rPr>
              <w:t>1.50</w:t>
            </w:r>
          </w:p>
        </w:tc>
        <w:tc>
          <w:tcPr>
            <w:tcW w:w="0" w:type="dxa"/>
            <w:vAlign w:val="bottom"/>
          </w:tcPr>
          <w:p>
            <w:pPr>
              <w:spacing w:after="0"/>
              <w:rPr>
                <w:sz w:val="1"/>
                <w:szCs w:val="1"/>
                <w:color w:val="auto"/>
              </w:rPr>
            </w:pPr>
          </w:p>
        </w:tc>
      </w:tr>
      <w:tr>
        <w:trPr>
          <w:trHeight w:val="212"/>
        </w:trPr>
        <w:tc>
          <w:tcPr>
            <w:tcW w:w="256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Total deposits</w:t>
            </w:r>
          </w:p>
        </w:tc>
        <w:tc>
          <w:tcPr>
            <w:tcW w:w="16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4,194,378</w:t>
            </w: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43,304</w:t>
            </w:r>
          </w:p>
        </w:tc>
        <w:tc>
          <w:tcPr>
            <w:tcW w:w="100" w:type="dxa"/>
            <w:vAlign w:val="bottom"/>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2.08</w:t>
            </w:r>
          </w:p>
        </w:tc>
        <w:tc>
          <w:tcPr>
            <w:tcW w:w="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2,974,440</w:t>
            </w: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15,431</w:t>
            </w:r>
          </w:p>
        </w:tc>
        <w:tc>
          <w:tcPr>
            <w:tcW w:w="80" w:type="dxa"/>
            <w:vAlign w:val="bottom"/>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ind w:left="960"/>
              <w:spacing w:after="0"/>
              <w:rPr>
                <w:sz w:val="20"/>
                <w:szCs w:val="20"/>
                <w:color w:val="auto"/>
              </w:rPr>
            </w:pPr>
            <w:r>
              <w:rPr>
                <w:rFonts w:ascii="Times New Roman" w:cs="Times New Roman" w:eastAsia="Times New Roman" w:hAnsi="Times New Roman"/>
                <w:sz w:val="16"/>
                <w:szCs w:val="16"/>
                <w:color w:val="auto"/>
              </w:rPr>
              <w:t>1.05</w:t>
            </w:r>
          </w:p>
        </w:tc>
        <w:tc>
          <w:tcPr>
            <w:tcW w:w="0" w:type="dxa"/>
            <w:vAlign w:val="bottom"/>
          </w:tcPr>
          <w:p>
            <w:pPr>
              <w:spacing w:after="0"/>
              <w:rPr>
                <w:sz w:val="1"/>
                <w:szCs w:val="1"/>
                <w:color w:val="auto"/>
              </w:rPr>
            </w:pPr>
          </w:p>
        </w:tc>
      </w:tr>
      <w:tr>
        <w:trPr>
          <w:trHeight w:val="193"/>
        </w:trPr>
        <w:tc>
          <w:tcPr>
            <w:tcW w:w="25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Borrowings:</w:t>
            </w:r>
          </w:p>
        </w:tc>
        <w:tc>
          <w:tcPr>
            <w:tcW w:w="1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25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Short-term borrowings</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341,754</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7,782</w:t>
            </w:r>
          </w:p>
        </w:tc>
        <w:tc>
          <w:tcPr>
            <w:tcW w:w="1540" w:type="dxa"/>
            <w:vAlign w:val="bottom"/>
            <w:gridSpan w:val="2"/>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4.58</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322,157</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7,447</w:t>
            </w:r>
          </w:p>
        </w:tc>
        <w:tc>
          <w:tcPr>
            <w:tcW w:w="1520" w:type="dxa"/>
            <w:vAlign w:val="bottom"/>
            <w:gridSpan w:val="2"/>
            <w:shd w:val="clear" w:color="auto" w:fill="CCEEFF"/>
          </w:tcPr>
          <w:p>
            <w:pPr>
              <w:ind w:left="1040"/>
              <w:spacing w:after="0"/>
              <w:rPr>
                <w:sz w:val="20"/>
                <w:szCs w:val="20"/>
                <w:color w:val="auto"/>
              </w:rPr>
            </w:pPr>
            <w:r>
              <w:rPr>
                <w:rFonts w:ascii="Times New Roman" w:cs="Times New Roman" w:eastAsia="Times New Roman" w:hAnsi="Times New Roman"/>
                <w:sz w:val="16"/>
                <w:szCs w:val="16"/>
                <w:color w:val="auto"/>
              </w:rPr>
              <w:t>4.66</w:t>
            </w:r>
          </w:p>
        </w:tc>
        <w:tc>
          <w:tcPr>
            <w:tcW w:w="0" w:type="dxa"/>
            <w:vAlign w:val="bottom"/>
          </w:tcPr>
          <w:p>
            <w:pPr>
              <w:spacing w:after="0"/>
              <w:rPr>
                <w:sz w:val="1"/>
                <w:szCs w:val="1"/>
                <w:color w:val="auto"/>
              </w:rPr>
            </w:pPr>
          </w:p>
        </w:tc>
      </w:tr>
      <w:tr>
        <w:trPr>
          <w:trHeight w:val="213"/>
        </w:trPr>
        <w:tc>
          <w:tcPr>
            <w:tcW w:w="256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Subordinated debt borrowings</w:t>
            </w: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36,321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1,860</w:t>
            </w:r>
          </w:p>
        </w:tc>
        <w:tc>
          <w:tcPr>
            <w:tcW w:w="1540" w:type="dxa"/>
            <w:vAlign w:val="bottom"/>
            <w:gridSpan w:val="2"/>
          </w:tcPr>
          <w:p>
            <w:pPr>
              <w:jc w:val="right"/>
              <w:ind w:right="119"/>
              <w:spacing w:after="0"/>
              <w:rPr>
                <w:sz w:val="20"/>
                <w:szCs w:val="20"/>
                <w:color w:val="auto"/>
              </w:rPr>
            </w:pPr>
            <w:r>
              <w:rPr>
                <w:rFonts w:ascii="Times New Roman" w:cs="Times New Roman" w:eastAsia="Times New Roman" w:hAnsi="Times New Roman"/>
                <w:sz w:val="16"/>
                <w:szCs w:val="16"/>
                <w:color w:val="auto"/>
              </w:rPr>
              <w:t>10.30</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440" w:type="dxa"/>
            <w:vAlign w:val="bottom"/>
          </w:tcPr>
          <w:p>
            <w:pPr>
              <w:ind w:left="1140"/>
              <w:spacing w:after="0"/>
              <w:rPr>
                <w:sz w:val="20"/>
                <w:szCs w:val="20"/>
                <w:color w:val="auto"/>
              </w:rPr>
            </w:pPr>
            <w:r>
              <w:rPr>
                <w:rFonts w:ascii="Times New Roman" w:cs="Times New Roman" w:eastAsia="Times New Roman" w:hAnsi="Times New Roman"/>
                <w:sz w:val="16"/>
                <w:szCs w:val="16"/>
                <w:color w:val="auto"/>
              </w:rPr>
              <w:t>N/A</w:t>
            </w:r>
          </w:p>
        </w:tc>
        <w:tc>
          <w:tcPr>
            <w:tcW w:w="0" w:type="dxa"/>
            <w:vAlign w:val="bottom"/>
          </w:tcPr>
          <w:p>
            <w:pPr>
              <w:spacing w:after="0"/>
              <w:rPr>
                <w:sz w:val="1"/>
                <w:szCs w:val="1"/>
                <w:color w:val="auto"/>
              </w:rPr>
            </w:pPr>
          </w:p>
        </w:tc>
      </w:tr>
      <w:tr>
        <w:trPr>
          <w:trHeight w:val="212"/>
        </w:trPr>
        <w:tc>
          <w:tcPr>
            <w:tcW w:w="25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interest-bearing liabilities</w:t>
            </w: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3,562,632</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52,946</w:t>
            </w:r>
          </w:p>
        </w:tc>
        <w:tc>
          <w:tcPr>
            <w:tcW w:w="100" w:type="dxa"/>
            <w:vAlign w:val="bottom"/>
            <w:tcBorders>
              <w:top w:val="single" w:sz="8" w:color="CCEEFF"/>
            </w:tcBorders>
            <w:shd w:val="clear" w:color="auto" w:fill="CCEEFF"/>
          </w:tcPr>
          <w:p>
            <w:pPr>
              <w:spacing w:after="0"/>
              <w:rPr>
                <w:sz w:val="18"/>
                <w:szCs w:val="18"/>
                <w:color w:val="auto"/>
              </w:rPr>
            </w:pPr>
          </w:p>
        </w:tc>
        <w:tc>
          <w:tcPr>
            <w:tcW w:w="144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2.99</w:t>
            </w: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2,395,300</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22,878</w:t>
            </w:r>
          </w:p>
        </w:tc>
        <w:tc>
          <w:tcPr>
            <w:tcW w:w="80" w:type="dxa"/>
            <w:vAlign w:val="bottom"/>
            <w:tcBorders>
              <w:top w:val="single" w:sz="8" w:color="CCEEFF"/>
            </w:tcBorders>
            <w:shd w:val="clear" w:color="auto" w:fill="CCEEFF"/>
          </w:tcPr>
          <w:p>
            <w:pPr>
              <w:spacing w:after="0"/>
              <w:rPr>
                <w:sz w:val="18"/>
                <w:szCs w:val="18"/>
                <w:color w:val="auto"/>
              </w:rPr>
            </w:pPr>
          </w:p>
        </w:tc>
        <w:tc>
          <w:tcPr>
            <w:tcW w:w="1440" w:type="dxa"/>
            <w:vAlign w:val="bottom"/>
            <w:tcBorders>
              <w:top w:val="single" w:sz="8" w:color="auto"/>
              <w:bottom w:val="single" w:sz="8" w:color="auto"/>
            </w:tcBorders>
            <w:shd w:val="clear" w:color="auto" w:fill="CCEEFF"/>
          </w:tcPr>
          <w:p>
            <w:pPr>
              <w:ind w:left="960"/>
              <w:spacing w:after="0"/>
              <w:rPr>
                <w:sz w:val="20"/>
                <w:szCs w:val="20"/>
                <w:color w:val="auto"/>
              </w:rPr>
            </w:pPr>
            <w:r>
              <w:rPr>
                <w:rFonts w:ascii="Times New Roman" w:cs="Times New Roman" w:eastAsia="Times New Roman" w:hAnsi="Times New Roman"/>
                <w:sz w:val="16"/>
                <w:szCs w:val="16"/>
                <w:color w:val="auto"/>
              </w:rPr>
              <w:t>1.93</w:t>
            </w:r>
          </w:p>
        </w:tc>
        <w:tc>
          <w:tcPr>
            <w:tcW w:w="0" w:type="dxa"/>
            <w:vAlign w:val="bottom"/>
          </w:tcPr>
          <w:p>
            <w:pPr>
              <w:spacing w:after="0"/>
              <w:rPr>
                <w:sz w:val="1"/>
                <w:szCs w:val="1"/>
                <w:color w:val="auto"/>
              </w:rPr>
            </w:pPr>
          </w:p>
        </w:tc>
      </w:tr>
      <w:tr>
        <w:trPr>
          <w:trHeight w:val="207"/>
        </w:trPr>
        <w:tc>
          <w:tcPr>
            <w:tcW w:w="25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Non-interest-bearing liabilities</w:t>
            </w:r>
          </w:p>
        </w:tc>
        <w:tc>
          <w:tcPr>
            <w:tcW w:w="1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78,489</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23,749</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2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Equity</w:t>
            </w:r>
          </w:p>
        </w:tc>
        <w:tc>
          <w:tcPr>
            <w:tcW w:w="1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434,451</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285,996</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256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6"/>
                <w:szCs w:val="16"/>
                <w:color w:val="auto"/>
              </w:rPr>
              <w:t>Total liabilities and equity</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5,049,072</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24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44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3,606,342</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26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44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53"/>
        </w:trPr>
        <w:tc>
          <w:tcPr>
            <w:tcW w:w="25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62"/>
        </w:trPr>
        <w:tc>
          <w:tcPr>
            <w:tcW w:w="256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Taxable-equivalent net interest income</w:t>
            </w:r>
          </w:p>
        </w:tc>
        <w:tc>
          <w:tcPr>
            <w:tcW w:w="1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82,946</w:t>
            </w:r>
          </w:p>
        </w:tc>
        <w:tc>
          <w:tcPr>
            <w:tcW w:w="100" w:type="dxa"/>
            <w:vAlign w:val="bottom"/>
            <w:vMerge w:val="restart"/>
          </w:tcPr>
          <w:p>
            <w:pPr>
              <w:spacing w:after="0"/>
              <w:rPr>
                <w:sz w:val="14"/>
                <w:szCs w:val="14"/>
                <w:color w:val="auto"/>
              </w:rPr>
            </w:pPr>
          </w:p>
        </w:tc>
        <w:tc>
          <w:tcPr>
            <w:tcW w:w="14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2.84 %</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49,328</w:t>
            </w:r>
          </w:p>
        </w:tc>
        <w:tc>
          <w:tcPr>
            <w:tcW w:w="80" w:type="dxa"/>
            <w:vAlign w:val="bottom"/>
            <w:vMerge w:val="restart"/>
          </w:tcPr>
          <w:p>
            <w:pPr>
              <w:spacing w:after="0"/>
              <w:rPr>
                <w:sz w:val="14"/>
                <w:szCs w:val="14"/>
                <w:color w:val="auto"/>
              </w:rPr>
            </w:pPr>
          </w:p>
        </w:tc>
        <w:tc>
          <w:tcPr>
            <w:tcW w:w="1440" w:type="dxa"/>
            <w:vAlign w:val="bottom"/>
            <w:vMerge w:val="restart"/>
          </w:tcPr>
          <w:p>
            <w:pPr>
              <w:ind w:left="960"/>
              <w:spacing w:after="0"/>
              <w:rPr>
                <w:sz w:val="20"/>
                <w:szCs w:val="20"/>
                <w:color w:val="auto"/>
              </w:rPr>
            </w:pPr>
            <w:r>
              <w:rPr>
                <w:rFonts w:ascii="Times New Roman" w:cs="Times New Roman" w:eastAsia="Times New Roman" w:hAnsi="Times New Roman"/>
                <w:sz w:val="16"/>
                <w:szCs w:val="16"/>
                <w:color w:val="auto"/>
              </w:rPr>
              <w:t>2.41 %</w:t>
            </w:r>
          </w:p>
        </w:tc>
        <w:tc>
          <w:tcPr>
            <w:tcW w:w="0" w:type="dxa"/>
            <w:vAlign w:val="bottom"/>
          </w:tcPr>
          <w:p>
            <w:pPr>
              <w:spacing w:after="0"/>
              <w:rPr>
                <w:sz w:val="1"/>
                <w:szCs w:val="1"/>
                <w:color w:val="auto"/>
              </w:rPr>
            </w:pPr>
          </w:p>
        </w:tc>
      </w:tr>
      <w:tr>
        <w:trPr>
          <w:trHeight w:val="216"/>
        </w:trPr>
        <w:tc>
          <w:tcPr>
            <w:tcW w:w="2560" w:type="dxa"/>
            <w:vAlign w:val="bottom"/>
            <w:tcBorders>
              <w:bottom w:val="single" w:sz="8" w:color="CCEEFF"/>
            </w:tcBorders>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/net interest spread </w:t>
            </w:r>
            <w:r>
              <w:rPr>
                <w:rFonts w:ascii="Times New Roman" w:cs="Times New Roman" w:eastAsia="Times New Roman" w:hAnsi="Times New Roman"/>
                <w:sz w:val="21"/>
                <w:szCs w:val="21"/>
                <w:color w:val="auto"/>
                <w:vertAlign w:val="superscript"/>
              </w:rPr>
              <w:t>(4)</w:t>
            </w:r>
          </w:p>
        </w:tc>
        <w:tc>
          <w:tcPr>
            <w:tcW w:w="160" w:type="dxa"/>
            <w:vAlign w:val="bottom"/>
            <w:tcBorders>
              <w:bottom w:val="single" w:sz="8" w:color="CCEEFF"/>
            </w:tcBorders>
          </w:tcPr>
          <w:p>
            <w:pPr>
              <w:spacing w:after="0"/>
              <w:rPr>
                <w:sz w:val="18"/>
                <w:szCs w:val="18"/>
                <w:color w:val="auto"/>
              </w:rPr>
            </w:pPr>
          </w:p>
        </w:tc>
        <w:tc>
          <w:tcPr>
            <w:tcW w:w="11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vMerge w:val="continue"/>
          </w:tcPr>
          <w:p>
            <w:pPr>
              <w:spacing w:after="0"/>
              <w:rPr>
                <w:sz w:val="18"/>
                <w:szCs w:val="18"/>
                <w:color w:val="auto"/>
              </w:rPr>
            </w:pPr>
          </w:p>
        </w:tc>
        <w:tc>
          <w:tcPr>
            <w:tcW w:w="144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11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vMerge w:val="continue"/>
          </w:tcPr>
          <w:p>
            <w:pPr>
              <w:spacing w:after="0"/>
              <w:rPr>
                <w:sz w:val="18"/>
                <w:szCs w:val="18"/>
                <w:color w:val="auto"/>
              </w:rPr>
            </w:pPr>
          </w:p>
        </w:tc>
        <w:tc>
          <w:tcPr>
            <w:tcW w:w="144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42"/>
        </w:trPr>
        <w:tc>
          <w:tcPr>
            <w:tcW w:w="2560" w:type="dxa"/>
            <w:vAlign w:val="bottom"/>
            <w:shd w:val="clear" w:color="auto" w:fill="CCEEFF"/>
          </w:tcPr>
          <w:p>
            <w:pPr>
              <w:ind w:left="20"/>
              <w:spacing w:after="0" w:line="142" w:lineRule="exact"/>
              <w:rPr>
                <w:sz w:val="20"/>
                <w:szCs w:val="20"/>
                <w:color w:val="auto"/>
              </w:rPr>
            </w:pPr>
            <w:r>
              <w:rPr>
                <w:rFonts w:ascii="Times New Roman" w:cs="Times New Roman" w:eastAsia="Times New Roman" w:hAnsi="Times New Roman"/>
                <w:sz w:val="16"/>
                <w:szCs w:val="16"/>
                <w:color w:val="auto"/>
              </w:rPr>
              <w:t>Taxable-equivalent net interest margin</w:t>
            </w:r>
          </w:p>
        </w:tc>
        <w:tc>
          <w:tcPr>
            <w:tcW w:w="16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154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3.56 %</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520" w:type="dxa"/>
            <w:vAlign w:val="bottom"/>
            <w:gridSpan w:val="2"/>
            <w:vMerge w:val="restart"/>
            <w:shd w:val="clear" w:color="auto" w:fill="CCEEFF"/>
          </w:tcPr>
          <w:p>
            <w:pPr>
              <w:ind w:left="1040"/>
              <w:spacing w:after="0"/>
              <w:rPr>
                <w:sz w:val="20"/>
                <w:szCs w:val="20"/>
                <w:color w:val="auto"/>
              </w:rPr>
            </w:pPr>
            <w:r>
              <w:rPr>
                <w:rFonts w:ascii="Times New Roman" w:cs="Times New Roman" w:eastAsia="Times New Roman" w:hAnsi="Times New Roman"/>
                <w:sz w:val="16"/>
                <w:szCs w:val="16"/>
                <w:color w:val="auto"/>
              </w:rPr>
              <w:t>2.96 %</w:t>
            </w:r>
          </w:p>
        </w:tc>
        <w:tc>
          <w:tcPr>
            <w:tcW w:w="0" w:type="dxa"/>
            <w:vAlign w:val="bottom"/>
          </w:tcPr>
          <w:p>
            <w:pPr>
              <w:spacing w:after="0"/>
              <w:rPr>
                <w:sz w:val="1"/>
                <w:szCs w:val="1"/>
                <w:color w:val="auto"/>
              </w:rPr>
            </w:pPr>
          </w:p>
        </w:tc>
      </w:tr>
      <w:tr>
        <w:trPr>
          <w:trHeight w:val="162"/>
        </w:trPr>
        <w:tc>
          <w:tcPr>
            <w:tcW w:w="2560" w:type="dxa"/>
            <w:vAlign w:val="bottom"/>
            <w:tcBorders>
              <w:bottom w:val="single" w:sz="8" w:color="CCEEFF"/>
            </w:tcBorders>
            <w:shd w:val="clear" w:color="auto" w:fill="CCEEFF"/>
          </w:tcPr>
          <w:p>
            <w:pPr>
              <w:ind w:left="180"/>
              <w:spacing w:after="0" w:line="108" w:lineRule="exact"/>
              <w:rPr>
                <w:sz w:val="20"/>
                <w:szCs w:val="20"/>
                <w:color w:val="auto"/>
              </w:rPr>
            </w:pPr>
            <w:r>
              <w:rPr>
                <w:rFonts w:ascii="Times New Roman" w:cs="Times New Roman" w:eastAsia="Times New Roman" w:hAnsi="Times New Roman"/>
                <w:sz w:val="11"/>
                <w:szCs w:val="11"/>
                <w:color w:val="auto"/>
              </w:rPr>
              <w:t>(5)</w:t>
            </w:r>
          </w:p>
        </w:tc>
        <w:tc>
          <w:tcPr>
            <w:tcW w:w="160" w:type="dxa"/>
            <w:vAlign w:val="bottom"/>
            <w:tcBorders>
              <w:bottom w:val="single" w:sz="8" w:color="CCEEFF"/>
            </w:tcBorders>
            <w:shd w:val="clear" w:color="auto" w:fill="CCEEFF"/>
          </w:tcPr>
          <w:p>
            <w:pPr>
              <w:spacing w:after="0"/>
              <w:rPr>
                <w:sz w:val="14"/>
                <w:szCs w:val="14"/>
                <w:color w:val="auto"/>
              </w:rPr>
            </w:pPr>
          </w:p>
        </w:tc>
        <w:tc>
          <w:tcPr>
            <w:tcW w:w="116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240" w:type="dxa"/>
            <w:vAlign w:val="bottom"/>
            <w:tcBorders>
              <w:bottom w:val="single" w:sz="8" w:color="CCEEFF"/>
            </w:tcBorders>
            <w:shd w:val="clear" w:color="auto" w:fill="CCEEFF"/>
          </w:tcPr>
          <w:p>
            <w:pPr>
              <w:spacing w:after="0"/>
              <w:rPr>
                <w:sz w:val="14"/>
                <w:szCs w:val="14"/>
                <w:color w:val="auto"/>
              </w:rPr>
            </w:pPr>
          </w:p>
        </w:tc>
        <w:tc>
          <w:tcPr>
            <w:tcW w:w="1540" w:type="dxa"/>
            <w:vAlign w:val="bottom"/>
            <w:tcBorders>
              <w:bottom w:val="single" w:sz="8" w:color="CCEEFF"/>
            </w:tcBorders>
            <w:gridSpan w:val="2"/>
            <w:vMerge w:val="continue"/>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CCEEFF"/>
            </w:tcBorders>
            <w:shd w:val="clear" w:color="auto" w:fill="CCEEFF"/>
          </w:tcPr>
          <w:p>
            <w:pPr>
              <w:spacing w:after="0"/>
              <w:rPr>
                <w:sz w:val="14"/>
                <w:szCs w:val="14"/>
                <w:color w:val="auto"/>
              </w:rPr>
            </w:pPr>
          </w:p>
        </w:tc>
        <w:tc>
          <w:tcPr>
            <w:tcW w:w="114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260" w:type="dxa"/>
            <w:vAlign w:val="bottom"/>
            <w:tcBorders>
              <w:bottom w:val="single" w:sz="8" w:color="CCEEFF"/>
            </w:tcBorders>
            <w:shd w:val="clear" w:color="auto" w:fill="CCEEFF"/>
          </w:tcPr>
          <w:p>
            <w:pPr>
              <w:spacing w:after="0"/>
              <w:rPr>
                <w:sz w:val="14"/>
                <w:szCs w:val="14"/>
                <w:color w:val="auto"/>
              </w:rPr>
            </w:pPr>
          </w:p>
        </w:tc>
        <w:tc>
          <w:tcPr>
            <w:tcW w:w="1520" w:type="dxa"/>
            <w:vAlign w:val="bottom"/>
            <w:tcBorders>
              <w:bottom w:val="single" w:sz="8" w:color="CCEEFF"/>
            </w:tcBorders>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3"/>
        </w:trPr>
        <w:tc>
          <w:tcPr>
            <w:tcW w:w="25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Taxable-equivalent net adjustment</w:t>
            </w:r>
          </w:p>
        </w:tc>
        <w:tc>
          <w:tcPr>
            <w:tcW w:w="160" w:type="dxa"/>
            <w:vAlign w:val="bottom"/>
            <w:tcBorders>
              <w:bottom w:val="single" w:sz="8" w:color="CCEEFF"/>
            </w:tcBorders>
          </w:tcPr>
          <w:p>
            <w:pPr>
              <w:spacing w:after="0"/>
              <w:rPr>
                <w:sz w:val="16"/>
                <w:szCs w:val="16"/>
                <w:color w:val="auto"/>
              </w:rPr>
            </w:pPr>
          </w:p>
        </w:tc>
        <w:tc>
          <w:tcPr>
            <w:tcW w:w="116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(1,050)</w:t>
            </w:r>
          </w:p>
        </w:tc>
        <w:tc>
          <w:tcPr>
            <w:tcW w:w="100" w:type="dxa"/>
            <w:vAlign w:val="bottom"/>
            <w:tcBorders>
              <w:bottom w:val="single" w:sz="8" w:color="CCEEFF"/>
            </w:tcBorders>
          </w:tcPr>
          <w:p>
            <w:pPr>
              <w:spacing w:after="0"/>
              <w:rPr>
                <w:sz w:val="16"/>
                <w:szCs w:val="16"/>
                <w:color w:val="auto"/>
              </w:rPr>
            </w:pPr>
          </w:p>
        </w:tc>
        <w:tc>
          <w:tcPr>
            <w:tcW w:w="1440" w:type="dxa"/>
            <w:vAlign w:val="bottom"/>
            <w:tcBorders>
              <w:top w:val="single" w:sz="8" w:color="auto"/>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80" w:type="dxa"/>
            <w:vAlign w:val="bottom"/>
            <w:tcBorders>
              <w:bottom w:val="single" w:sz="8" w:color="CCEEFF"/>
            </w:tcBorders>
          </w:tcPr>
          <w:p>
            <w:pPr>
              <w:spacing w:after="0"/>
              <w:rPr>
                <w:sz w:val="16"/>
                <w:szCs w:val="16"/>
                <w:color w:val="auto"/>
              </w:rPr>
            </w:pPr>
          </w:p>
        </w:tc>
        <w:tc>
          <w:tcPr>
            <w:tcW w:w="114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(762)</w:t>
            </w:r>
          </w:p>
        </w:tc>
        <w:tc>
          <w:tcPr>
            <w:tcW w:w="80" w:type="dxa"/>
            <w:vAlign w:val="bottom"/>
            <w:tcBorders>
              <w:bottom w:val="single" w:sz="8" w:color="CCEEFF"/>
            </w:tcBorders>
          </w:tcPr>
          <w:p>
            <w:pPr>
              <w:spacing w:after="0"/>
              <w:rPr>
                <w:sz w:val="16"/>
                <w:szCs w:val="16"/>
                <w:color w:val="auto"/>
              </w:rPr>
            </w:pPr>
          </w:p>
        </w:tc>
        <w:tc>
          <w:tcPr>
            <w:tcW w:w="1440" w:type="dxa"/>
            <w:vAlign w:val="bottom"/>
            <w:tcBorders>
              <w:top w:val="single" w:sz="8" w:color="auto"/>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interest income</w:t>
            </w:r>
          </w:p>
        </w:tc>
        <w:tc>
          <w:tcPr>
            <w:tcW w:w="16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81,896</w:t>
            </w:r>
          </w:p>
        </w:tc>
        <w:tc>
          <w:tcPr>
            <w:tcW w:w="10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48,566</w:t>
            </w:r>
          </w:p>
        </w:tc>
        <w:tc>
          <w:tcPr>
            <w:tcW w:w="8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5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interest-earning assets</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1,123,104</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960,559</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80" w:lineRule="exact"/>
        <w:rPr>
          <w:sz w:val="20"/>
          <w:szCs w:val="20"/>
          <w:color w:val="auto"/>
        </w:rPr>
      </w:pPr>
    </w:p>
    <w:p>
      <w:pPr>
        <w:ind w:left="640" w:hanging="308"/>
        <w:spacing w:after="0"/>
        <w:tabs>
          <w:tab w:leader="none" w:pos="64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Non-accrual loans are included in average loan balances.</w:t>
      </w:r>
    </w:p>
    <w:p>
      <w:pPr>
        <w:spacing w:after="0" w:line="109" w:lineRule="exact"/>
        <w:rPr>
          <w:rFonts w:ascii="Times New Roman" w:cs="Times New Roman" w:eastAsia="Times New Roman" w:hAnsi="Times New Roman"/>
          <w:sz w:val="14"/>
          <w:szCs w:val="14"/>
          <w:color w:val="auto"/>
        </w:rPr>
      </w:pPr>
    </w:p>
    <w:p>
      <w:pPr>
        <w:ind w:left="640" w:hanging="308"/>
        <w:spacing w:after="0"/>
        <w:tabs>
          <w:tab w:leader="none" w:pos="64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Loan fees are included in the calculation of interest income.</w:t>
      </w:r>
    </w:p>
    <w:p>
      <w:pPr>
        <w:spacing w:after="0" w:line="122" w:lineRule="exact"/>
        <w:rPr>
          <w:rFonts w:ascii="Times New Roman" w:cs="Times New Roman" w:eastAsia="Times New Roman" w:hAnsi="Times New Roman"/>
          <w:sz w:val="14"/>
          <w:szCs w:val="14"/>
          <w:color w:val="auto"/>
        </w:rPr>
      </w:pPr>
    </w:p>
    <w:p>
      <w:pPr>
        <w:ind w:left="640" w:hanging="308"/>
        <w:spacing w:after="0"/>
        <w:tabs>
          <w:tab w:leader="none" w:pos="64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Yields and interest income on tax-exempt assets are computed on a taxable-equivalent basis assuming a 21% tax rate.</w:t>
      </w:r>
    </w:p>
    <w:p>
      <w:pPr>
        <w:spacing w:after="0" w:line="122" w:lineRule="exact"/>
        <w:rPr>
          <w:rFonts w:ascii="Times New Roman" w:cs="Times New Roman" w:eastAsia="Times New Roman" w:hAnsi="Times New Roman"/>
          <w:sz w:val="14"/>
          <w:szCs w:val="14"/>
          <w:color w:val="auto"/>
        </w:rPr>
      </w:pPr>
    </w:p>
    <w:p>
      <w:pPr>
        <w:ind w:left="660" w:hanging="328"/>
        <w:spacing w:after="0" w:line="302" w:lineRule="auto"/>
        <w:tabs>
          <w:tab w:leader="none" w:pos="652"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interest rate spread represents the difference between the fully taxable-equivalent weighted-average yield on interest-earning assets and the weighted-average yield of interest-bearing liabilities for the period.</w:t>
      </w:r>
    </w:p>
    <w:p>
      <w:pPr>
        <w:spacing w:after="0" w:line="53" w:lineRule="exact"/>
        <w:rPr>
          <w:rFonts w:ascii="Times New Roman" w:cs="Times New Roman" w:eastAsia="Times New Roman" w:hAnsi="Times New Roman"/>
          <w:sz w:val="14"/>
          <w:szCs w:val="14"/>
          <w:color w:val="auto"/>
        </w:rPr>
      </w:pPr>
    </w:p>
    <w:p>
      <w:pPr>
        <w:ind w:left="640" w:hanging="308"/>
        <w:spacing w:after="0"/>
        <w:tabs>
          <w:tab w:leader="none" w:pos="64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net interest margin represents fully taxable-equivalent net interest income as a percent of average interest-earning assets for the period.</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Taxable-equivalent net interest margin, as presented above, is calculated by dividing fully-taxable equivalent (“FTE”) net interest income by total average earning assets. Net interest income, on an FTE basis, is a non-GAAP financial measure that the Company believes to provide a more accurate picture of the interest margin for comparative purposes. Management believes FTE net interest income is a standard practice in the banking industry, and when net interest income is adjusted on an FTE basis, yields on taxable, nontaxable, and partially taxable assets are comparable; however, the adjustment to an FTE basis has no impact on net income. FTE net interest income is calculated by adding the tax benefit on certain financial interest-earning assets, whose interest is tax-exempt, to total interest income then subtracting total interest expense. As a non-GAAP measure, FTE net interest income should not be considered as a substitute for the nearest comparable GAAP measure, net interest income. Net interest income shown elsewhere in this presentation is GAAP net interest income. The following table reconciles GAAP net interest income to FTE net interest income (in thousands).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60" w:type="dxa"/>
            <w:vAlign w:val="bottom"/>
            <w:gridSpan w:val="4"/>
          </w:tcPr>
          <w:p>
            <w:pPr>
              <w:jc w:val="right"/>
              <w:ind w:right="1159"/>
              <w:spacing w:after="0"/>
              <w:rPr>
                <w:sz w:val="20"/>
                <w:szCs w:val="20"/>
                <w:color w:val="auto"/>
              </w:rPr>
            </w:pPr>
            <w:r>
              <w:rPr>
                <w:rFonts w:ascii="Times New Roman" w:cs="Times New Roman" w:eastAsia="Times New Roman" w:hAnsi="Times New Roman"/>
                <w:sz w:val="16"/>
                <w:szCs w:val="16"/>
                <w:b w:val="1"/>
                <w:bCs w:val="1"/>
                <w:color w:val="auto"/>
              </w:rPr>
              <w:t>Six Months Ended</w:t>
            </w:r>
          </w:p>
        </w:tc>
      </w:tr>
      <w:tr>
        <w:trPr>
          <w:trHeight w:val="219"/>
        </w:trPr>
        <w:tc>
          <w:tcPr>
            <w:tcW w:w="75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4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June 30, 2024</w:t>
            </w:r>
          </w:p>
        </w:tc>
        <w:tc>
          <w:tcPr>
            <w:tcW w:w="260" w:type="dxa"/>
            <w:vAlign w:val="bottom"/>
          </w:tcPr>
          <w:p>
            <w:pPr>
              <w:spacing w:after="0"/>
              <w:rPr>
                <w:sz w:val="19"/>
                <w:szCs w:val="19"/>
                <w:color w:val="auto"/>
              </w:rPr>
            </w:pPr>
          </w:p>
        </w:tc>
        <w:tc>
          <w:tcPr>
            <w:tcW w:w="1560" w:type="dxa"/>
            <w:vAlign w:val="bottom"/>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June 30, 2023</w:t>
            </w:r>
          </w:p>
        </w:tc>
      </w:tr>
      <w:tr>
        <w:trPr>
          <w:trHeight w:val="199"/>
        </w:trPr>
        <w:tc>
          <w:tcPr>
            <w:tcW w:w="75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GAAP Financial Measurements</w:t>
            </w:r>
          </w:p>
        </w:tc>
        <w:tc>
          <w:tcPr>
            <w:tcW w:w="280" w:type="dxa"/>
            <w:vAlign w:val="bottom"/>
            <w:tcBorders>
              <w:top w:val="single" w:sz="8" w:color="auto"/>
            </w:tcBorders>
            <w:shd w:val="clear" w:color="auto" w:fill="CCEEFF"/>
          </w:tcPr>
          <w:p>
            <w:pPr>
              <w:spacing w:after="0"/>
              <w:rPr>
                <w:sz w:val="17"/>
                <w:szCs w:val="17"/>
                <w:color w:val="auto"/>
              </w:rPr>
            </w:pPr>
          </w:p>
        </w:tc>
        <w:tc>
          <w:tcPr>
            <w:tcW w:w="15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560" w:type="dxa"/>
            <w:vAlign w:val="bottom"/>
            <w:tcBorders>
              <w:top w:val="single" w:sz="8" w:color="auto"/>
            </w:tcBorders>
            <w:shd w:val="clear" w:color="auto" w:fill="CCEEFF"/>
          </w:tcPr>
          <w:p>
            <w:pPr>
              <w:spacing w:after="0"/>
              <w:rPr>
                <w:sz w:val="17"/>
                <w:szCs w:val="17"/>
                <w:color w:val="auto"/>
              </w:rPr>
            </w:pPr>
          </w:p>
        </w:tc>
      </w:tr>
      <w:tr>
        <w:trPr>
          <w:trHeight w:val="213"/>
        </w:trPr>
        <w:tc>
          <w:tcPr>
            <w:tcW w:w="75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Interest Income - Loans</w:t>
            </w: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109,718</w:t>
            </w:r>
          </w:p>
        </w:tc>
        <w:tc>
          <w:tcPr>
            <w:tcW w:w="10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48,060</w:t>
            </w:r>
          </w:p>
        </w:tc>
      </w:tr>
      <w:tr>
        <w:trPr>
          <w:trHeight w:val="219"/>
        </w:trPr>
        <w:tc>
          <w:tcPr>
            <w:tcW w:w="75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Interest Income - Tax-exempt loans</w:t>
            </w:r>
          </w:p>
        </w:tc>
        <w:tc>
          <w:tcPr>
            <w:tcW w:w="2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75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Interest Income - Securities taxable</w:t>
            </w:r>
          </w:p>
        </w:tc>
        <w:tc>
          <w:tcPr>
            <w:tcW w:w="28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19,873</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19,221</w:t>
            </w:r>
          </w:p>
        </w:tc>
      </w:tr>
      <w:tr>
        <w:trPr>
          <w:trHeight w:val="219"/>
        </w:trPr>
        <w:tc>
          <w:tcPr>
            <w:tcW w:w="75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Interest Income - Securities tax-exempt</w:t>
            </w:r>
          </w:p>
        </w:tc>
        <w:tc>
          <w:tcPr>
            <w:tcW w:w="2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3,917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2,867</w:t>
            </w:r>
          </w:p>
        </w:tc>
      </w:tr>
      <w:tr>
        <w:trPr>
          <w:trHeight w:val="213"/>
        </w:trPr>
        <w:tc>
          <w:tcPr>
            <w:tcW w:w="75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Interest Income - Other interest income</w:t>
            </w:r>
          </w:p>
        </w:tc>
        <w:tc>
          <w:tcPr>
            <w:tcW w:w="28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1,301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1,296</w:t>
            </w:r>
          </w:p>
        </w:tc>
      </w:tr>
      <w:tr>
        <w:trPr>
          <w:trHeight w:val="219"/>
        </w:trPr>
        <w:tc>
          <w:tcPr>
            <w:tcW w:w="75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Interest Expense - Deposits</w:t>
            </w:r>
          </w:p>
        </w:tc>
        <w:tc>
          <w:tcPr>
            <w:tcW w:w="2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43,304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15,431</w:t>
            </w:r>
          </w:p>
        </w:tc>
      </w:tr>
      <w:tr>
        <w:trPr>
          <w:trHeight w:val="213"/>
        </w:trPr>
        <w:tc>
          <w:tcPr>
            <w:tcW w:w="75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Interest Expense - Borrowed funds</w:t>
            </w:r>
          </w:p>
        </w:tc>
        <w:tc>
          <w:tcPr>
            <w:tcW w:w="28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7,726</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7,417</w:t>
            </w:r>
          </w:p>
        </w:tc>
      </w:tr>
      <w:tr>
        <w:trPr>
          <w:trHeight w:val="219"/>
        </w:trPr>
        <w:tc>
          <w:tcPr>
            <w:tcW w:w="75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Interest Expense - Subordinated debt</w:t>
            </w:r>
          </w:p>
        </w:tc>
        <w:tc>
          <w:tcPr>
            <w:tcW w:w="2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1,860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750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6"/>
                <w:szCs w:val="16"/>
                <w:color w:val="auto"/>
              </w:rPr>
              <w:t>Interest Expense - Other</w:t>
            </w:r>
          </w:p>
        </w:tc>
        <w:tc>
          <w:tcPr>
            <w:tcW w:w="28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56</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w:t>
            </w:r>
          </w:p>
        </w:tc>
      </w:tr>
      <w:tr>
        <w:trPr>
          <w:trHeight w:val="209"/>
        </w:trPr>
        <w:tc>
          <w:tcPr>
            <w:tcW w:w="7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Net Interest Income</w:t>
            </w: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81,896</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48,566</w:t>
            </w:r>
          </w:p>
        </w:tc>
      </w:tr>
      <w:tr>
        <w:trPr>
          <w:trHeight w:val="253"/>
        </w:trPr>
        <w:tc>
          <w:tcPr>
            <w:tcW w:w="75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60" w:type="dxa"/>
            <w:vAlign w:val="bottom"/>
          </w:tcPr>
          <w:p>
            <w:pPr>
              <w:spacing w:after="0"/>
              <w:rPr>
                <w:sz w:val="21"/>
                <w:szCs w:val="21"/>
                <w:color w:val="auto"/>
              </w:rPr>
            </w:pPr>
          </w:p>
        </w:tc>
      </w:tr>
      <w:tr>
        <w:trPr>
          <w:trHeight w:val="216"/>
        </w:trPr>
        <w:tc>
          <w:tcPr>
            <w:tcW w:w="7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Non-GAAP Financial Measurements</w:t>
            </w:r>
          </w:p>
        </w:tc>
        <w:tc>
          <w:tcPr>
            <w:tcW w:w="28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r>
      <w:tr>
        <w:trPr>
          <w:trHeight w:val="213"/>
        </w:trPr>
        <w:tc>
          <w:tcPr>
            <w:tcW w:w="750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6"/>
                <w:szCs w:val="16"/>
                <w:color w:val="auto"/>
              </w:rPr>
              <w:t>Add: Tax Benefit on Tax-Exempt Interest Income - Securities</w:t>
            </w:r>
          </w:p>
        </w:tc>
        <w:tc>
          <w:tcPr>
            <w:tcW w:w="2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1,050</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762</w:t>
            </w:r>
          </w:p>
        </w:tc>
      </w:tr>
      <w:tr>
        <w:trPr>
          <w:trHeight w:val="212"/>
        </w:trPr>
        <w:tc>
          <w:tcPr>
            <w:tcW w:w="7500" w:type="dxa"/>
            <w:vAlign w:val="bottom"/>
            <w:shd w:val="clear" w:color="auto" w:fill="CCEEFF"/>
          </w:tcPr>
          <w:p>
            <w:pPr>
              <w:ind w:left="20"/>
              <w:spacing w:after="0" w:line="213" w:lineRule="exact"/>
              <w:rPr>
                <w:sz w:val="20"/>
                <w:szCs w:val="20"/>
                <w:color w:val="auto"/>
              </w:rPr>
            </w:pPr>
            <w:r>
              <w:rPr>
                <w:rFonts w:ascii="Times New Roman" w:cs="Times New Roman" w:eastAsia="Times New Roman" w:hAnsi="Times New Roman"/>
                <w:sz w:val="16"/>
                <w:szCs w:val="16"/>
                <w:color w:val="auto"/>
              </w:rPr>
              <w:t xml:space="preserve">Total Tax Benefit on Tax-Exempt Interest Income </w:t>
            </w:r>
            <w:r>
              <w:rPr>
                <w:rFonts w:ascii="Times New Roman" w:cs="Times New Roman" w:eastAsia="Times New Roman" w:hAnsi="Times New Roman"/>
                <w:sz w:val="21"/>
                <w:szCs w:val="21"/>
                <w:color w:val="auto"/>
                <w:vertAlign w:val="superscript"/>
              </w:rPr>
              <w:t>(1)</w:t>
            </w:r>
          </w:p>
        </w:tc>
        <w:tc>
          <w:tcPr>
            <w:tcW w:w="280" w:type="dxa"/>
            <w:vAlign w:val="bottom"/>
            <w:tcBorders>
              <w:bottom w:val="single" w:sz="8" w:color="auto"/>
            </w:tcBorders>
            <w:shd w:val="clear" w:color="auto" w:fill="CCEEFF"/>
          </w:tcPr>
          <w:p>
            <w:pPr>
              <w:spacing w:after="0"/>
              <w:rPr>
                <w:sz w:val="18"/>
                <w:szCs w:val="18"/>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1,050</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762</w:t>
            </w:r>
          </w:p>
        </w:tc>
      </w:tr>
      <w:tr>
        <w:trPr>
          <w:trHeight w:val="207"/>
        </w:trPr>
        <w:tc>
          <w:tcPr>
            <w:tcW w:w="7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Tax-Equivalent Net Interest Income</w:t>
            </w:r>
          </w:p>
        </w:tc>
        <w:tc>
          <w:tcPr>
            <w:tcW w:w="2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82,946</w:t>
            </w:r>
          </w:p>
        </w:tc>
        <w:tc>
          <w:tcPr>
            <w:tcW w:w="100" w:type="dxa"/>
            <w:vAlign w:val="bottom"/>
          </w:tcPr>
          <w:p>
            <w:pPr>
              <w:spacing w:after="0"/>
              <w:rPr>
                <w:sz w:val="17"/>
                <w:szCs w:val="17"/>
                <w:color w:val="auto"/>
              </w:rPr>
            </w:pP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49,328</w:t>
            </w:r>
          </w:p>
        </w:tc>
      </w:tr>
    </w:tbl>
    <w:p>
      <w:pPr>
        <w:spacing w:after="0" w:line="180" w:lineRule="exact"/>
        <w:rPr>
          <w:sz w:val="20"/>
          <w:szCs w:val="20"/>
          <w:color w:val="auto"/>
        </w:rPr>
      </w:pPr>
    </w:p>
    <w:p>
      <w:pPr>
        <w:ind w:left="640" w:hanging="308"/>
        <w:spacing w:after="0"/>
        <w:tabs>
          <w:tab w:leader="none" w:pos="64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Tax benefit was calculated using the federal statutory tax rate of 21%.</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Yield/Rate and Volume Analysis</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following table sets forth the dollar difference in interest earned and paid for each major category of interest-earning assets and interest-bearing liabilities for the noted periods and the amount of such change attributable to changes in average balances (volume) or changes in average interest rates. Interest income and interest expense for the six months ended June 30, 2024, and June 30, 2023, are annualized using an actual days over calendar year method. The volume variances are equal to the increase or decrease in average balance multiplied by current period rates, and rate variances are equal to the increase or decrease in rate times prior period average balances. Variances attributable to both rate and volume changes are calculated by multiplying the change in rate by the change in average balance and are allocated to the volume variance. See table below (in thousands).</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500" w:type="dxa"/>
            <w:vAlign w:val="bottom"/>
            <w:gridSpan w:val="7"/>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Six Months Ended June 30, 2024, compared to June 30, 2023</w:t>
            </w:r>
          </w:p>
        </w:tc>
        <w:tc>
          <w:tcPr>
            <w:tcW w:w="0" w:type="dxa"/>
            <w:vAlign w:val="bottom"/>
          </w:tcPr>
          <w:p>
            <w:pPr>
              <w:spacing w:after="0"/>
              <w:rPr>
                <w:sz w:val="1"/>
                <w:szCs w:val="1"/>
                <w:color w:val="auto"/>
              </w:rPr>
            </w:pPr>
          </w:p>
        </w:tc>
      </w:tr>
      <w:tr>
        <w:trPr>
          <w:trHeight w:val="219"/>
        </w:trPr>
        <w:tc>
          <w:tcPr>
            <w:tcW w:w="66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4500" w:type="dxa"/>
            <w:vAlign w:val="bottom"/>
            <w:tcBorders>
              <w:bottom w:val="single" w:sz="8" w:color="auto"/>
            </w:tcBorders>
            <w:gridSpan w:val="7"/>
          </w:tcPr>
          <w:p>
            <w:pPr>
              <w:jc w:val="right"/>
              <w:ind w:right="679"/>
              <w:spacing w:after="0"/>
              <w:rPr>
                <w:sz w:val="20"/>
                <w:szCs w:val="20"/>
                <w:color w:val="auto"/>
              </w:rPr>
            </w:pPr>
            <w:r>
              <w:rPr>
                <w:rFonts w:ascii="Times New Roman" w:cs="Times New Roman" w:eastAsia="Times New Roman" w:hAnsi="Times New Roman"/>
                <w:sz w:val="16"/>
                <w:szCs w:val="16"/>
                <w:b w:val="1"/>
                <w:bCs w:val="1"/>
                <w:color w:val="auto"/>
              </w:rPr>
              <w:t>Dollar Increase (Decrease) Due to Change in:</w:t>
            </w:r>
          </w:p>
        </w:tc>
        <w:tc>
          <w:tcPr>
            <w:tcW w:w="0" w:type="dxa"/>
            <w:vAlign w:val="bottom"/>
          </w:tcPr>
          <w:p>
            <w:pPr>
              <w:spacing w:after="0"/>
              <w:rPr>
                <w:sz w:val="1"/>
                <w:szCs w:val="1"/>
                <w:color w:val="auto"/>
              </w:rPr>
            </w:pPr>
          </w:p>
        </w:tc>
      </w:tr>
      <w:tr>
        <w:trPr>
          <w:trHeight w:val="158"/>
        </w:trPr>
        <w:tc>
          <w:tcPr>
            <w:tcW w:w="6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40" w:type="dxa"/>
            <w:vAlign w:val="bottom"/>
            <w:gridSpan w:val="2"/>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Average Volume</w:t>
            </w:r>
          </w:p>
        </w:tc>
        <w:tc>
          <w:tcPr>
            <w:tcW w:w="1580" w:type="dxa"/>
            <w:vAlign w:val="bottom"/>
            <w:gridSpan w:val="3"/>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Average Yield / Rate</w:t>
            </w:r>
          </w:p>
        </w:tc>
        <w:tc>
          <w:tcPr>
            <w:tcW w:w="280" w:type="dxa"/>
            <w:vAlign w:val="bottom"/>
          </w:tcPr>
          <w:p>
            <w:pPr>
              <w:spacing w:after="0"/>
              <w:rPr>
                <w:sz w:val="13"/>
                <w:szCs w:val="13"/>
                <w:color w:val="auto"/>
              </w:rPr>
            </w:pPr>
          </w:p>
        </w:tc>
        <w:tc>
          <w:tcPr>
            <w:tcW w:w="1200" w:type="dxa"/>
            <w:vAlign w:val="bottom"/>
          </w:tcPr>
          <w:p>
            <w:pPr>
              <w:jc w:val="right"/>
              <w:ind w:right="559"/>
              <w:spacing w:after="0" w:line="158" w:lineRule="exact"/>
              <w:rPr>
                <w:sz w:val="20"/>
                <w:szCs w:val="20"/>
                <w:color w:val="auto"/>
              </w:rPr>
            </w:pPr>
            <w:r>
              <w:rPr>
                <w:rFonts w:ascii="Times New Roman" w:cs="Times New Roman" w:eastAsia="Times New Roman" w:hAnsi="Times New Roman"/>
                <w:sz w:val="16"/>
                <w:szCs w:val="16"/>
                <w:b w:val="1"/>
                <w:bCs w:val="1"/>
                <w:color w:val="auto"/>
              </w:rPr>
              <w:t>Net</w:t>
            </w:r>
          </w:p>
        </w:tc>
        <w:tc>
          <w:tcPr>
            <w:tcW w:w="0" w:type="dxa"/>
            <w:vAlign w:val="bottom"/>
          </w:tcPr>
          <w:p>
            <w:pPr>
              <w:spacing w:after="0"/>
              <w:rPr>
                <w:sz w:val="1"/>
                <w:szCs w:val="1"/>
                <w:color w:val="auto"/>
              </w:rPr>
            </w:pPr>
          </w:p>
        </w:tc>
      </w:tr>
      <w:tr>
        <w:trPr>
          <w:trHeight w:val="214"/>
        </w:trPr>
        <w:tc>
          <w:tcPr>
            <w:tcW w:w="6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vMerge w:val="continue"/>
          </w:tcPr>
          <w:p>
            <w:pPr>
              <w:spacing w:after="0"/>
              <w:rPr>
                <w:sz w:val="18"/>
                <w:szCs w:val="18"/>
                <w:color w:val="auto"/>
              </w:rPr>
            </w:pPr>
          </w:p>
        </w:tc>
        <w:tc>
          <w:tcPr>
            <w:tcW w:w="1580" w:type="dxa"/>
            <w:vAlign w:val="bottom"/>
            <w:gridSpan w:val="3"/>
            <w:vMerge w:val="continue"/>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0" w:type="dxa"/>
            <w:vAlign w:val="bottom"/>
          </w:tcPr>
          <w:p>
            <w:pPr>
              <w:spacing w:after="0"/>
              <w:rPr>
                <w:sz w:val="1"/>
                <w:szCs w:val="1"/>
                <w:color w:val="auto"/>
              </w:rPr>
            </w:pPr>
          </w:p>
        </w:tc>
      </w:tr>
      <w:tr>
        <w:trPr>
          <w:trHeight w:val="198"/>
        </w:trPr>
        <w:tc>
          <w:tcPr>
            <w:tcW w:w="66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Income from the interest-earning assets:</w:t>
            </w:r>
          </w:p>
        </w:tc>
        <w:tc>
          <w:tcPr>
            <w:tcW w:w="140" w:type="dxa"/>
            <w:vAlign w:val="bottom"/>
            <w:tcBorders>
              <w:top w:val="single" w:sz="8" w:color="auto"/>
            </w:tcBorders>
            <w:shd w:val="clear" w:color="auto" w:fill="CCEEFF"/>
          </w:tcPr>
          <w:p>
            <w:pPr>
              <w:spacing w:after="0"/>
              <w:rPr>
                <w:sz w:val="17"/>
                <w:szCs w:val="17"/>
                <w:color w:val="auto"/>
              </w:rPr>
            </w:pPr>
          </w:p>
        </w:tc>
        <w:tc>
          <w:tcPr>
            <w:tcW w:w="13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600" w:type="dxa"/>
            <w:vAlign w:val="bottom"/>
          </w:tcPr>
          <w:p>
            <w:pPr>
              <w:ind w:left="240"/>
              <w:spacing w:after="0" w:line="216" w:lineRule="exact"/>
              <w:rPr>
                <w:sz w:val="20"/>
                <w:szCs w:val="20"/>
                <w:color w:val="auto"/>
              </w:rPr>
            </w:pPr>
            <w:r>
              <w:rPr>
                <w:rFonts w:ascii="Times New Roman" w:cs="Times New Roman" w:eastAsia="Times New Roman" w:hAnsi="Times New Roman"/>
                <w:sz w:val="16"/>
                <w:szCs w:val="16"/>
                <w:color w:val="auto"/>
              </w:rPr>
              <w:t xml:space="preserve">Loans </w:t>
            </w:r>
            <w:r>
              <w:rPr>
                <w:rFonts w:ascii="Times New Roman" w:cs="Times New Roman" w:eastAsia="Times New Roman" w:hAnsi="Times New Roman"/>
                <w:sz w:val="21"/>
                <w:szCs w:val="21"/>
                <w:color w:val="auto"/>
                <w:vertAlign w:val="superscript"/>
              </w:rPr>
              <w:t>(1)</w:t>
            </w:r>
            <w:r>
              <w:rPr>
                <w:rFonts w:ascii="Times New Roman" w:cs="Times New Roman" w:eastAsia="Times New Roman" w:hAnsi="Times New Roman"/>
                <w:sz w:val="16"/>
                <w:szCs w:val="16"/>
                <w:color w:val="auto"/>
              </w:rPr>
              <w:t>, gross</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111,849</w:t>
            </w:r>
          </w:p>
        </w:tc>
        <w:tc>
          <w:tcPr>
            <w:tcW w:w="100" w:type="dxa"/>
            <w:vAlign w:val="bottom"/>
          </w:tcPr>
          <w:p>
            <w:pPr>
              <w:spacing w:after="0"/>
              <w:rPr>
                <w:sz w:val="18"/>
                <w:szCs w:val="18"/>
                <w:color w:val="auto"/>
              </w:rPr>
            </w:pPr>
          </w:p>
        </w:tc>
        <w:tc>
          <w:tcPr>
            <w:tcW w:w="5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7,077</w:t>
            </w:r>
          </w:p>
        </w:tc>
        <w:tc>
          <w:tcPr>
            <w:tcW w:w="10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118,926</w:t>
            </w:r>
          </w:p>
        </w:tc>
        <w:tc>
          <w:tcPr>
            <w:tcW w:w="0" w:type="dxa"/>
            <w:vAlign w:val="bottom"/>
          </w:tcPr>
          <w:p>
            <w:pPr>
              <w:spacing w:after="0"/>
              <w:rPr>
                <w:sz w:val="1"/>
                <w:szCs w:val="1"/>
                <w:color w:val="auto"/>
              </w:rPr>
            </w:pPr>
          </w:p>
        </w:tc>
      </w:tr>
      <w:tr>
        <w:trPr>
          <w:trHeight w:val="216"/>
        </w:trPr>
        <w:tc>
          <w:tcPr>
            <w:tcW w:w="6600" w:type="dxa"/>
            <w:vAlign w:val="bottom"/>
            <w:shd w:val="clear" w:color="auto" w:fill="CCEEFF"/>
          </w:tcPr>
          <w:p>
            <w:pPr>
              <w:ind w:left="240"/>
              <w:spacing w:after="0" w:line="216" w:lineRule="exact"/>
              <w:rPr>
                <w:sz w:val="20"/>
                <w:szCs w:val="20"/>
                <w:color w:val="auto"/>
              </w:rPr>
            </w:pPr>
            <w:r>
              <w:rPr>
                <w:rFonts w:ascii="Times New Roman" w:cs="Times New Roman" w:eastAsia="Times New Roman" w:hAnsi="Times New Roman"/>
                <w:sz w:val="16"/>
                <w:szCs w:val="16"/>
                <w:color w:val="auto"/>
              </w:rPr>
              <w:t xml:space="preserve">Securities </w:t>
            </w:r>
            <w:r>
              <w:rPr>
                <w:rFonts w:ascii="Times New Roman" w:cs="Times New Roman" w:eastAsia="Times New Roman" w:hAnsi="Times New Roman"/>
                <w:sz w:val="21"/>
                <w:szCs w:val="21"/>
                <w:color w:val="auto"/>
                <w:vertAlign w:val="superscript"/>
              </w:rPr>
              <w:t>(1)</w:t>
            </w: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1,720</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4,072</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5,792</w:t>
            </w:r>
          </w:p>
        </w:tc>
        <w:tc>
          <w:tcPr>
            <w:tcW w:w="0" w:type="dxa"/>
            <w:vAlign w:val="bottom"/>
          </w:tcPr>
          <w:p>
            <w:pPr>
              <w:spacing w:after="0"/>
              <w:rPr>
                <w:sz w:val="1"/>
                <w:szCs w:val="1"/>
                <w:color w:val="auto"/>
              </w:rPr>
            </w:pPr>
          </w:p>
        </w:tc>
      </w:tr>
      <w:tr>
        <w:trPr>
          <w:trHeight w:val="213"/>
        </w:trPr>
        <w:tc>
          <w:tcPr>
            <w:tcW w:w="660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6"/>
                <w:szCs w:val="16"/>
                <w:color w:val="auto"/>
              </w:rPr>
              <w:t>Interest-bearing deposits and fed funds sold</w:t>
            </w:r>
          </w:p>
        </w:tc>
        <w:tc>
          <w:tcPr>
            <w:tcW w:w="1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588</w:t>
            </w:r>
          </w:p>
        </w:tc>
        <w:tc>
          <w:tcPr>
            <w:tcW w:w="100" w:type="dxa"/>
            <w:vAlign w:val="bottom"/>
            <w:tcBorders>
              <w:bottom w:val="single" w:sz="8" w:color="CCEEFF"/>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(418)</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170</w:t>
            </w:r>
          </w:p>
        </w:tc>
        <w:tc>
          <w:tcPr>
            <w:tcW w:w="0" w:type="dxa"/>
            <w:vAlign w:val="bottom"/>
          </w:tcPr>
          <w:p>
            <w:pPr>
              <w:spacing w:after="0"/>
              <w:rPr>
                <w:sz w:val="1"/>
                <w:szCs w:val="1"/>
                <w:color w:val="auto"/>
              </w:rPr>
            </w:pPr>
          </w:p>
        </w:tc>
      </w:tr>
      <w:tr>
        <w:trPr>
          <w:trHeight w:val="212"/>
        </w:trPr>
        <w:tc>
          <w:tcPr>
            <w:tcW w:w="66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Total interest income on interest-earning assets</w:t>
            </w:r>
          </w:p>
        </w:tc>
        <w:tc>
          <w:tcPr>
            <w:tcW w:w="14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114,157</w:t>
            </w:r>
          </w:p>
        </w:tc>
        <w:tc>
          <w:tcPr>
            <w:tcW w:w="10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10,731</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124,888</w:t>
            </w:r>
          </w:p>
        </w:tc>
        <w:tc>
          <w:tcPr>
            <w:tcW w:w="0" w:type="dxa"/>
            <w:vAlign w:val="bottom"/>
          </w:tcPr>
          <w:p>
            <w:pPr>
              <w:spacing w:after="0"/>
              <w:rPr>
                <w:sz w:val="1"/>
                <w:szCs w:val="1"/>
                <w:color w:val="auto"/>
              </w:rPr>
            </w:pPr>
          </w:p>
        </w:tc>
      </w:tr>
      <w:tr>
        <w:trPr>
          <w:trHeight w:val="194"/>
        </w:trPr>
        <w:tc>
          <w:tcPr>
            <w:tcW w:w="66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Expense from the interest-bearing liabilities:</w:t>
            </w:r>
          </w:p>
        </w:tc>
        <w:tc>
          <w:tcPr>
            <w:tcW w:w="1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66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Interest-bearing demand deposits</w:t>
            </w: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12,053</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10,972</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23,025</w:t>
            </w:r>
          </w:p>
        </w:tc>
        <w:tc>
          <w:tcPr>
            <w:tcW w:w="0" w:type="dxa"/>
            <w:vAlign w:val="bottom"/>
          </w:tcPr>
          <w:p>
            <w:pPr>
              <w:spacing w:after="0"/>
              <w:rPr>
                <w:sz w:val="1"/>
                <w:szCs w:val="1"/>
                <w:color w:val="auto"/>
              </w:rPr>
            </w:pPr>
          </w:p>
        </w:tc>
      </w:tr>
      <w:tr>
        <w:trPr>
          <w:trHeight w:val="213"/>
        </w:trPr>
        <w:tc>
          <w:tcPr>
            <w:tcW w:w="66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Savings deposits</w:t>
            </w:r>
          </w:p>
        </w:tc>
        <w:tc>
          <w:tcPr>
            <w:tcW w:w="1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3,982</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602</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4,584</w:t>
            </w:r>
          </w:p>
        </w:tc>
        <w:tc>
          <w:tcPr>
            <w:tcW w:w="0" w:type="dxa"/>
            <w:vAlign w:val="bottom"/>
          </w:tcPr>
          <w:p>
            <w:pPr>
              <w:spacing w:after="0"/>
              <w:rPr>
                <w:sz w:val="1"/>
                <w:szCs w:val="1"/>
                <w:color w:val="auto"/>
              </w:rPr>
            </w:pPr>
          </w:p>
        </w:tc>
      </w:tr>
      <w:tr>
        <w:trPr>
          <w:trHeight w:val="219"/>
        </w:trPr>
        <w:tc>
          <w:tcPr>
            <w:tcW w:w="66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Time deposits</w:t>
            </w:r>
          </w:p>
        </w:tc>
        <w:tc>
          <w:tcPr>
            <w:tcW w:w="14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15,748</w:t>
            </w:r>
          </w:p>
        </w:tc>
        <w:tc>
          <w:tcPr>
            <w:tcW w:w="10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4,533</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20,281</w:t>
            </w:r>
          </w:p>
        </w:tc>
        <w:tc>
          <w:tcPr>
            <w:tcW w:w="0" w:type="dxa"/>
            <w:vAlign w:val="bottom"/>
          </w:tcPr>
          <w:p>
            <w:pPr>
              <w:spacing w:after="0"/>
              <w:rPr>
                <w:sz w:val="1"/>
                <w:szCs w:val="1"/>
                <w:color w:val="auto"/>
              </w:rPr>
            </w:pPr>
          </w:p>
        </w:tc>
      </w:tr>
      <w:tr>
        <w:trPr>
          <w:trHeight w:val="207"/>
        </w:trPr>
        <w:tc>
          <w:tcPr>
            <w:tcW w:w="660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6"/>
                <w:szCs w:val="16"/>
                <w:color w:val="auto"/>
              </w:rPr>
              <w:t>Total interest expense on interest-bearing deposits</w:t>
            </w:r>
          </w:p>
        </w:tc>
        <w:tc>
          <w:tcPr>
            <w:tcW w:w="14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31,783</w:t>
            </w:r>
          </w:p>
        </w:tc>
        <w:tc>
          <w:tcPr>
            <w:tcW w:w="100" w:type="dxa"/>
            <w:vAlign w:val="bottom"/>
            <w:tcBorders>
              <w:bottom w:val="single" w:sz="8" w:color="CCEEFF"/>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16,107</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47,890</w:t>
            </w:r>
          </w:p>
        </w:tc>
        <w:tc>
          <w:tcPr>
            <w:tcW w:w="0" w:type="dxa"/>
            <w:vAlign w:val="bottom"/>
          </w:tcPr>
          <w:p>
            <w:pPr>
              <w:spacing w:after="0"/>
              <w:rPr>
                <w:sz w:val="1"/>
                <w:szCs w:val="1"/>
                <w:color w:val="auto"/>
              </w:rPr>
            </w:pPr>
          </w:p>
        </w:tc>
      </w:tr>
      <w:tr>
        <w:trPr>
          <w:trHeight w:val="212"/>
        </w:trPr>
        <w:tc>
          <w:tcPr>
            <w:tcW w:w="66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Borrowings</w:t>
            </w:r>
          </w:p>
        </w:tc>
        <w:tc>
          <w:tcPr>
            <w:tcW w:w="14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5,785</w:t>
            </w:r>
          </w:p>
        </w:tc>
        <w:tc>
          <w:tcPr>
            <w:tcW w:w="10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(338)</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5,447</w:t>
            </w:r>
          </w:p>
        </w:tc>
        <w:tc>
          <w:tcPr>
            <w:tcW w:w="0" w:type="dxa"/>
            <w:vAlign w:val="bottom"/>
          </w:tcPr>
          <w:p>
            <w:pPr>
              <w:spacing w:after="0"/>
              <w:rPr>
                <w:sz w:val="1"/>
                <w:szCs w:val="1"/>
                <w:color w:val="auto"/>
              </w:rPr>
            </w:pPr>
          </w:p>
        </w:tc>
      </w:tr>
      <w:tr>
        <w:trPr>
          <w:trHeight w:val="207"/>
        </w:trPr>
        <w:tc>
          <w:tcPr>
            <w:tcW w:w="660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6"/>
                <w:szCs w:val="16"/>
                <w:color w:val="auto"/>
              </w:rPr>
              <w:t>Total interest expense on interest-bearing liabilities</w:t>
            </w:r>
          </w:p>
        </w:tc>
        <w:tc>
          <w:tcPr>
            <w:tcW w:w="14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37,568</w:t>
            </w:r>
          </w:p>
        </w:tc>
        <w:tc>
          <w:tcPr>
            <w:tcW w:w="100" w:type="dxa"/>
            <w:vAlign w:val="bottom"/>
            <w:tcBorders>
              <w:bottom w:val="single" w:sz="8" w:color="CCEEFF"/>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15,769</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53,337</w:t>
            </w:r>
          </w:p>
        </w:tc>
        <w:tc>
          <w:tcPr>
            <w:tcW w:w="0" w:type="dxa"/>
            <w:vAlign w:val="bottom"/>
          </w:tcPr>
          <w:p>
            <w:pPr>
              <w:spacing w:after="0"/>
              <w:rPr>
                <w:sz w:val="1"/>
                <w:szCs w:val="1"/>
                <w:color w:val="auto"/>
              </w:rPr>
            </w:pPr>
          </w:p>
        </w:tc>
      </w:tr>
      <w:tr>
        <w:trPr>
          <w:trHeight w:val="209"/>
        </w:trPr>
        <w:tc>
          <w:tcPr>
            <w:tcW w:w="660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b w:val="1"/>
                <w:bCs w:val="1"/>
                <w:color w:val="auto"/>
              </w:rPr>
              <w:t>Taxable-equivalent net interest income</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76,589</w:t>
            </w:r>
          </w:p>
        </w:tc>
        <w:tc>
          <w:tcPr>
            <w:tcW w:w="10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(5,038)</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71,551</w:t>
            </w:r>
          </w:p>
        </w:tc>
        <w:tc>
          <w:tcPr>
            <w:tcW w:w="0" w:type="dxa"/>
            <w:vAlign w:val="bottom"/>
          </w:tcPr>
          <w:p>
            <w:pPr>
              <w:spacing w:after="0"/>
              <w:rPr>
                <w:sz w:val="1"/>
                <w:szCs w:val="1"/>
                <w:color w:val="auto"/>
              </w:rPr>
            </w:pPr>
          </w:p>
        </w:tc>
      </w:tr>
    </w:tbl>
    <w:p>
      <w:pPr>
        <w:spacing w:after="0" w:line="180" w:lineRule="exact"/>
        <w:rPr>
          <w:sz w:val="20"/>
          <w:szCs w:val="20"/>
          <w:color w:val="auto"/>
        </w:rPr>
      </w:pPr>
    </w:p>
    <w:p>
      <w:pPr>
        <w:ind w:left="640" w:hanging="308"/>
        <w:spacing w:after="0"/>
        <w:tabs>
          <w:tab w:leader="none" w:pos="64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Yields and interest income on tax-exempt securities have been computed on a taxable-equivalent basis.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Income</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Total interest income was $134.8 million for the six months ended June 30, 2024, compared to $71.4 million for the six months ended June 30, 2023, an increase of 88.7%. The increase in interest income was due to the effect of the Merger and the acquisition of additional interest-earning assets. Interest income on loans increased by $61.7 million and interest income on securities increased $1.7 million, for the six months ended June 30, 2024, compared to the six months ended June 30, 2023.</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Total interest expense was $52.9 million for the six months ended June 30, 2024, compared to $22.9 million for the six months ended June 30, 2023. The increase in interest expense was a result of the Merger and the assumption of additional interest-bearing liabilities. Interest expense on interest-bearing deposits and borrowed funds increased by $27.9 million and $0.3 million, respectively, for the six months ended June 30, 2024, compared to the six months ended June 30, 2023. Interest on subordinated debt assumed in the Merger was $1.9 million for the six months ended June 30, 2024.</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Provision for (Recapture of) Credit Losses</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The provision for credit losses was $23.2 million for the six months ended June 30, 2024, compared to a provision of $0.7 million for the six months ended June 30, 2023. The increased provision expense was due to a one-time CECL Day 2 provision for non-PCD assets acquired in the Merger and acquired commitments for unfunded commitments for the six months ended June 30, 2024, compared to the six months ended June 30, 2023. See </w:t>
      </w:r>
      <w:r>
        <w:rPr>
          <w:rFonts w:ascii="Times New Roman" w:cs="Times New Roman" w:eastAsia="Times New Roman" w:hAnsi="Times New Roman"/>
          <w:sz w:val="18"/>
          <w:szCs w:val="18"/>
          <w:u w:val="single" w:color="auto"/>
          <w:color w:val="0000FF"/>
        </w:rPr>
        <w:t>Note 4 -</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Allowance for Credit Losses</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in Notes to Consolidated Financial Statements for further information.</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Non-interest Income</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the various components of our non-interest income for the periods indicated (in thousands):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980" w:type="dxa"/>
            <w:vAlign w:val="bottom"/>
          </w:tcPr>
          <w:p>
            <w:pPr>
              <w:spacing w:after="0"/>
              <w:rPr>
                <w:sz w:val="18"/>
                <w:szCs w:val="18"/>
                <w:color w:val="auto"/>
              </w:rPr>
            </w:pPr>
          </w:p>
        </w:tc>
        <w:tc>
          <w:tcPr>
            <w:tcW w:w="252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c>
          <w:tcPr>
            <w:tcW w:w="4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880" w:type="dxa"/>
            <w:vAlign w:val="bottom"/>
            <w:tcBorders>
              <w:bottom w:val="single" w:sz="8" w:color="auto"/>
            </w:tcBorders>
            <w:gridSpan w:val="3"/>
          </w:tcPr>
          <w:p>
            <w:pPr>
              <w:jc w:val="right"/>
              <w:ind w:right="819"/>
              <w:spacing w:after="0"/>
              <w:rPr>
                <w:sz w:val="20"/>
                <w:szCs w:val="20"/>
                <w:color w:val="auto"/>
              </w:rPr>
            </w:pPr>
            <w:r>
              <w:rPr>
                <w:rFonts w:ascii="Times New Roman" w:cs="Times New Roman" w:eastAsia="Times New Roman" w:hAnsi="Times New Roman"/>
                <w:sz w:val="16"/>
                <w:szCs w:val="16"/>
                <w:b w:val="1"/>
                <w:bCs w:val="1"/>
                <w:color w:val="auto"/>
              </w:rPr>
              <w:t>Increase (Decrease)</w:t>
            </w:r>
          </w:p>
        </w:tc>
      </w:tr>
      <w:tr>
        <w:trPr>
          <w:trHeight w:val="211"/>
        </w:trPr>
        <w:tc>
          <w:tcPr>
            <w:tcW w:w="49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2023</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gridSpan w:val="2"/>
          </w:tcPr>
          <w:p>
            <w:pPr>
              <w:ind w:left="18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600" w:type="dxa"/>
            <w:vAlign w:val="bottom"/>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Percent</w:t>
            </w:r>
          </w:p>
        </w:tc>
      </w:tr>
      <w:tr>
        <w:trPr>
          <w:trHeight w:val="211"/>
        </w:trPr>
        <w:tc>
          <w:tcPr>
            <w:tcW w:w="49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Fiduciary and wealth management</w:t>
            </w:r>
          </w:p>
        </w:tc>
        <w:tc>
          <w:tcPr>
            <w:tcW w:w="920" w:type="dxa"/>
            <w:vAlign w:val="bottom"/>
            <w:tcBorders>
              <w:top w:val="single" w:sz="8" w:color="auto"/>
            </w:tcBorders>
            <w:shd w:val="clear" w:color="auto" w:fill="CCEEFF"/>
          </w:tcPr>
          <w:p>
            <w:pPr>
              <w:jc w:val="right"/>
              <w:ind w:right="739"/>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3,630</w:t>
            </w:r>
          </w:p>
        </w:tc>
        <w:tc>
          <w:tcPr>
            <w:tcW w:w="8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ind w:right="799"/>
              <w:spacing w:after="0"/>
              <w:rPr>
                <w:sz w:val="20"/>
                <w:szCs w:val="20"/>
                <w:color w:val="auto"/>
              </w:rPr>
            </w:pPr>
            <w:r>
              <w:rPr>
                <w:rFonts w:ascii="Times New Roman" w:cs="Times New Roman" w:eastAsia="Times New Roman" w:hAnsi="Times New Roman"/>
                <w:sz w:val="16"/>
                <w:szCs w:val="16"/>
                <w:color w:val="auto"/>
                <w:w w:val="99"/>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2,642</w:t>
            </w: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988</w:t>
            </w:r>
          </w:p>
        </w:tc>
        <w:tc>
          <w:tcPr>
            <w:tcW w:w="80" w:type="dxa"/>
            <w:vAlign w:val="bottom"/>
            <w:tcBorders>
              <w:top w:val="single" w:sz="8" w:color="CCEEFF"/>
            </w:tcBorders>
            <w:shd w:val="clear" w:color="auto" w:fill="CCEEFF"/>
          </w:tcPr>
          <w:p>
            <w:pPr>
              <w:spacing w:after="0"/>
              <w:rPr>
                <w:sz w:val="18"/>
                <w:szCs w:val="18"/>
                <w:color w:val="auto"/>
              </w:rPr>
            </w:pP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37.4 %</w:t>
            </w:r>
          </w:p>
        </w:tc>
      </w:tr>
      <w:tr>
        <w:trPr>
          <w:trHeight w:val="213"/>
        </w:trPr>
        <w:tc>
          <w:tcPr>
            <w:tcW w:w="49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Service charges and fees</w:t>
            </w:r>
          </w:p>
        </w:tc>
        <w:tc>
          <w:tcPr>
            <w:tcW w:w="9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5,694</w:t>
            </w: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3,376</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2,318</w:t>
            </w:r>
          </w:p>
        </w:tc>
        <w:tc>
          <w:tcPr>
            <w:tcW w:w="80" w:type="dxa"/>
            <w:vAlign w:val="bottom"/>
          </w:tcPr>
          <w:p>
            <w:pPr>
              <w:spacing w:after="0"/>
              <w:rPr>
                <w:sz w:val="18"/>
                <w:szCs w:val="18"/>
                <w:color w:val="auto"/>
              </w:rPr>
            </w:pPr>
          </w:p>
        </w:tc>
        <w:tc>
          <w:tcPr>
            <w:tcW w:w="16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68.7</w:t>
            </w:r>
          </w:p>
        </w:tc>
      </w:tr>
      <w:tr>
        <w:trPr>
          <w:trHeight w:val="219"/>
        </w:trPr>
        <w:tc>
          <w:tcPr>
            <w:tcW w:w="4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gains (losses) on securities</w:t>
            </w:r>
          </w:p>
        </w:tc>
        <w:tc>
          <w:tcPr>
            <w:tcW w:w="92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613</w:t>
            </w:r>
          </w:p>
        </w:tc>
        <w:tc>
          <w:tcPr>
            <w:tcW w:w="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724</w:t>
            </w:r>
          </w:p>
        </w:tc>
        <w:tc>
          <w:tcPr>
            <w:tcW w:w="80" w:type="dxa"/>
            <w:vAlign w:val="bottom"/>
            <w:shd w:val="clear" w:color="auto" w:fill="CCEEFF"/>
          </w:tcPr>
          <w:p>
            <w:pPr>
              <w:spacing w:after="0"/>
              <w:rPr>
                <w:sz w:val="19"/>
                <w:szCs w:val="19"/>
                <w:color w:val="auto"/>
              </w:rPr>
            </w:pPr>
          </w:p>
        </w:tc>
        <w:tc>
          <w:tcPr>
            <w:tcW w:w="16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652.3</w:t>
            </w:r>
          </w:p>
        </w:tc>
      </w:tr>
      <w:tr>
        <w:trPr>
          <w:trHeight w:val="213"/>
        </w:trPr>
        <w:tc>
          <w:tcPr>
            <w:tcW w:w="49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Income from company-owned life insurance</w:t>
            </w:r>
          </w:p>
        </w:tc>
        <w:tc>
          <w:tcPr>
            <w:tcW w:w="9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1,469</w:t>
            </w: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1,131</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338</w:t>
            </w:r>
          </w:p>
        </w:tc>
        <w:tc>
          <w:tcPr>
            <w:tcW w:w="80" w:type="dxa"/>
            <w:vAlign w:val="bottom"/>
          </w:tcPr>
          <w:p>
            <w:pPr>
              <w:spacing w:after="0"/>
              <w:rPr>
                <w:sz w:val="18"/>
                <w:szCs w:val="18"/>
                <w:color w:val="auto"/>
              </w:rPr>
            </w:pPr>
          </w:p>
        </w:tc>
        <w:tc>
          <w:tcPr>
            <w:tcW w:w="16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29.9</w:t>
            </w:r>
          </w:p>
        </w:tc>
      </w:tr>
      <w:tr>
        <w:trPr>
          <w:trHeight w:val="219"/>
        </w:trPr>
        <w:tc>
          <w:tcPr>
            <w:tcW w:w="4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non-interest income</w:t>
            </w:r>
          </w:p>
        </w:tc>
        <w:tc>
          <w:tcPr>
            <w:tcW w:w="92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2,353</w:t>
            </w:r>
          </w:p>
        </w:tc>
        <w:tc>
          <w:tcPr>
            <w:tcW w:w="80" w:type="dxa"/>
            <w:vAlign w:val="bottom"/>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1,801</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552</w:t>
            </w:r>
          </w:p>
        </w:tc>
        <w:tc>
          <w:tcPr>
            <w:tcW w:w="80" w:type="dxa"/>
            <w:vAlign w:val="bottom"/>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30.6</w:t>
            </w:r>
          </w:p>
        </w:tc>
      </w:tr>
      <w:tr>
        <w:trPr>
          <w:trHeight w:val="207"/>
        </w:trPr>
        <w:tc>
          <w:tcPr>
            <w:tcW w:w="49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920" w:type="dxa"/>
            <w:vAlign w:val="bottom"/>
            <w:tcBorders>
              <w:bottom w:val="single" w:sz="8" w:color="auto"/>
            </w:tcBorders>
          </w:tcPr>
          <w:p>
            <w:pPr>
              <w:jc w:val="right"/>
              <w:ind w:right="739"/>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13,759</w:t>
            </w:r>
          </w:p>
        </w:tc>
        <w:tc>
          <w:tcPr>
            <w:tcW w:w="80" w:type="dxa"/>
            <w:vAlign w:val="bottom"/>
          </w:tcPr>
          <w:p>
            <w:pPr>
              <w:spacing w:after="0"/>
              <w:rPr>
                <w:sz w:val="17"/>
                <w:szCs w:val="17"/>
                <w:color w:val="auto"/>
              </w:rPr>
            </w:pPr>
          </w:p>
        </w:tc>
        <w:tc>
          <w:tcPr>
            <w:tcW w:w="980" w:type="dxa"/>
            <w:vAlign w:val="bottom"/>
            <w:tcBorders>
              <w:bottom w:val="single" w:sz="8" w:color="auto"/>
            </w:tcBorders>
          </w:tcPr>
          <w:p>
            <w:pPr>
              <w:jc w:val="right"/>
              <w:ind w:right="799"/>
              <w:spacing w:after="0"/>
              <w:rPr>
                <w:sz w:val="20"/>
                <w:szCs w:val="20"/>
                <w:color w:val="auto"/>
              </w:rPr>
            </w:pPr>
            <w:r>
              <w:rPr>
                <w:rFonts w:ascii="Times New Roman" w:cs="Times New Roman" w:eastAsia="Times New Roman" w:hAnsi="Times New Roman"/>
                <w:sz w:val="16"/>
                <w:szCs w:val="16"/>
                <w:color w:val="auto"/>
                <w:w w:val="99"/>
              </w:rPr>
              <w:t>$</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8,839</w:t>
            </w:r>
          </w:p>
        </w:tc>
        <w:tc>
          <w:tcPr>
            <w:tcW w:w="100" w:type="dxa"/>
            <w:vAlign w:val="bottom"/>
          </w:tcPr>
          <w:p>
            <w:pPr>
              <w:spacing w:after="0"/>
              <w:rPr>
                <w:sz w:val="17"/>
                <w:szCs w:val="17"/>
                <w:color w:val="auto"/>
              </w:rPr>
            </w:pPr>
          </w:p>
        </w:tc>
        <w:tc>
          <w:tcPr>
            <w:tcW w:w="2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4,920</w:t>
            </w:r>
          </w:p>
        </w:tc>
        <w:tc>
          <w:tcPr>
            <w:tcW w:w="80" w:type="dxa"/>
            <w:vAlign w:val="bottom"/>
          </w:tcPr>
          <w:p>
            <w:pPr>
              <w:spacing w:after="0"/>
              <w:rPr>
                <w:sz w:val="17"/>
                <w:szCs w:val="17"/>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55.7 %</w:t>
            </w:r>
          </w:p>
        </w:tc>
      </w:tr>
    </w:tbl>
    <w:p>
      <w:pPr>
        <w:spacing w:after="0" w:line="23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Non-interest income increased 55.7% for the six months ended June 30, 2024, compared to the six months ended June 30, 2023. The increase was primarily driven by the Merger. The largest increase was a $2.3 million increase in service charges and fees for the six months ended June 30, 2024, compared to the six months ended June 30, 2023. A majority of the securities acquired in the Merger were sold, resulting in gains of $0.6 million for the six months ended June 30, 2024, compared to losses of $0.1 million during the six months ended June 30, 2023. Loan swap fees included in other non-interest income increased $0.1 million for the six months ended June 30, 2024, compared to the six months ended June 30, 2023. Other categories of non-interest income also increased due to the Merger, for the six months ended June 30, 2024, compared to the six months ended June 30, 2023.</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Non-interest Expense</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the various components of our non-interest expense for the periods indicated (in thousands):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980" w:type="dxa"/>
            <w:vAlign w:val="bottom"/>
          </w:tcPr>
          <w:p>
            <w:pPr>
              <w:spacing w:after="0"/>
              <w:rPr>
                <w:sz w:val="18"/>
                <w:szCs w:val="18"/>
                <w:color w:val="auto"/>
              </w:rPr>
            </w:pPr>
          </w:p>
        </w:tc>
        <w:tc>
          <w:tcPr>
            <w:tcW w:w="248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c>
          <w:tcPr>
            <w:tcW w:w="5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880" w:type="dxa"/>
            <w:vAlign w:val="bottom"/>
            <w:tcBorders>
              <w:bottom w:val="single" w:sz="8" w:color="auto"/>
            </w:tcBorders>
            <w:gridSpan w:val="3"/>
          </w:tcPr>
          <w:p>
            <w:pPr>
              <w:jc w:val="right"/>
              <w:ind w:right="819"/>
              <w:spacing w:after="0"/>
              <w:rPr>
                <w:sz w:val="20"/>
                <w:szCs w:val="20"/>
                <w:color w:val="auto"/>
              </w:rPr>
            </w:pPr>
            <w:r>
              <w:rPr>
                <w:rFonts w:ascii="Times New Roman" w:cs="Times New Roman" w:eastAsia="Times New Roman" w:hAnsi="Times New Roman"/>
                <w:sz w:val="16"/>
                <w:szCs w:val="16"/>
                <w:b w:val="1"/>
                <w:bCs w:val="1"/>
                <w:color w:val="auto"/>
              </w:rPr>
              <w:t>Increase (Decrease)</w:t>
            </w:r>
          </w:p>
        </w:tc>
      </w:tr>
      <w:tr>
        <w:trPr>
          <w:trHeight w:val="211"/>
        </w:trPr>
        <w:tc>
          <w:tcPr>
            <w:tcW w:w="49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2023</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gridSpan w:val="2"/>
          </w:tcPr>
          <w:p>
            <w:pPr>
              <w:ind w:left="18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600" w:type="dxa"/>
            <w:vAlign w:val="bottom"/>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Percent</w:t>
            </w:r>
          </w:p>
        </w:tc>
      </w:tr>
      <w:tr>
        <w:trPr>
          <w:trHeight w:val="211"/>
        </w:trPr>
        <w:tc>
          <w:tcPr>
            <w:tcW w:w="49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Salaries and wages</w:t>
            </w:r>
          </w:p>
        </w:tc>
        <w:tc>
          <w:tcPr>
            <w:tcW w:w="920" w:type="dxa"/>
            <w:vAlign w:val="bottom"/>
            <w:tcBorders>
              <w:top w:val="single" w:sz="8" w:color="auto"/>
            </w:tcBorders>
            <w:shd w:val="clear" w:color="auto" w:fill="CCEEFF"/>
          </w:tcPr>
          <w:p>
            <w:pPr>
              <w:jc w:val="right"/>
              <w:ind w:right="739"/>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30,413</w:t>
            </w:r>
          </w:p>
        </w:tc>
        <w:tc>
          <w:tcPr>
            <w:tcW w:w="10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ind w:right="739"/>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19,416</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10,997</w:t>
            </w:r>
          </w:p>
        </w:tc>
        <w:tc>
          <w:tcPr>
            <w:tcW w:w="80" w:type="dxa"/>
            <w:vAlign w:val="bottom"/>
            <w:tcBorders>
              <w:top w:val="single" w:sz="8" w:color="CCEEFF"/>
            </w:tcBorders>
            <w:shd w:val="clear" w:color="auto" w:fill="CCEEFF"/>
          </w:tcPr>
          <w:p>
            <w:pPr>
              <w:spacing w:after="0"/>
              <w:rPr>
                <w:sz w:val="18"/>
                <w:szCs w:val="18"/>
                <w:color w:val="auto"/>
              </w:rPr>
            </w:pP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56.6 %</w:t>
            </w:r>
          </w:p>
        </w:tc>
      </w:tr>
      <w:tr>
        <w:trPr>
          <w:trHeight w:val="213"/>
        </w:trPr>
        <w:tc>
          <w:tcPr>
            <w:tcW w:w="49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Pensions and other employee benefits</w:t>
            </w:r>
          </w:p>
        </w:tc>
        <w:tc>
          <w:tcPr>
            <w:tcW w:w="9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7,668</w:t>
            </w: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4,874</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2,794</w:t>
            </w:r>
          </w:p>
        </w:tc>
        <w:tc>
          <w:tcPr>
            <w:tcW w:w="80" w:type="dxa"/>
            <w:vAlign w:val="bottom"/>
          </w:tcPr>
          <w:p>
            <w:pPr>
              <w:spacing w:after="0"/>
              <w:rPr>
                <w:sz w:val="18"/>
                <w:szCs w:val="18"/>
                <w:color w:val="auto"/>
              </w:rPr>
            </w:pPr>
          </w:p>
        </w:tc>
        <w:tc>
          <w:tcPr>
            <w:tcW w:w="16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57.3</w:t>
            </w:r>
          </w:p>
        </w:tc>
      </w:tr>
      <w:tr>
        <w:trPr>
          <w:trHeight w:val="219"/>
        </w:trPr>
        <w:tc>
          <w:tcPr>
            <w:tcW w:w="4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Occupancy</w:t>
            </w:r>
          </w:p>
        </w:tc>
        <w:tc>
          <w:tcPr>
            <w:tcW w:w="92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4,535</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3,002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1,533</w:t>
            </w:r>
          </w:p>
        </w:tc>
        <w:tc>
          <w:tcPr>
            <w:tcW w:w="80" w:type="dxa"/>
            <w:vAlign w:val="bottom"/>
            <w:shd w:val="clear" w:color="auto" w:fill="CCEEFF"/>
          </w:tcPr>
          <w:p>
            <w:pPr>
              <w:spacing w:after="0"/>
              <w:rPr>
                <w:sz w:val="19"/>
                <w:szCs w:val="19"/>
                <w:color w:val="auto"/>
              </w:rPr>
            </w:pPr>
          </w:p>
        </w:tc>
        <w:tc>
          <w:tcPr>
            <w:tcW w:w="16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51.1</w:t>
            </w:r>
          </w:p>
        </w:tc>
      </w:tr>
      <w:tr>
        <w:trPr>
          <w:trHeight w:val="213"/>
        </w:trPr>
        <w:tc>
          <w:tcPr>
            <w:tcW w:w="49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Equipment rentals, depreciation and maintenance</w:t>
            </w:r>
          </w:p>
        </w:tc>
        <w:tc>
          <w:tcPr>
            <w:tcW w:w="9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13,944</w:t>
            </w: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2,796</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11,148</w:t>
            </w:r>
          </w:p>
        </w:tc>
        <w:tc>
          <w:tcPr>
            <w:tcW w:w="80" w:type="dxa"/>
            <w:vAlign w:val="bottom"/>
          </w:tcPr>
          <w:p>
            <w:pPr>
              <w:spacing w:after="0"/>
              <w:rPr>
                <w:sz w:val="18"/>
                <w:szCs w:val="18"/>
                <w:color w:val="auto"/>
              </w:rPr>
            </w:pPr>
          </w:p>
        </w:tc>
        <w:tc>
          <w:tcPr>
            <w:tcW w:w="16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398.7</w:t>
            </w:r>
          </w:p>
        </w:tc>
      </w:tr>
      <w:tr>
        <w:trPr>
          <w:trHeight w:val="219"/>
        </w:trPr>
        <w:tc>
          <w:tcPr>
            <w:tcW w:w="4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92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29,037</w:t>
            </w:r>
          </w:p>
        </w:tc>
        <w:tc>
          <w:tcPr>
            <w:tcW w:w="100" w:type="dxa"/>
            <w:vAlign w:val="bottom"/>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11,625</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17,412</w:t>
            </w:r>
          </w:p>
        </w:tc>
        <w:tc>
          <w:tcPr>
            <w:tcW w:w="80" w:type="dxa"/>
            <w:vAlign w:val="bottom"/>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149.8</w:t>
            </w:r>
          </w:p>
        </w:tc>
      </w:tr>
      <w:tr>
        <w:trPr>
          <w:trHeight w:val="207"/>
        </w:trPr>
        <w:tc>
          <w:tcPr>
            <w:tcW w:w="49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920" w:type="dxa"/>
            <w:vAlign w:val="bottom"/>
            <w:tcBorders>
              <w:bottom w:val="single" w:sz="8" w:color="auto"/>
            </w:tcBorders>
          </w:tcPr>
          <w:p>
            <w:pPr>
              <w:jc w:val="right"/>
              <w:ind w:right="739"/>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85,597</w:t>
            </w:r>
          </w:p>
        </w:tc>
        <w:tc>
          <w:tcPr>
            <w:tcW w:w="100" w:type="dxa"/>
            <w:vAlign w:val="bottom"/>
          </w:tcPr>
          <w:p>
            <w:pPr>
              <w:spacing w:after="0"/>
              <w:rPr>
                <w:sz w:val="17"/>
                <w:szCs w:val="17"/>
                <w:color w:val="auto"/>
              </w:rPr>
            </w:pPr>
          </w:p>
        </w:tc>
        <w:tc>
          <w:tcPr>
            <w:tcW w:w="920" w:type="dxa"/>
            <w:vAlign w:val="bottom"/>
            <w:tcBorders>
              <w:bottom w:val="single" w:sz="8" w:color="auto"/>
            </w:tcBorders>
          </w:tcPr>
          <w:p>
            <w:pPr>
              <w:jc w:val="right"/>
              <w:ind w:right="739"/>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41,713</w:t>
            </w:r>
          </w:p>
        </w:tc>
        <w:tc>
          <w:tcPr>
            <w:tcW w:w="100" w:type="dxa"/>
            <w:vAlign w:val="bottom"/>
          </w:tcPr>
          <w:p>
            <w:pPr>
              <w:spacing w:after="0"/>
              <w:rPr>
                <w:sz w:val="17"/>
                <w:szCs w:val="17"/>
                <w:color w:val="auto"/>
              </w:rPr>
            </w:pP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43,884</w:t>
            </w:r>
          </w:p>
        </w:tc>
        <w:tc>
          <w:tcPr>
            <w:tcW w:w="80" w:type="dxa"/>
            <w:vAlign w:val="bottom"/>
          </w:tcPr>
          <w:p>
            <w:pPr>
              <w:spacing w:after="0"/>
              <w:rPr>
                <w:sz w:val="17"/>
                <w:szCs w:val="17"/>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105.2 %</w:t>
            </w:r>
          </w:p>
        </w:tc>
      </w:tr>
    </w:tbl>
    <w:p>
      <w:pPr>
        <w:spacing w:after="0" w:line="22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Non-interest expense increased $43.9 million or 105.2% for the six months ended June 30, 2024, compared to June 30, 2023. The increase was primarily due to effect of the Merger and also included higher legal fees, consulting fees, audit fees, investment banking fees, software contract terminations, change-in-control salary and benefit payments, funding a charitable donation (as contemplated by the Merger Agreement), and other expenses related to the Merger. For the six months ended June 30, 2024, the Company incurred $24.4 million of non-interest expense related to the Merger with Summit that are included in non-interest expense for the six months ended June 30, 2024. Other non-interest expense included $9.5 million of these costs, while the remaining amount of the total is included in the other line items of non-interest expense. See </w:t>
      </w:r>
      <w:r>
        <w:rPr>
          <w:rFonts w:ascii="Times New Roman" w:cs="Times New Roman" w:eastAsia="Times New Roman" w:hAnsi="Times New Roman"/>
          <w:sz w:val="18"/>
          <w:szCs w:val="18"/>
          <w:u w:val="single" w:color="auto"/>
          <w:color w:val="0000FF"/>
        </w:rPr>
        <w:t>Note 16 — Business Combination</w:t>
      </w:r>
      <w:r>
        <w:rPr>
          <w:rFonts w:ascii="Times New Roman" w:cs="Times New Roman" w:eastAsia="Times New Roman" w:hAnsi="Times New Roman"/>
          <w:sz w:val="18"/>
          <w:szCs w:val="18"/>
          <w:color w:val="auto"/>
        </w:rPr>
        <w:t xml:space="preserve"> in Notes to Consolidated Financial Statements for further information on Merger-related expenses and </w:t>
      </w:r>
      <w:r>
        <w:rPr>
          <w:rFonts w:ascii="Times New Roman" w:cs="Times New Roman" w:eastAsia="Times New Roman" w:hAnsi="Times New Roman"/>
          <w:sz w:val="18"/>
          <w:szCs w:val="18"/>
          <w:u w:val="single" w:color="auto"/>
          <w:color w:val="0000FF"/>
        </w:rPr>
        <w:t>Note 13 — Other Operating Expenses</w:t>
      </w:r>
      <w:r>
        <w:rPr>
          <w:rFonts w:ascii="Times New Roman" w:cs="Times New Roman" w:eastAsia="Times New Roman" w:hAnsi="Times New Roman"/>
          <w:sz w:val="18"/>
          <w:szCs w:val="18"/>
          <w:color w:val="auto"/>
        </w:rPr>
        <w:t xml:space="preserve"> in Notes to Consolidated Financial Statements for further information on “Other” non-interest expense.</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 Expense (Benefit)</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Income tax benefit was $1.5 million for the six months ended June 30, 2024, a decrease of $2.9 million from the tax provision for the six months ended June 30, 2023. The decrease was due to the decrease in net income and resulting net loss for the six months ended June 30, 2024, when compared to the six months ended June 30, 2023. For the six months ended June 30, 2024, the effective tax benefit was 11.2% while the effective tax rate was 9.4%, for June 30, 2023.</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right="4780"/>
        <w:spacing w:after="0" w:line="440" w:lineRule="auto"/>
        <w:rPr>
          <w:sz w:val="20"/>
          <w:szCs w:val="20"/>
          <w:color w:val="auto"/>
        </w:rPr>
      </w:pPr>
      <w:r>
        <w:rPr>
          <w:rFonts w:ascii="Times New Roman" w:cs="Times New Roman" w:eastAsia="Times New Roman" w:hAnsi="Times New Roman"/>
          <w:sz w:val="18"/>
          <w:szCs w:val="18"/>
          <w:b w:val="1"/>
          <w:bCs w:val="1"/>
          <w:color w:val="auto"/>
        </w:rPr>
        <w:t xml:space="preserve">Results of Operations for the Three Months Ended June 30, 2024, and June 30, 2023 </w:t>
      </w:r>
      <w:r>
        <w:rPr>
          <w:rFonts w:ascii="Times New Roman" w:cs="Times New Roman" w:eastAsia="Times New Roman" w:hAnsi="Times New Roman"/>
          <w:sz w:val="18"/>
          <w:szCs w:val="18"/>
          <w:b w:val="1"/>
          <w:bCs w:val="1"/>
          <w:i w:val="1"/>
          <w:iCs w:val="1"/>
          <w:color w:val="auto"/>
        </w:rPr>
        <w:t>General</w:t>
      </w:r>
    </w:p>
    <w:p>
      <w:pPr>
        <w:spacing w:after="0" w:line="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Net loss applicable to common shares for the three months ended June 30, 2024, was $17.1 million, compared to net income applicable to common shares of $6.0 million during the three months ended June 30, 2023. The $23.2 million decrease was primarily the result of Merger related expenses and one-time CECL Day 2 provision for non-PCD assets acquired in the merger for the three months ended June 30, 2024, compared to the three months ended June 30, 2023.</w:t>
      </w:r>
    </w:p>
    <w:p>
      <w:pPr>
        <w:spacing w:after="0" w:line="12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Net interest income increased by $36.0 million to $59.8 million for the three months ended June 30, 2024, compared to $23.8 million for the three months ended June 30, 2023. The main driver for this increase was the impact of the Merger.</w:t>
      </w:r>
    </w:p>
    <w:p>
      <w:pPr>
        <w:spacing w:after="0" w:line="10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the three months ended June 30, 2024, the Company recorded credit provision expense of $23.9 million compared to a provision of $0.2 million for the three months ended June 30, 2023. For the three months ended June 30, 2024, the Company recognized a one-time CECL Day 2 provision for non-PCD assets acquired in the Merger, which resulted in a higher credit provision expense for the three months ended June 30, 2024, compared to the three months ended June 30, 2023.</w:t>
      </w:r>
    </w:p>
    <w:p>
      <w:pPr>
        <w:spacing w:after="0" w:line="12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Non-interest income increased by $4.9 million, or 105.5%, to $9.5 million for the three months ended June 30, 2024, as compared to $4.6 million for the three months ended June 30, 2023, as a result of the Merger. In addition, the Company liquidated the majority of the acquired securities portfolio that resulted in a gain on sale of securities of $0.6 million.</w:t>
      </w:r>
    </w:p>
    <w:p>
      <w:pPr>
        <w:spacing w:after="0" w:line="12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Non-interest expense increased by $43.1 million, or 201.8%, to $64.4 million for the three months ended June 30, 2024, as compared to $21.3 million for the three months ended June 30, 2023. The increase was primarily due to effect of the Merger and also included higher legal fees, consulting fees, audit fees, investment banking fees, software contract terminations, change-in-control salary and benefit payments, funding a charitable donation (as part of the Merger Agreement), and other expenses related to the Merger. For the three months ended June 30, 2024, the Company incurred $23.8 million of expenses related to the Merger with Summit.</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Interest Income and Net Interest Margin</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Net interest income is the principal component of the Company’s income stream and represents the difference, or spread, between interest and fee income generated from earning assets and the interest expense paid on deposits and borrowed funds. Net interest margin, stated as a percentage, is the yield obtained by dividing the difference between interest income generated on earning assets and the interest expense paid on all funding sources by average earning assets.</w:t>
      </w:r>
    </w:p>
    <w:p>
      <w:pPr>
        <w:spacing w:after="0" w:line="12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Fluctuations in interest rates as well as changes in the volume and mix of earning assets and interest-bearing liabilities can impact net interest income and net interest margin. Management closely monitors both total net interest income and the net interest margin and seeks to maximize net interest income without exposing the Company to an excessive level of interest rate risk through our asset and liability policies. Interest rate risk is managed by monitoring the pricing, maturity and repricing options of all classes of interest-bearing assets and liabilities.</w:t>
      </w:r>
    </w:p>
    <w:p>
      <w:pPr>
        <w:spacing w:after="0" w:line="12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Net interest income totaled $59.8 million for the three months ended June 30, 2024, compared to $23.8 million for the three months ended June 30, 2023. The increase in net interest income was primarily driven by the merger which resulted in higher average balances on interest-earning assets beyond the higher average balances on interest-bearing liabilities.</w:t>
      </w:r>
    </w:p>
    <w:p>
      <w:pPr>
        <w:spacing w:after="0" w:line="12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tax-adjusted net interest margin was 4.06% for the three months ended June 30, 2024, compared to 2.87% for the three months ended June 30, 2023. The increase in tax-adjusted net interest margin was primarily driven by the effect of the merger and the acquisition of additional, higher-yielding interest-earning assets.</w:t>
      </w:r>
    </w:p>
    <w:p>
      <w:pPr>
        <w:spacing w:after="0" w:line="12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yield for the loan portfolio was 7.33% for the three months ended June 30, 2024, compared to 5.07% for the three months ended June 30, 2023. The increase was primarily the result of the effect of the Merger which resulted in the acquisition of additional, higher-yielding loans.</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tax-adjusted yield on the total investment securities portfolio was 4.05% for the three months ended June 30, 2024, compared to 3.45% for the three months ended June 30, 2023. The increase was partly due to higher yields in our investment portfolio in addition to the Merger, which resulted in the acquisition of additional securities with higher tax-adjusted yields.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yield on interest-bearing deposits increased to 2.90% during the three months ended June 30, 2024, from 1.88% during the three months ended June 30, 2023. The increase was a result of the Merger which resulted in the assumption of additional interest-bearing deposits with higher interest rates and to a lesser extent by higher market interest rates.</w:t>
      </w:r>
    </w:p>
    <w:p>
      <w:pPr>
        <w:spacing w:after="0" w:line="12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yield on our short-term borrowings for the three months ended June 30, 2024, was 4.38%, compared to 4.61% for the three months ended June 30, 2023. The decrease was due to cash flow hedges that effectively lowered our yield on short-term borrowings. The yield on our subordinated debt assumed in the Merger was 10.30%.</w:t>
      </w:r>
    </w:p>
    <w:p>
      <w:pPr>
        <w:spacing w:after="0" w:line="12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major components of net interest income and the related yields and rates for the three months ended June 30, 2024, and June 30, 2023, for comparison (dollars in thousands).</w:t>
      </w: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5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84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rPr>
              <w:t>For the Three Months Ended June 30,</w:t>
            </w:r>
          </w:p>
        </w:tc>
        <w:tc>
          <w:tcPr>
            <w:tcW w:w="1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5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2023</w:t>
            </w:r>
          </w:p>
        </w:tc>
        <w:tc>
          <w:tcPr>
            <w:tcW w:w="8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7"/>
        </w:trPr>
        <w:tc>
          <w:tcPr>
            <w:tcW w:w="2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60" w:type="dxa"/>
            <w:vAlign w:val="bottom"/>
          </w:tcPr>
          <w:p>
            <w:pPr>
              <w:jc w:val="center"/>
              <w:ind w:right="79"/>
              <w:spacing w:after="0" w:line="158" w:lineRule="exact"/>
              <w:rPr>
                <w:sz w:val="20"/>
                <w:szCs w:val="20"/>
                <w:color w:val="auto"/>
              </w:rPr>
            </w:pPr>
            <w:r>
              <w:rPr>
                <w:rFonts w:ascii="Times New Roman" w:cs="Times New Roman" w:eastAsia="Times New Roman" w:hAnsi="Times New Roman"/>
                <w:sz w:val="16"/>
                <w:szCs w:val="16"/>
                <w:b w:val="1"/>
                <w:bCs w:val="1"/>
                <w:color w:val="auto"/>
                <w:w w:val="98"/>
              </w:rPr>
              <w:t>Average</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40" w:type="dxa"/>
            <w:vAlign w:val="bottom"/>
            <w:vMerge w:val="restart"/>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Interest</w:t>
            </w:r>
          </w:p>
        </w:tc>
        <w:tc>
          <w:tcPr>
            <w:tcW w:w="100" w:type="dxa"/>
            <w:vAlign w:val="bottom"/>
          </w:tcPr>
          <w:p>
            <w:pPr>
              <w:spacing w:after="0"/>
              <w:rPr>
                <w:sz w:val="13"/>
                <w:szCs w:val="13"/>
                <w:color w:val="auto"/>
              </w:rPr>
            </w:pPr>
          </w:p>
        </w:tc>
        <w:tc>
          <w:tcPr>
            <w:tcW w:w="152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8"/>
              </w:rPr>
              <w:t>Average Yield /</w:t>
            </w:r>
          </w:p>
        </w:tc>
        <w:tc>
          <w:tcPr>
            <w:tcW w:w="180" w:type="dxa"/>
            <w:vAlign w:val="bottom"/>
          </w:tcPr>
          <w:p>
            <w:pPr>
              <w:spacing w:after="0"/>
              <w:rPr>
                <w:sz w:val="13"/>
                <w:szCs w:val="13"/>
                <w:color w:val="auto"/>
              </w:rPr>
            </w:pPr>
          </w:p>
        </w:tc>
        <w:tc>
          <w:tcPr>
            <w:tcW w:w="1140" w:type="dxa"/>
            <w:vAlign w:val="bottom"/>
          </w:tcPr>
          <w:p>
            <w:pPr>
              <w:jc w:val="center"/>
              <w:ind w:right="79"/>
              <w:spacing w:after="0" w:line="158" w:lineRule="exact"/>
              <w:rPr>
                <w:sz w:val="20"/>
                <w:szCs w:val="20"/>
                <w:color w:val="auto"/>
              </w:rPr>
            </w:pPr>
            <w:r>
              <w:rPr>
                <w:rFonts w:ascii="Times New Roman" w:cs="Times New Roman" w:eastAsia="Times New Roman" w:hAnsi="Times New Roman"/>
                <w:sz w:val="16"/>
                <w:szCs w:val="16"/>
                <w:b w:val="1"/>
                <w:bCs w:val="1"/>
                <w:color w:val="auto"/>
              </w:rPr>
              <w:t>Average</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vMerge w:val="restart"/>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Interest</w:t>
            </w:r>
          </w:p>
        </w:tc>
        <w:tc>
          <w:tcPr>
            <w:tcW w:w="80" w:type="dxa"/>
            <w:vAlign w:val="bottom"/>
          </w:tcPr>
          <w:p>
            <w:pPr>
              <w:spacing w:after="0"/>
              <w:rPr>
                <w:sz w:val="13"/>
                <w:szCs w:val="13"/>
                <w:color w:val="auto"/>
              </w:rPr>
            </w:pPr>
          </w:p>
        </w:tc>
        <w:tc>
          <w:tcPr>
            <w:tcW w:w="1440" w:type="dxa"/>
            <w:vAlign w:val="bottom"/>
            <w:vMerge w:val="restart"/>
          </w:tcPr>
          <w:p>
            <w:pPr>
              <w:ind w:left="200"/>
              <w:spacing w:after="0"/>
              <w:rPr>
                <w:sz w:val="20"/>
                <w:szCs w:val="20"/>
                <w:color w:val="auto"/>
              </w:rPr>
            </w:pPr>
            <w:r>
              <w:rPr>
                <w:rFonts w:ascii="Times New Roman" w:cs="Times New Roman" w:eastAsia="Times New Roman" w:hAnsi="Times New Roman"/>
                <w:sz w:val="16"/>
                <w:szCs w:val="16"/>
                <w:b w:val="1"/>
                <w:bCs w:val="1"/>
                <w:color w:val="auto"/>
              </w:rPr>
              <w:t>Average Yield /</w:t>
            </w:r>
          </w:p>
        </w:tc>
        <w:tc>
          <w:tcPr>
            <w:tcW w:w="0" w:type="dxa"/>
            <w:vAlign w:val="bottom"/>
          </w:tcPr>
          <w:p>
            <w:pPr>
              <w:spacing w:after="0"/>
              <w:rPr>
                <w:sz w:val="1"/>
                <w:szCs w:val="1"/>
                <w:color w:val="auto"/>
              </w:rPr>
            </w:pPr>
          </w:p>
        </w:tc>
      </w:tr>
      <w:tr>
        <w:trPr>
          <w:trHeight w:val="162"/>
        </w:trPr>
        <w:tc>
          <w:tcPr>
            <w:tcW w:w="2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tcPr>
          <w:p>
            <w:pPr>
              <w:jc w:val="center"/>
              <w:ind w:right="79"/>
              <w:spacing w:after="0" w:line="162" w:lineRule="exact"/>
              <w:rPr>
                <w:sz w:val="20"/>
                <w:szCs w:val="20"/>
                <w:color w:val="auto"/>
              </w:rPr>
            </w:pPr>
            <w:r>
              <w:rPr>
                <w:rFonts w:ascii="Times New Roman" w:cs="Times New Roman" w:eastAsia="Times New Roman" w:hAnsi="Times New Roman"/>
                <w:sz w:val="16"/>
                <w:szCs w:val="16"/>
                <w:b w:val="1"/>
                <w:bCs w:val="1"/>
                <w:color w:val="auto"/>
              </w:rPr>
              <w:t>Outstanding</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52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Pr>
          <w:p>
            <w:pPr>
              <w:jc w:val="center"/>
              <w:ind w:right="79"/>
              <w:spacing w:after="0" w:line="162" w:lineRule="exact"/>
              <w:rPr>
                <w:sz w:val="20"/>
                <w:szCs w:val="20"/>
                <w:color w:val="auto"/>
              </w:rPr>
            </w:pPr>
            <w:r>
              <w:rPr>
                <w:rFonts w:ascii="Times New Roman" w:cs="Times New Roman" w:eastAsia="Times New Roman" w:hAnsi="Times New Roman"/>
                <w:sz w:val="16"/>
                <w:szCs w:val="16"/>
                <w:b w:val="1"/>
                <w:bCs w:val="1"/>
                <w:color w:val="auto"/>
              </w:rPr>
              <w:t>Outstanding</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4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2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jc w:val="center"/>
              <w:ind w:right="79"/>
              <w:spacing w:after="0"/>
              <w:rPr>
                <w:sz w:val="20"/>
                <w:szCs w:val="20"/>
                <w:color w:val="auto"/>
              </w:rPr>
            </w:pPr>
            <w:r>
              <w:rPr>
                <w:rFonts w:ascii="Times New Roman" w:cs="Times New Roman" w:eastAsia="Times New Roman" w:hAnsi="Times New Roman"/>
                <w:sz w:val="16"/>
                <w:szCs w:val="16"/>
                <w:b w:val="1"/>
                <w:bCs w:val="1"/>
                <w:color w:val="auto"/>
              </w:rPr>
              <w:t>Balance</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w w:val="99"/>
              </w:rPr>
              <w:t>Income/Expense</w:t>
            </w:r>
          </w:p>
        </w:tc>
        <w:tc>
          <w:tcPr>
            <w:tcW w:w="100" w:type="dxa"/>
            <w:vAlign w:val="bottom"/>
          </w:tcPr>
          <w:p>
            <w:pPr>
              <w:spacing w:after="0"/>
              <w:rPr>
                <w:sz w:val="18"/>
                <w:szCs w:val="18"/>
                <w:color w:val="auto"/>
              </w:rPr>
            </w:pPr>
          </w:p>
        </w:tc>
        <w:tc>
          <w:tcPr>
            <w:tcW w:w="152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9"/>
              </w:rPr>
              <w:t>Rate</w:t>
            </w:r>
          </w:p>
        </w:tc>
        <w:tc>
          <w:tcPr>
            <w:tcW w:w="180" w:type="dxa"/>
            <w:vAlign w:val="bottom"/>
          </w:tcPr>
          <w:p>
            <w:pPr>
              <w:spacing w:after="0"/>
              <w:rPr>
                <w:sz w:val="18"/>
                <w:szCs w:val="18"/>
                <w:color w:val="auto"/>
              </w:rPr>
            </w:pPr>
          </w:p>
        </w:tc>
        <w:tc>
          <w:tcPr>
            <w:tcW w:w="1140" w:type="dxa"/>
            <w:vAlign w:val="bottom"/>
          </w:tcPr>
          <w:p>
            <w:pPr>
              <w:jc w:val="center"/>
              <w:ind w:right="79"/>
              <w:spacing w:after="0"/>
              <w:rPr>
                <w:sz w:val="20"/>
                <w:szCs w:val="20"/>
                <w:color w:val="auto"/>
              </w:rPr>
            </w:pPr>
            <w:r>
              <w:rPr>
                <w:rFonts w:ascii="Times New Roman" w:cs="Times New Roman" w:eastAsia="Times New Roman" w:hAnsi="Times New Roman"/>
                <w:sz w:val="16"/>
                <w:szCs w:val="16"/>
                <w:b w:val="1"/>
                <w:bCs w:val="1"/>
                <w:color w:val="auto"/>
                <w:w w:val="99"/>
              </w:rPr>
              <w:t>Balance</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w w:val="99"/>
              </w:rPr>
              <w:t>Income/Expense</w:t>
            </w:r>
          </w:p>
        </w:tc>
        <w:tc>
          <w:tcPr>
            <w:tcW w:w="80" w:type="dxa"/>
            <w:vAlign w:val="bottom"/>
          </w:tcPr>
          <w:p>
            <w:pPr>
              <w:spacing w:after="0"/>
              <w:rPr>
                <w:sz w:val="18"/>
                <w:szCs w:val="18"/>
                <w:color w:val="auto"/>
              </w:rPr>
            </w:pPr>
          </w:p>
        </w:tc>
        <w:tc>
          <w:tcPr>
            <w:tcW w:w="1440" w:type="dxa"/>
            <w:vAlign w:val="bottom"/>
          </w:tcPr>
          <w:p>
            <w:pPr>
              <w:ind w:left="560"/>
              <w:spacing w:after="0"/>
              <w:rPr>
                <w:sz w:val="20"/>
                <w:szCs w:val="20"/>
                <w:color w:val="auto"/>
              </w:rPr>
            </w:pPr>
            <w:r>
              <w:rPr>
                <w:rFonts w:ascii="Times New Roman" w:cs="Times New Roman" w:eastAsia="Times New Roman" w:hAnsi="Times New Roman"/>
                <w:sz w:val="16"/>
                <w:szCs w:val="16"/>
                <w:b w:val="1"/>
                <w:bCs w:val="1"/>
                <w:color w:val="auto"/>
              </w:rPr>
              <w:t>Rate</w:t>
            </w:r>
          </w:p>
        </w:tc>
        <w:tc>
          <w:tcPr>
            <w:tcW w:w="0" w:type="dxa"/>
            <w:vAlign w:val="bottom"/>
          </w:tcPr>
          <w:p>
            <w:pPr>
              <w:spacing w:after="0"/>
              <w:rPr>
                <w:sz w:val="1"/>
                <w:szCs w:val="1"/>
                <w:color w:val="auto"/>
              </w:rPr>
            </w:pPr>
          </w:p>
        </w:tc>
      </w:tr>
      <w:tr>
        <w:trPr>
          <w:trHeight w:val="252"/>
        </w:trPr>
        <w:tc>
          <w:tcPr>
            <w:tcW w:w="256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16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124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44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14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126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144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60" w:type="dxa"/>
            <w:vAlign w:val="bottom"/>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Loans, gross </w:t>
            </w:r>
            <w:r>
              <w:rPr>
                <w:rFonts w:ascii="Times New Roman" w:cs="Times New Roman" w:eastAsia="Times New Roman" w:hAnsi="Times New Roman"/>
                <w:sz w:val="21"/>
                <w:szCs w:val="21"/>
                <w:color w:val="auto"/>
                <w:vertAlign w:val="superscript"/>
              </w:rPr>
              <w:t>(1)(2)</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4,481,993</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81,673</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7.33 %</w:t>
            </w:r>
          </w:p>
        </w:tc>
        <w:tc>
          <w:tcPr>
            <w:tcW w:w="8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2,002,482</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25,300</w:t>
            </w:r>
          </w:p>
        </w:tc>
        <w:tc>
          <w:tcPr>
            <w:tcW w:w="1520" w:type="dxa"/>
            <w:vAlign w:val="bottom"/>
            <w:gridSpan w:val="2"/>
          </w:tcPr>
          <w:p>
            <w:pPr>
              <w:ind w:left="1040"/>
              <w:spacing w:after="0"/>
              <w:rPr>
                <w:sz w:val="20"/>
                <w:szCs w:val="20"/>
                <w:color w:val="auto"/>
              </w:rPr>
            </w:pPr>
            <w:r>
              <w:rPr>
                <w:rFonts w:ascii="Times New Roman" w:cs="Times New Roman" w:eastAsia="Times New Roman" w:hAnsi="Times New Roman"/>
                <w:sz w:val="16"/>
                <w:szCs w:val="16"/>
                <w:color w:val="auto"/>
              </w:rPr>
              <w:t>5.07 %</w:t>
            </w:r>
          </w:p>
        </w:tc>
        <w:tc>
          <w:tcPr>
            <w:tcW w:w="0" w:type="dxa"/>
            <w:vAlign w:val="bottom"/>
          </w:tcPr>
          <w:p>
            <w:pPr>
              <w:spacing w:after="0"/>
              <w:rPr>
                <w:sz w:val="1"/>
                <w:szCs w:val="1"/>
                <w:color w:val="auto"/>
              </w:rPr>
            </w:pPr>
          </w:p>
        </w:tc>
      </w:tr>
      <w:tr>
        <w:trPr>
          <w:trHeight w:val="216"/>
        </w:trPr>
        <w:tc>
          <w:tcPr>
            <w:tcW w:w="2560" w:type="dxa"/>
            <w:vAlign w:val="bottom"/>
            <w:shd w:val="clear" w:color="auto" w:fill="CCEEFF"/>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Tax-exempt loans </w:t>
            </w:r>
            <w:r>
              <w:rPr>
                <w:rFonts w:ascii="Times New Roman" w:cs="Times New Roman" w:eastAsia="Times New Roman" w:hAnsi="Times New Roman"/>
                <w:sz w:val="21"/>
                <w:szCs w:val="21"/>
                <w:color w:val="auto"/>
                <w:vertAlign w:val="superscript"/>
              </w:rPr>
              <w:t>(1)(2)</w:t>
            </w: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3,041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w:t>
            </w:r>
          </w:p>
        </w:tc>
        <w:tc>
          <w:tcPr>
            <w:tcW w:w="1540" w:type="dxa"/>
            <w:vAlign w:val="bottom"/>
            <w:gridSpan w:val="2"/>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5.55</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8"/>
                <w:szCs w:val="18"/>
                <w:color w:val="auto"/>
              </w:rPr>
            </w:pPr>
          </w:p>
        </w:tc>
        <w:tc>
          <w:tcPr>
            <w:tcW w:w="1440" w:type="dxa"/>
            <w:vAlign w:val="bottom"/>
            <w:shd w:val="clear" w:color="auto" w:fill="CCEEFF"/>
          </w:tcPr>
          <w:p>
            <w:pPr>
              <w:ind w:left="1140"/>
              <w:spacing w:after="0"/>
              <w:rPr>
                <w:sz w:val="20"/>
                <w:szCs w:val="20"/>
                <w:color w:val="auto"/>
              </w:rPr>
            </w:pPr>
            <w:r>
              <w:rPr>
                <w:rFonts w:ascii="Times New Roman" w:cs="Times New Roman" w:eastAsia="Times New Roman" w:hAnsi="Times New Roman"/>
                <w:sz w:val="16"/>
                <w:szCs w:val="16"/>
                <w:color w:val="auto"/>
              </w:rPr>
              <w:t>N/A</w:t>
            </w:r>
          </w:p>
        </w:tc>
        <w:tc>
          <w:tcPr>
            <w:tcW w:w="0" w:type="dxa"/>
            <w:vAlign w:val="bottom"/>
          </w:tcPr>
          <w:p>
            <w:pPr>
              <w:spacing w:after="0"/>
              <w:rPr>
                <w:sz w:val="1"/>
                <w:szCs w:val="1"/>
                <w:color w:val="auto"/>
              </w:rPr>
            </w:pPr>
          </w:p>
        </w:tc>
      </w:tr>
      <w:tr>
        <w:trPr>
          <w:trHeight w:val="162"/>
        </w:trPr>
        <w:tc>
          <w:tcPr>
            <w:tcW w:w="256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Interest-earning deposits and fed</w:t>
            </w:r>
          </w:p>
        </w:tc>
        <w:tc>
          <w:tcPr>
            <w:tcW w:w="160" w:type="dxa"/>
            <w:vAlign w:val="bottom"/>
          </w:tcPr>
          <w:p>
            <w:pPr>
              <w:spacing w:after="0"/>
              <w:rPr>
                <w:sz w:val="14"/>
                <w:szCs w:val="14"/>
                <w:color w:val="auto"/>
              </w:rPr>
            </w:pP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94,765</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833</w:t>
            </w:r>
          </w:p>
        </w:tc>
        <w:tc>
          <w:tcPr>
            <w:tcW w:w="1540" w:type="dxa"/>
            <w:vAlign w:val="bottom"/>
            <w:gridSpan w:val="2"/>
            <w:vMerge w:val="restart"/>
          </w:tcPr>
          <w:p>
            <w:pPr>
              <w:jc w:val="right"/>
              <w:ind w:right="119"/>
              <w:spacing w:after="0"/>
              <w:rPr>
                <w:sz w:val="20"/>
                <w:szCs w:val="20"/>
                <w:color w:val="auto"/>
              </w:rPr>
            </w:pPr>
            <w:r>
              <w:rPr>
                <w:rFonts w:ascii="Times New Roman" w:cs="Times New Roman" w:eastAsia="Times New Roman" w:hAnsi="Times New Roman"/>
                <w:sz w:val="16"/>
                <w:szCs w:val="16"/>
                <w:color w:val="auto"/>
              </w:rPr>
              <w:t>3.54</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74,074</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988</w:t>
            </w:r>
          </w:p>
        </w:tc>
        <w:tc>
          <w:tcPr>
            <w:tcW w:w="1520" w:type="dxa"/>
            <w:vAlign w:val="bottom"/>
            <w:gridSpan w:val="2"/>
            <w:vMerge w:val="restart"/>
          </w:tcPr>
          <w:p>
            <w:pPr>
              <w:ind w:left="1040"/>
              <w:spacing w:after="0"/>
              <w:rPr>
                <w:sz w:val="20"/>
                <w:szCs w:val="20"/>
                <w:color w:val="auto"/>
              </w:rPr>
            </w:pPr>
            <w:r>
              <w:rPr>
                <w:rFonts w:ascii="Times New Roman" w:cs="Times New Roman" w:eastAsia="Times New Roman" w:hAnsi="Times New Roman"/>
                <w:sz w:val="16"/>
                <w:szCs w:val="16"/>
                <w:color w:val="auto"/>
              </w:rPr>
              <w:t>5.35</w:t>
            </w:r>
          </w:p>
        </w:tc>
        <w:tc>
          <w:tcPr>
            <w:tcW w:w="0" w:type="dxa"/>
            <w:vAlign w:val="bottom"/>
          </w:tcPr>
          <w:p>
            <w:pPr>
              <w:spacing w:after="0"/>
              <w:rPr>
                <w:sz w:val="1"/>
                <w:szCs w:val="1"/>
                <w:color w:val="auto"/>
              </w:rPr>
            </w:pPr>
          </w:p>
        </w:tc>
      </w:tr>
      <w:tr>
        <w:trPr>
          <w:trHeight w:val="213"/>
        </w:trPr>
        <w:tc>
          <w:tcPr>
            <w:tcW w:w="25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funds sold</w:t>
            </w:r>
          </w:p>
        </w:tc>
        <w:tc>
          <w:tcPr>
            <w:tcW w:w="160" w:type="dxa"/>
            <w:vAlign w:val="bottom"/>
          </w:tcPr>
          <w:p>
            <w:pPr>
              <w:spacing w:after="0"/>
              <w:rPr>
                <w:sz w:val="18"/>
                <w:szCs w:val="18"/>
                <w:color w:val="auto"/>
              </w:rPr>
            </w:pPr>
          </w:p>
        </w:tc>
        <w:tc>
          <w:tcPr>
            <w:tcW w:w="11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vMerge w:val="continue"/>
          </w:tcPr>
          <w:p>
            <w:pPr>
              <w:spacing w:after="0"/>
              <w:rPr>
                <w:sz w:val="18"/>
                <w:szCs w:val="18"/>
                <w:color w:val="auto"/>
              </w:rPr>
            </w:pPr>
          </w:p>
        </w:tc>
        <w:tc>
          <w:tcPr>
            <w:tcW w:w="154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vMerge w:val="continue"/>
          </w:tcPr>
          <w:p>
            <w:pPr>
              <w:spacing w:after="0"/>
              <w:rPr>
                <w:sz w:val="18"/>
                <w:szCs w:val="18"/>
                <w:color w:val="auto"/>
              </w:rPr>
            </w:pPr>
          </w:p>
        </w:tc>
        <w:tc>
          <w:tcPr>
            <w:tcW w:w="152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Taxable securities</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988,492</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11,002</w:t>
            </w:r>
          </w:p>
        </w:tc>
        <w:tc>
          <w:tcPr>
            <w:tcW w:w="1540" w:type="dxa"/>
            <w:vAlign w:val="bottom"/>
            <w:gridSpan w:val="2"/>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4.48</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1,036,576</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9,418</w:t>
            </w:r>
          </w:p>
        </w:tc>
        <w:tc>
          <w:tcPr>
            <w:tcW w:w="1520" w:type="dxa"/>
            <w:vAlign w:val="bottom"/>
            <w:gridSpan w:val="2"/>
            <w:shd w:val="clear" w:color="auto" w:fill="CCEEFF"/>
          </w:tcPr>
          <w:p>
            <w:pPr>
              <w:ind w:left="1040"/>
              <w:spacing w:after="0"/>
              <w:rPr>
                <w:sz w:val="20"/>
                <w:szCs w:val="20"/>
                <w:color w:val="auto"/>
              </w:rPr>
            </w:pPr>
            <w:r>
              <w:rPr>
                <w:rFonts w:ascii="Times New Roman" w:cs="Times New Roman" w:eastAsia="Times New Roman" w:hAnsi="Times New Roman"/>
                <w:sz w:val="16"/>
                <w:szCs w:val="16"/>
                <w:color w:val="auto"/>
              </w:rPr>
              <w:t>3.64</w:t>
            </w:r>
          </w:p>
        </w:tc>
        <w:tc>
          <w:tcPr>
            <w:tcW w:w="0" w:type="dxa"/>
            <w:vAlign w:val="bottom"/>
          </w:tcPr>
          <w:p>
            <w:pPr>
              <w:spacing w:after="0"/>
              <w:rPr>
                <w:sz w:val="1"/>
                <w:szCs w:val="1"/>
                <w:color w:val="auto"/>
              </w:rPr>
            </w:pPr>
          </w:p>
        </w:tc>
      </w:tr>
      <w:tr>
        <w:trPr>
          <w:trHeight w:val="216"/>
        </w:trPr>
        <w:tc>
          <w:tcPr>
            <w:tcW w:w="2560" w:type="dxa"/>
            <w:vAlign w:val="bottom"/>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Tax-exempt securities </w:t>
            </w:r>
            <w:r>
              <w:rPr>
                <w:rFonts w:ascii="Times New Roman" w:cs="Times New Roman" w:eastAsia="Times New Roman" w:hAnsi="Times New Roman"/>
                <w:sz w:val="21"/>
                <w:szCs w:val="21"/>
                <w:color w:val="auto"/>
                <w:vertAlign w:val="superscript"/>
              </w:rPr>
              <w:t>(3)</w:t>
            </w: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426,092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3,235</w:t>
            </w:r>
          </w:p>
        </w:tc>
        <w:tc>
          <w:tcPr>
            <w:tcW w:w="1540" w:type="dxa"/>
            <w:vAlign w:val="bottom"/>
            <w:gridSpan w:val="2"/>
          </w:tcPr>
          <w:p>
            <w:pPr>
              <w:jc w:val="right"/>
              <w:ind w:right="119"/>
              <w:spacing w:after="0"/>
              <w:rPr>
                <w:sz w:val="20"/>
                <w:szCs w:val="20"/>
                <w:color w:val="auto"/>
              </w:rPr>
            </w:pPr>
            <w:r>
              <w:rPr>
                <w:rFonts w:ascii="Times New Roman" w:cs="Times New Roman" w:eastAsia="Times New Roman" w:hAnsi="Times New Roman"/>
                <w:sz w:val="16"/>
                <w:szCs w:val="16"/>
                <w:color w:val="auto"/>
              </w:rPr>
              <w:t>3.05</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266,402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1,784</w:t>
            </w:r>
          </w:p>
        </w:tc>
        <w:tc>
          <w:tcPr>
            <w:tcW w:w="1520" w:type="dxa"/>
            <w:vAlign w:val="bottom"/>
            <w:gridSpan w:val="2"/>
          </w:tcPr>
          <w:p>
            <w:pPr>
              <w:ind w:left="1040"/>
              <w:spacing w:after="0"/>
              <w:rPr>
                <w:sz w:val="20"/>
                <w:szCs w:val="20"/>
                <w:color w:val="auto"/>
              </w:rPr>
            </w:pPr>
            <w:r>
              <w:rPr>
                <w:rFonts w:ascii="Times New Roman" w:cs="Times New Roman" w:eastAsia="Times New Roman" w:hAnsi="Times New Roman"/>
                <w:sz w:val="16"/>
                <w:szCs w:val="16"/>
                <w:color w:val="auto"/>
              </w:rPr>
              <w:t>2.69</w:t>
            </w:r>
          </w:p>
        </w:tc>
        <w:tc>
          <w:tcPr>
            <w:tcW w:w="0" w:type="dxa"/>
            <w:vAlign w:val="bottom"/>
          </w:tcPr>
          <w:p>
            <w:pPr>
              <w:spacing w:after="0"/>
              <w:rPr>
                <w:sz w:val="1"/>
                <w:szCs w:val="1"/>
                <w:color w:val="auto"/>
              </w:rPr>
            </w:pPr>
          </w:p>
        </w:tc>
      </w:tr>
      <w:tr>
        <w:trPr>
          <w:trHeight w:val="209"/>
        </w:trPr>
        <w:tc>
          <w:tcPr>
            <w:tcW w:w="2560" w:type="dxa"/>
            <w:vAlign w:val="bottom"/>
            <w:tcBorders>
              <w:top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Total securities</w:t>
            </w: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1,414,584</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14,237</w:t>
            </w:r>
          </w:p>
        </w:tc>
        <w:tc>
          <w:tcPr>
            <w:tcW w:w="100" w:type="dxa"/>
            <w:vAlign w:val="bottom"/>
            <w:tcBorders>
              <w:top w:val="single" w:sz="8" w:color="CCEEFF"/>
            </w:tcBorders>
            <w:shd w:val="clear" w:color="auto" w:fill="CCEEFF"/>
          </w:tcPr>
          <w:p>
            <w:pPr>
              <w:spacing w:after="0"/>
              <w:rPr>
                <w:sz w:val="18"/>
                <w:szCs w:val="18"/>
                <w:color w:val="auto"/>
              </w:rPr>
            </w:pPr>
          </w:p>
        </w:tc>
        <w:tc>
          <w:tcPr>
            <w:tcW w:w="144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4.05</w:t>
            </w: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1,302,978</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11,202</w:t>
            </w:r>
          </w:p>
        </w:tc>
        <w:tc>
          <w:tcPr>
            <w:tcW w:w="80" w:type="dxa"/>
            <w:vAlign w:val="bottom"/>
            <w:tcBorders>
              <w:top w:val="single" w:sz="8" w:color="CCEEFF"/>
            </w:tcBorders>
            <w:shd w:val="clear" w:color="auto" w:fill="CCEEFF"/>
          </w:tcPr>
          <w:p>
            <w:pPr>
              <w:spacing w:after="0"/>
              <w:rPr>
                <w:sz w:val="18"/>
                <w:szCs w:val="18"/>
                <w:color w:val="auto"/>
              </w:rPr>
            </w:pPr>
          </w:p>
        </w:tc>
        <w:tc>
          <w:tcPr>
            <w:tcW w:w="1440" w:type="dxa"/>
            <w:vAlign w:val="bottom"/>
            <w:tcBorders>
              <w:top w:val="single" w:sz="8" w:color="auto"/>
              <w:bottom w:val="single" w:sz="8" w:color="auto"/>
            </w:tcBorders>
            <w:shd w:val="clear" w:color="auto" w:fill="CCEEFF"/>
          </w:tcPr>
          <w:p>
            <w:pPr>
              <w:ind w:left="960"/>
              <w:spacing w:after="0"/>
              <w:rPr>
                <w:sz w:val="20"/>
                <w:szCs w:val="20"/>
                <w:color w:val="auto"/>
              </w:rPr>
            </w:pPr>
            <w:r>
              <w:rPr>
                <w:rFonts w:ascii="Times New Roman" w:cs="Times New Roman" w:eastAsia="Times New Roman" w:hAnsi="Times New Roman"/>
                <w:sz w:val="16"/>
                <w:szCs w:val="16"/>
                <w:color w:val="auto"/>
              </w:rPr>
              <w:t>3.45</w:t>
            </w:r>
          </w:p>
        </w:tc>
        <w:tc>
          <w:tcPr>
            <w:tcW w:w="0" w:type="dxa"/>
            <w:vAlign w:val="bottom"/>
          </w:tcPr>
          <w:p>
            <w:pPr>
              <w:spacing w:after="0"/>
              <w:rPr>
                <w:sz w:val="1"/>
                <w:szCs w:val="1"/>
                <w:color w:val="auto"/>
              </w:rPr>
            </w:pPr>
          </w:p>
        </w:tc>
      </w:tr>
      <w:tr>
        <w:trPr>
          <w:trHeight w:val="207"/>
        </w:trPr>
        <w:tc>
          <w:tcPr>
            <w:tcW w:w="256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6"/>
                <w:szCs w:val="16"/>
                <w:color w:val="auto"/>
              </w:rPr>
              <w:t>Total interest-earning assets</w:t>
            </w:r>
          </w:p>
        </w:tc>
        <w:tc>
          <w:tcPr>
            <w:tcW w:w="1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5,994,383</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96,785</w:t>
            </w:r>
          </w:p>
        </w:tc>
        <w:tc>
          <w:tcPr>
            <w:tcW w:w="100" w:type="dxa"/>
            <w:vAlign w:val="bottom"/>
            <w:tcBorders>
              <w:bottom w:val="single" w:sz="8" w:color="CCEEFF"/>
            </w:tcBorders>
          </w:tcPr>
          <w:p>
            <w:pPr>
              <w:spacing w:after="0"/>
              <w:rPr>
                <w:sz w:val="17"/>
                <w:szCs w:val="17"/>
                <w:color w:val="auto"/>
              </w:rPr>
            </w:pPr>
          </w:p>
        </w:tc>
        <w:tc>
          <w:tcPr>
            <w:tcW w:w="144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6.49</w:t>
            </w:r>
          </w:p>
        </w:tc>
        <w:tc>
          <w:tcPr>
            <w:tcW w:w="8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3,379,534</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37,490</w:t>
            </w:r>
          </w:p>
        </w:tc>
        <w:tc>
          <w:tcPr>
            <w:tcW w:w="80" w:type="dxa"/>
            <w:vAlign w:val="bottom"/>
            <w:tcBorders>
              <w:bottom w:val="single" w:sz="8" w:color="CCEEFF"/>
            </w:tcBorders>
          </w:tcPr>
          <w:p>
            <w:pPr>
              <w:spacing w:after="0"/>
              <w:rPr>
                <w:sz w:val="17"/>
                <w:szCs w:val="17"/>
                <w:color w:val="auto"/>
              </w:rPr>
            </w:pPr>
          </w:p>
        </w:tc>
        <w:tc>
          <w:tcPr>
            <w:tcW w:w="1440" w:type="dxa"/>
            <w:vAlign w:val="bottom"/>
            <w:tcBorders>
              <w:bottom w:val="single" w:sz="8" w:color="auto"/>
            </w:tcBorders>
          </w:tcPr>
          <w:p>
            <w:pPr>
              <w:ind w:left="960"/>
              <w:spacing w:after="0"/>
              <w:rPr>
                <w:sz w:val="20"/>
                <w:szCs w:val="20"/>
                <w:color w:val="auto"/>
              </w:rPr>
            </w:pPr>
            <w:r>
              <w:rPr>
                <w:rFonts w:ascii="Times New Roman" w:cs="Times New Roman" w:eastAsia="Times New Roman" w:hAnsi="Times New Roman"/>
                <w:sz w:val="16"/>
                <w:szCs w:val="16"/>
                <w:color w:val="auto"/>
              </w:rPr>
              <w:t>4.45</w:t>
            </w:r>
          </w:p>
        </w:tc>
        <w:tc>
          <w:tcPr>
            <w:tcW w:w="0" w:type="dxa"/>
            <w:vAlign w:val="bottom"/>
          </w:tcPr>
          <w:p>
            <w:pPr>
              <w:spacing w:after="0"/>
              <w:rPr>
                <w:sz w:val="1"/>
                <w:szCs w:val="1"/>
                <w:color w:val="auto"/>
              </w:rPr>
            </w:pPr>
          </w:p>
        </w:tc>
      </w:tr>
      <w:tr>
        <w:trPr>
          <w:trHeight w:val="212"/>
        </w:trPr>
        <w:tc>
          <w:tcPr>
            <w:tcW w:w="2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Non-interest-earning assets</w:t>
            </w:r>
          </w:p>
        </w:tc>
        <w:tc>
          <w:tcPr>
            <w:tcW w:w="16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484,149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243,498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56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6"/>
                <w:szCs w:val="16"/>
                <w:color w:val="auto"/>
              </w:rPr>
              <w:t>Total assets</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6,478,532</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24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44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3,623,032</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26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44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53"/>
        </w:trPr>
        <w:tc>
          <w:tcPr>
            <w:tcW w:w="25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4"/>
        </w:trPr>
        <w:tc>
          <w:tcPr>
            <w:tcW w:w="25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Liabilities and shareholders’ equity:</w:t>
            </w: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Deposits:</w:t>
            </w: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56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Non-interest-bearing demand</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1,207,443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879,794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5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Interest-bearing demand</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1,587,914</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11,834</w:t>
            </w:r>
          </w:p>
        </w:tc>
        <w:tc>
          <w:tcPr>
            <w:tcW w:w="1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3.00 %</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554,364</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564</w:t>
            </w:r>
          </w:p>
        </w:tc>
        <w:tc>
          <w:tcPr>
            <w:tcW w:w="1520" w:type="dxa"/>
            <w:vAlign w:val="bottom"/>
            <w:gridSpan w:val="2"/>
            <w:shd w:val="clear" w:color="auto" w:fill="CCEEFF"/>
          </w:tcPr>
          <w:p>
            <w:pPr>
              <w:ind w:left="1040"/>
              <w:spacing w:after="0"/>
              <w:rPr>
                <w:sz w:val="20"/>
                <w:szCs w:val="20"/>
                <w:color w:val="auto"/>
              </w:rPr>
            </w:pPr>
            <w:r>
              <w:rPr>
                <w:rFonts w:ascii="Times New Roman" w:cs="Times New Roman" w:eastAsia="Times New Roman" w:hAnsi="Times New Roman"/>
                <w:sz w:val="16"/>
                <w:szCs w:val="16"/>
                <w:color w:val="auto"/>
              </w:rPr>
              <w:t>0.41 %</w:t>
            </w:r>
          </w:p>
        </w:tc>
        <w:tc>
          <w:tcPr>
            <w:tcW w:w="0" w:type="dxa"/>
            <w:vAlign w:val="bottom"/>
          </w:tcPr>
          <w:p>
            <w:pPr>
              <w:spacing w:after="0"/>
              <w:rPr>
                <w:sz w:val="1"/>
                <w:szCs w:val="1"/>
                <w:color w:val="auto"/>
              </w:rPr>
            </w:pPr>
          </w:p>
        </w:tc>
      </w:tr>
      <w:tr>
        <w:trPr>
          <w:trHeight w:val="213"/>
        </w:trPr>
        <w:tc>
          <w:tcPr>
            <w:tcW w:w="256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Savings</w:t>
            </w: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1,480,985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5,616</w:t>
            </w:r>
          </w:p>
        </w:tc>
        <w:tc>
          <w:tcPr>
            <w:tcW w:w="1540" w:type="dxa"/>
            <w:vAlign w:val="bottom"/>
            <w:gridSpan w:val="2"/>
          </w:tcPr>
          <w:p>
            <w:pPr>
              <w:jc w:val="right"/>
              <w:ind w:right="119"/>
              <w:spacing w:after="0"/>
              <w:rPr>
                <w:sz w:val="20"/>
                <w:szCs w:val="20"/>
                <w:color w:val="auto"/>
              </w:rPr>
            </w:pPr>
            <w:r>
              <w:rPr>
                <w:rFonts w:ascii="Times New Roman" w:cs="Times New Roman" w:eastAsia="Times New Roman" w:hAnsi="Times New Roman"/>
                <w:sz w:val="16"/>
                <w:szCs w:val="16"/>
                <w:color w:val="auto"/>
              </w:rPr>
              <w:t>1.53</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979,020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4,199</w:t>
            </w:r>
          </w:p>
        </w:tc>
        <w:tc>
          <w:tcPr>
            <w:tcW w:w="1520" w:type="dxa"/>
            <w:vAlign w:val="bottom"/>
            <w:gridSpan w:val="2"/>
          </w:tcPr>
          <w:p>
            <w:pPr>
              <w:ind w:left="1040"/>
              <w:spacing w:after="0"/>
              <w:rPr>
                <w:sz w:val="20"/>
                <w:szCs w:val="20"/>
                <w:color w:val="auto"/>
              </w:rPr>
            </w:pPr>
            <w:r>
              <w:rPr>
                <w:rFonts w:ascii="Times New Roman" w:cs="Times New Roman" w:eastAsia="Times New Roman" w:hAnsi="Times New Roman"/>
                <w:sz w:val="16"/>
                <w:szCs w:val="16"/>
                <w:color w:val="auto"/>
              </w:rPr>
              <w:t>1.72</w:t>
            </w:r>
          </w:p>
        </w:tc>
        <w:tc>
          <w:tcPr>
            <w:tcW w:w="0" w:type="dxa"/>
            <w:vAlign w:val="bottom"/>
          </w:tcPr>
          <w:p>
            <w:pPr>
              <w:spacing w:after="0"/>
              <w:rPr>
                <w:sz w:val="1"/>
                <w:szCs w:val="1"/>
                <w:color w:val="auto"/>
              </w:rPr>
            </w:pPr>
          </w:p>
        </w:tc>
      </w:tr>
      <w:tr>
        <w:trPr>
          <w:trHeight w:val="219"/>
        </w:trPr>
        <w:tc>
          <w:tcPr>
            <w:tcW w:w="25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Time</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1,141,758</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12,923</w:t>
            </w:r>
          </w:p>
        </w:tc>
        <w:tc>
          <w:tcPr>
            <w:tcW w:w="1540" w:type="dxa"/>
            <w:vAlign w:val="bottom"/>
            <w:gridSpan w:val="2"/>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4.55</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608,949</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5,267</w:t>
            </w:r>
          </w:p>
        </w:tc>
        <w:tc>
          <w:tcPr>
            <w:tcW w:w="1520" w:type="dxa"/>
            <w:vAlign w:val="bottom"/>
            <w:gridSpan w:val="2"/>
            <w:shd w:val="clear" w:color="auto" w:fill="CCEEFF"/>
          </w:tcPr>
          <w:p>
            <w:pPr>
              <w:ind w:left="1040"/>
              <w:spacing w:after="0"/>
              <w:rPr>
                <w:sz w:val="20"/>
                <w:szCs w:val="20"/>
                <w:color w:val="auto"/>
              </w:rPr>
            </w:pPr>
            <w:r>
              <w:rPr>
                <w:rFonts w:ascii="Times New Roman" w:cs="Times New Roman" w:eastAsia="Times New Roman" w:hAnsi="Times New Roman"/>
                <w:sz w:val="16"/>
                <w:szCs w:val="16"/>
                <w:color w:val="auto"/>
              </w:rPr>
              <w:t>3.47</w:t>
            </w:r>
          </w:p>
        </w:tc>
        <w:tc>
          <w:tcPr>
            <w:tcW w:w="0" w:type="dxa"/>
            <w:vAlign w:val="bottom"/>
          </w:tcPr>
          <w:p>
            <w:pPr>
              <w:spacing w:after="0"/>
              <w:rPr>
                <w:sz w:val="1"/>
                <w:szCs w:val="1"/>
                <w:color w:val="auto"/>
              </w:rPr>
            </w:pPr>
          </w:p>
        </w:tc>
      </w:tr>
      <w:tr>
        <w:trPr>
          <w:trHeight w:val="207"/>
        </w:trPr>
        <w:tc>
          <w:tcPr>
            <w:tcW w:w="256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6"/>
                <w:szCs w:val="16"/>
                <w:color w:val="auto"/>
              </w:rPr>
              <w:t>Total interest-bearing deposits</w:t>
            </w:r>
          </w:p>
        </w:tc>
        <w:tc>
          <w:tcPr>
            <w:tcW w:w="160" w:type="dxa"/>
            <w:vAlign w:val="bottom"/>
            <w:tcBorders>
              <w:top w:val="single" w:sz="8" w:color="auto"/>
              <w:bottom w:val="single" w:sz="8" w:color="auto"/>
            </w:tcBorders>
          </w:tcPr>
          <w:p>
            <w:pPr>
              <w:spacing w:after="0"/>
              <w:rPr>
                <w:sz w:val="17"/>
                <w:szCs w:val="17"/>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4,210,657</w:t>
            </w:r>
          </w:p>
        </w:tc>
        <w:tc>
          <w:tcPr>
            <w:tcW w:w="100" w:type="dxa"/>
            <w:vAlign w:val="bottom"/>
            <w:tcBorders>
              <w:bottom w:val="single" w:sz="8" w:color="CCEEFF"/>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30,373</w:t>
            </w:r>
          </w:p>
        </w:tc>
        <w:tc>
          <w:tcPr>
            <w:tcW w:w="100" w:type="dxa"/>
            <w:vAlign w:val="bottom"/>
            <w:tcBorders>
              <w:bottom w:val="single" w:sz="8" w:color="CCEEFF"/>
            </w:tcBorders>
          </w:tcPr>
          <w:p>
            <w:pPr>
              <w:spacing w:after="0"/>
              <w:rPr>
                <w:sz w:val="17"/>
                <w:szCs w:val="17"/>
                <w:color w:val="auto"/>
              </w:rPr>
            </w:pPr>
          </w:p>
        </w:tc>
        <w:tc>
          <w:tcPr>
            <w:tcW w:w="1440" w:type="dxa"/>
            <w:vAlign w:val="bottom"/>
            <w:tcBorders>
              <w:top w:val="single" w:sz="8" w:color="auto"/>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2.90</w:t>
            </w:r>
          </w:p>
        </w:tc>
        <w:tc>
          <w:tcPr>
            <w:tcW w:w="80" w:type="dxa"/>
            <w:vAlign w:val="bottom"/>
            <w:tcBorders>
              <w:bottom w:val="single" w:sz="8" w:color="CCEEFF"/>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2,142,333</w:t>
            </w:r>
          </w:p>
        </w:tc>
        <w:tc>
          <w:tcPr>
            <w:tcW w:w="100" w:type="dxa"/>
            <w:vAlign w:val="bottom"/>
            <w:tcBorders>
              <w:bottom w:val="single" w:sz="8" w:color="CCEEFF"/>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10,030</w:t>
            </w:r>
          </w:p>
        </w:tc>
        <w:tc>
          <w:tcPr>
            <w:tcW w:w="80" w:type="dxa"/>
            <w:vAlign w:val="bottom"/>
            <w:tcBorders>
              <w:bottom w:val="single" w:sz="8" w:color="CCEEFF"/>
            </w:tcBorders>
          </w:tcPr>
          <w:p>
            <w:pPr>
              <w:spacing w:after="0"/>
              <w:rPr>
                <w:sz w:val="17"/>
                <w:szCs w:val="17"/>
                <w:color w:val="auto"/>
              </w:rPr>
            </w:pPr>
          </w:p>
        </w:tc>
        <w:tc>
          <w:tcPr>
            <w:tcW w:w="1440" w:type="dxa"/>
            <w:vAlign w:val="bottom"/>
            <w:tcBorders>
              <w:top w:val="single" w:sz="8" w:color="auto"/>
              <w:bottom w:val="single" w:sz="8" w:color="auto"/>
            </w:tcBorders>
          </w:tcPr>
          <w:p>
            <w:pPr>
              <w:ind w:left="960"/>
              <w:spacing w:after="0"/>
              <w:rPr>
                <w:sz w:val="20"/>
                <w:szCs w:val="20"/>
                <w:color w:val="auto"/>
              </w:rPr>
            </w:pPr>
            <w:r>
              <w:rPr>
                <w:rFonts w:ascii="Times New Roman" w:cs="Times New Roman" w:eastAsia="Times New Roman" w:hAnsi="Times New Roman"/>
                <w:sz w:val="16"/>
                <w:szCs w:val="16"/>
                <w:color w:val="auto"/>
              </w:rPr>
              <w:t>1.88</w:t>
            </w:r>
          </w:p>
        </w:tc>
        <w:tc>
          <w:tcPr>
            <w:tcW w:w="0" w:type="dxa"/>
            <w:vAlign w:val="bottom"/>
          </w:tcPr>
          <w:p>
            <w:pPr>
              <w:spacing w:after="0"/>
              <w:rPr>
                <w:sz w:val="1"/>
                <w:szCs w:val="1"/>
                <w:color w:val="auto"/>
              </w:rPr>
            </w:pPr>
          </w:p>
        </w:tc>
      </w:tr>
      <w:tr>
        <w:trPr>
          <w:trHeight w:val="212"/>
        </w:trPr>
        <w:tc>
          <w:tcPr>
            <w:tcW w:w="256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Total deposits</w:t>
            </w:r>
          </w:p>
        </w:tc>
        <w:tc>
          <w:tcPr>
            <w:tcW w:w="16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5,418,100</w:t>
            </w: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30,373</w:t>
            </w:r>
          </w:p>
        </w:tc>
        <w:tc>
          <w:tcPr>
            <w:tcW w:w="100" w:type="dxa"/>
            <w:vAlign w:val="bottom"/>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2.25</w:t>
            </w:r>
          </w:p>
        </w:tc>
        <w:tc>
          <w:tcPr>
            <w:tcW w:w="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3,022,127</w:t>
            </w: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10,030</w:t>
            </w:r>
          </w:p>
        </w:tc>
        <w:tc>
          <w:tcPr>
            <w:tcW w:w="80" w:type="dxa"/>
            <w:vAlign w:val="bottom"/>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ind w:left="960"/>
              <w:spacing w:after="0"/>
              <w:rPr>
                <w:sz w:val="20"/>
                <w:szCs w:val="20"/>
                <w:color w:val="auto"/>
              </w:rPr>
            </w:pPr>
            <w:r>
              <w:rPr>
                <w:rFonts w:ascii="Times New Roman" w:cs="Times New Roman" w:eastAsia="Times New Roman" w:hAnsi="Times New Roman"/>
                <w:sz w:val="16"/>
                <w:szCs w:val="16"/>
                <w:color w:val="auto"/>
              </w:rPr>
              <w:t>1.33</w:t>
            </w:r>
          </w:p>
        </w:tc>
        <w:tc>
          <w:tcPr>
            <w:tcW w:w="0" w:type="dxa"/>
            <w:vAlign w:val="bottom"/>
          </w:tcPr>
          <w:p>
            <w:pPr>
              <w:spacing w:after="0"/>
              <w:rPr>
                <w:sz w:val="1"/>
                <w:szCs w:val="1"/>
                <w:color w:val="auto"/>
              </w:rPr>
            </w:pPr>
          </w:p>
        </w:tc>
      </w:tr>
      <w:tr>
        <w:trPr>
          <w:trHeight w:val="193"/>
        </w:trPr>
        <w:tc>
          <w:tcPr>
            <w:tcW w:w="25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Borrowings:</w:t>
            </w:r>
          </w:p>
        </w:tc>
        <w:tc>
          <w:tcPr>
            <w:tcW w:w="1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25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Short-term borrowings</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376,063</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4,099</w:t>
            </w:r>
          </w:p>
        </w:tc>
        <w:tc>
          <w:tcPr>
            <w:tcW w:w="1540" w:type="dxa"/>
            <w:vAlign w:val="bottom"/>
            <w:gridSpan w:val="2"/>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4.38</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286,584</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3,294</w:t>
            </w:r>
          </w:p>
        </w:tc>
        <w:tc>
          <w:tcPr>
            <w:tcW w:w="1520" w:type="dxa"/>
            <w:vAlign w:val="bottom"/>
            <w:gridSpan w:val="2"/>
            <w:shd w:val="clear" w:color="auto" w:fill="CCEEFF"/>
          </w:tcPr>
          <w:p>
            <w:pPr>
              <w:ind w:left="1040"/>
              <w:spacing w:after="0"/>
              <w:rPr>
                <w:sz w:val="20"/>
                <w:szCs w:val="20"/>
                <w:color w:val="auto"/>
              </w:rPr>
            </w:pPr>
            <w:r>
              <w:rPr>
                <w:rFonts w:ascii="Times New Roman" w:cs="Times New Roman" w:eastAsia="Times New Roman" w:hAnsi="Times New Roman"/>
                <w:sz w:val="16"/>
                <w:szCs w:val="16"/>
                <w:color w:val="auto"/>
              </w:rPr>
              <w:t>4.61</w:t>
            </w:r>
          </w:p>
        </w:tc>
        <w:tc>
          <w:tcPr>
            <w:tcW w:w="0" w:type="dxa"/>
            <w:vAlign w:val="bottom"/>
          </w:tcPr>
          <w:p>
            <w:pPr>
              <w:spacing w:after="0"/>
              <w:rPr>
                <w:sz w:val="1"/>
                <w:szCs w:val="1"/>
                <w:color w:val="auto"/>
              </w:rPr>
            </w:pPr>
          </w:p>
        </w:tc>
      </w:tr>
      <w:tr>
        <w:trPr>
          <w:trHeight w:val="213"/>
        </w:trPr>
        <w:tc>
          <w:tcPr>
            <w:tcW w:w="256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Subordinated debt borrowings</w:t>
            </w: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72,643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1,860</w:t>
            </w:r>
          </w:p>
        </w:tc>
        <w:tc>
          <w:tcPr>
            <w:tcW w:w="1540" w:type="dxa"/>
            <w:vAlign w:val="bottom"/>
            <w:gridSpan w:val="2"/>
          </w:tcPr>
          <w:p>
            <w:pPr>
              <w:jc w:val="right"/>
              <w:ind w:right="119"/>
              <w:spacing w:after="0"/>
              <w:rPr>
                <w:sz w:val="20"/>
                <w:szCs w:val="20"/>
                <w:color w:val="auto"/>
              </w:rPr>
            </w:pPr>
            <w:r>
              <w:rPr>
                <w:rFonts w:ascii="Times New Roman" w:cs="Times New Roman" w:eastAsia="Times New Roman" w:hAnsi="Times New Roman"/>
                <w:sz w:val="16"/>
                <w:szCs w:val="16"/>
                <w:color w:val="auto"/>
              </w:rPr>
              <w:t>10.30</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440" w:type="dxa"/>
            <w:vAlign w:val="bottom"/>
          </w:tcPr>
          <w:p>
            <w:pPr>
              <w:ind w:left="1140"/>
              <w:spacing w:after="0"/>
              <w:rPr>
                <w:sz w:val="20"/>
                <w:szCs w:val="20"/>
                <w:color w:val="auto"/>
              </w:rPr>
            </w:pPr>
            <w:r>
              <w:rPr>
                <w:rFonts w:ascii="Times New Roman" w:cs="Times New Roman" w:eastAsia="Times New Roman" w:hAnsi="Times New Roman"/>
                <w:sz w:val="16"/>
                <w:szCs w:val="16"/>
                <w:color w:val="auto"/>
              </w:rPr>
              <w:t>N/A</w:t>
            </w:r>
          </w:p>
        </w:tc>
        <w:tc>
          <w:tcPr>
            <w:tcW w:w="0" w:type="dxa"/>
            <w:vAlign w:val="bottom"/>
          </w:tcPr>
          <w:p>
            <w:pPr>
              <w:spacing w:after="0"/>
              <w:rPr>
                <w:sz w:val="1"/>
                <w:szCs w:val="1"/>
                <w:color w:val="auto"/>
              </w:rPr>
            </w:pPr>
          </w:p>
        </w:tc>
      </w:tr>
      <w:tr>
        <w:trPr>
          <w:trHeight w:val="212"/>
        </w:trPr>
        <w:tc>
          <w:tcPr>
            <w:tcW w:w="25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interest-bearing liabilities</w:t>
            </w: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4,659,363</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36,332</w:t>
            </w:r>
          </w:p>
        </w:tc>
        <w:tc>
          <w:tcPr>
            <w:tcW w:w="100" w:type="dxa"/>
            <w:vAlign w:val="bottom"/>
            <w:tcBorders>
              <w:top w:val="single" w:sz="8" w:color="CCEEFF"/>
            </w:tcBorders>
            <w:shd w:val="clear" w:color="auto" w:fill="CCEEFF"/>
          </w:tcPr>
          <w:p>
            <w:pPr>
              <w:spacing w:after="0"/>
              <w:rPr>
                <w:sz w:val="18"/>
                <w:szCs w:val="18"/>
                <w:color w:val="auto"/>
              </w:rPr>
            </w:pPr>
          </w:p>
        </w:tc>
        <w:tc>
          <w:tcPr>
            <w:tcW w:w="144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3.14</w:t>
            </w: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2,428,917</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13,324</w:t>
            </w:r>
          </w:p>
        </w:tc>
        <w:tc>
          <w:tcPr>
            <w:tcW w:w="80" w:type="dxa"/>
            <w:vAlign w:val="bottom"/>
            <w:tcBorders>
              <w:top w:val="single" w:sz="8" w:color="CCEEFF"/>
            </w:tcBorders>
            <w:shd w:val="clear" w:color="auto" w:fill="CCEEFF"/>
          </w:tcPr>
          <w:p>
            <w:pPr>
              <w:spacing w:after="0"/>
              <w:rPr>
                <w:sz w:val="18"/>
                <w:szCs w:val="18"/>
                <w:color w:val="auto"/>
              </w:rPr>
            </w:pPr>
          </w:p>
        </w:tc>
        <w:tc>
          <w:tcPr>
            <w:tcW w:w="1440" w:type="dxa"/>
            <w:vAlign w:val="bottom"/>
            <w:tcBorders>
              <w:top w:val="single" w:sz="8" w:color="auto"/>
              <w:bottom w:val="single" w:sz="8" w:color="auto"/>
            </w:tcBorders>
            <w:shd w:val="clear" w:color="auto" w:fill="CCEEFF"/>
          </w:tcPr>
          <w:p>
            <w:pPr>
              <w:ind w:left="960"/>
              <w:spacing w:after="0"/>
              <w:rPr>
                <w:sz w:val="20"/>
                <w:szCs w:val="20"/>
                <w:color w:val="auto"/>
              </w:rPr>
            </w:pPr>
            <w:r>
              <w:rPr>
                <w:rFonts w:ascii="Times New Roman" w:cs="Times New Roman" w:eastAsia="Times New Roman" w:hAnsi="Times New Roman"/>
                <w:sz w:val="16"/>
                <w:szCs w:val="16"/>
                <w:color w:val="auto"/>
              </w:rPr>
              <w:t>2.20</w:t>
            </w:r>
          </w:p>
        </w:tc>
        <w:tc>
          <w:tcPr>
            <w:tcW w:w="0" w:type="dxa"/>
            <w:vAlign w:val="bottom"/>
          </w:tcPr>
          <w:p>
            <w:pPr>
              <w:spacing w:after="0"/>
              <w:rPr>
                <w:sz w:val="1"/>
                <w:szCs w:val="1"/>
                <w:color w:val="auto"/>
              </w:rPr>
            </w:pPr>
          </w:p>
        </w:tc>
      </w:tr>
      <w:tr>
        <w:trPr>
          <w:trHeight w:val="207"/>
        </w:trPr>
        <w:tc>
          <w:tcPr>
            <w:tcW w:w="25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Non-interest-bearing liabilities</w:t>
            </w:r>
          </w:p>
        </w:tc>
        <w:tc>
          <w:tcPr>
            <w:tcW w:w="1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129,884</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24,036</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2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Equity</w:t>
            </w:r>
          </w:p>
        </w:tc>
        <w:tc>
          <w:tcPr>
            <w:tcW w:w="1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554,485</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290,285</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256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6"/>
                <w:szCs w:val="16"/>
                <w:color w:val="auto"/>
              </w:rPr>
              <w:t>Total liabilities and equity</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6,478,532</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24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44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3,623,032</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26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44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53"/>
        </w:trPr>
        <w:tc>
          <w:tcPr>
            <w:tcW w:w="25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62"/>
        </w:trPr>
        <w:tc>
          <w:tcPr>
            <w:tcW w:w="256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Taxable-equivalent net interest income</w:t>
            </w:r>
          </w:p>
        </w:tc>
        <w:tc>
          <w:tcPr>
            <w:tcW w:w="1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60,453</w:t>
            </w:r>
          </w:p>
        </w:tc>
        <w:tc>
          <w:tcPr>
            <w:tcW w:w="100" w:type="dxa"/>
            <w:vAlign w:val="bottom"/>
            <w:vMerge w:val="restart"/>
          </w:tcPr>
          <w:p>
            <w:pPr>
              <w:spacing w:after="0"/>
              <w:rPr>
                <w:sz w:val="14"/>
                <w:szCs w:val="14"/>
                <w:color w:val="auto"/>
              </w:rPr>
            </w:pPr>
          </w:p>
        </w:tc>
        <w:tc>
          <w:tcPr>
            <w:tcW w:w="14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3.35 %</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24,166</w:t>
            </w:r>
          </w:p>
        </w:tc>
        <w:tc>
          <w:tcPr>
            <w:tcW w:w="80" w:type="dxa"/>
            <w:vAlign w:val="bottom"/>
            <w:vMerge w:val="restart"/>
          </w:tcPr>
          <w:p>
            <w:pPr>
              <w:spacing w:after="0"/>
              <w:rPr>
                <w:sz w:val="14"/>
                <w:szCs w:val="14"/>
                <w:color w:val="auto"/>
              </w:rPr>
            </w:pPr>
          </w:p>
        </w:tc>
        <w:tc>
          <w:tcPr>
            <w:tcW w:w="1440" w:type="dxa"/>
            <w:vAlign w:val="bottom"/>
            <w:vMerge w:val="restart"/>
          </w:tcPr>
          <w:p>
            <w:pPr>
              <w:ind w:left="960"/>
              <w:spacing w:after="0"/>
              <w:rPr>
                <w:sz w:val="20"/>
                <w:szCs w:val="20"/>
                <w:color w:val="auto"/>
              </w:rPr>
            </w:pPr>
            <w:r>
              <w:rPr>
                <w:rFonts w:ascii="Times New Roman" w:cs="Times New Roman" w:eastAsia="Times New Roman" w:hAnsi="Times New Roman"/>
                <w:sz w:val="16"/>
                <w:szCs w:val="16"/>
                <w:color w:val="auto"/>
              </w:rPr>
              <w:t>2.25 %</w:t>
            </w:r>
          </w:p>
        </w:tc>
        <w:tc>
          <w:tcPr>
            <w:tcW w:w="0" w:type="dxa"/>
            <w:vAlign w:val="bottom"/>
          </w:tcPr>
          <w:p>
            <w:pPr>
              <w:spacing w:after="0"/>
              <w:rPr>
                <w:sz w:val="1"/>
                <w:szCs w:val="1"/>
                <w:color w:val="auto"/>
              </w:rPr>
            </w:pPr>
          </w:p>
        </w:tc>
      </w:tr>
      <w:tr>
        <w:trPr>
          <w:trHeight w:val="216"/>
        </w:trPr>
        <w:tc>
          <w:tcPr>
            <w:tcW w:w="2560" w:type="dxa"/>
            <w:vAlign w:val="bottom"/>
            <w:tcBorders>
              <w:bottom w:val="single" w:sz="8" w:color="CCEEFF"/>
            </w:tcBorders>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/net interest spread </w:t>
            </w:r>
            <w:r>
              <w:rPr>
                <w:rFonts w:ascii="Times New Roman" w:cs="Times New Roman" w:eastAsia="Times New Roman" w:hAnsi="Times New Roman"/>
                <w:sz w:val="21"/>
                <w:szCs w:val="21"/>
                <w:color w:val="auto"/>
                <w:vertAlign w:val="superscript"/>
              </w:rPr>
              <w:t>(4)</w:t>
            </w:r>
          </w:p>
        </w:tc>
        <w:tc>
          <w:tcPr>
            <w:tcW w:w="160" w:type="dxa"/>
            <w:vAlign w:val="bottom"/>
            <w:tcBorders>
              <w:bottom w:val="single" w:sz="8" w:color="CCEEFF"/>
            </w:tcBorders>
          </w:tcPr>
          <w:p>
            <w:pPr>
              <w:spacing w:after="0"/>
              <w:rPr>
                <w:sz w:val="18"/>
                <w:szCs w:val="18"/>
                <w:color w:val="auto"/>
              </w:rPr>
            </w:pPr>
          </w:p>
        </w:tc>
        <w:tc>
          <w:tcPr>
            <w:tcW w:w="11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vMerge w:val="continue"/>
          </w:tcPr>
          <w:p>
            <w:pPr>
              <w:spacing w:after="0"/>
              <w:rPr>
                <w:sz w:val="18"/>
                <w:szCs w:val="18"/>
                <w:color w:val="auto"/>
              </w:rPr>
            </w:pPr>
          </w:p>
        </w:tc>
        <w:tc>
          <w:tcPr>
            <w:tcW w:w="144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11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vMerge w:val="continue"/>
          </w:tcPr>
          <w:p>
            <w:pPr>
              <w:spacing w:after="0"/>
              <w:rPr>
                <w:sz w:val="18"/>
                <w:szCs w:val="18"/>
                <w:color w:val="auto"/>
              </w:rPr>
            </w:pPr>
          </w:p>
        </w:tc>
        <w:tc>
          <w:tcPr>
            <w:tcW w:w="144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42"/>
        </w:trPr>
        <w:tc>
          <w:tcPr>
            <w:tcW w:w="2560" w:type="dxa"/>
            <w:vAlign w:val="bottom"/>
            <w:shd w:val="clear" w:color="auto" w:fill="CCEEFF"/>
          </w:tcPr>
          <w:p>
            <w:pPr>
              <w:ind w:left="20"/>
              <w:spacing w:after="0" w:line="142" w:lineRule="exact"/>
              <w:rPr>
                <w:sz w:val="20"/>
                <w:szCs w:val="20"/>
                <w:color w:val="auto"/>
              </w:rPr>
            </w:pPr>
            <w:r>
              <w:rPr>
                <w:rFonts w:ascii="Times New Roman" w:cs="Times New Roman" w:eastAsia="Times New Roman" w:hAnsi="Times New Roman"/>
                <w:sz w:val="16"/>
                <w:szCs w:val="16"/>
                <w:color w:val="auto"/>
              </w:rPr>
              <w:t>Taxable-equivalent net interest margin</w:t>
            </w:r>
          </w:p>
        </w:tc>
        <w:tc>
          <w:tcPr>
            <w:tcW w:w="16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154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4.06 %</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520" w:type="dxa"/>
            <w:vAlign w:val="bottom"/>
            <w:gridSpan w:val="2"/>
            <w:vMerge w:val="restart"/>
            <w:shd w:val="clear" w:color="auto" w:fill="CCEEFF"/>
          </w:tcPr>
          <w:p>
            <w:pPr>
              <w:ind w:left="1040"/>
              <w:spacing w:after="0"/>
              <w:rPr>
                <w:sz w:val="20"/>
                <w:szCs w:val="20"/>
                <w:color w:val="auto"/>
              </w:rPr>
            </w:pPr>
            <w:r>
              <w:rPr>
                <w:rFonts w:ascii="Times New Roman" w:cs="Times New Roman" w:eastAsia="Times New Roman" w:hAnsi="Times New Roman"/>
                <w:sz w:val="16"/>
                <w:szCs w:val="16"/>
                <w:color w:val="auto"/>
              </w:rPr>
              <w:t>2.87 %</w:t>
            </w:r>
          </w:p>
        </w:tc>
        <w:tc>
          <w:tcPr>
            <w:tcW w:w="0" w:type="dxa"/>
            <w:vAlign w:val="bottom"/>
          </w:tcPr>
          <w:p>
            <w:pPr>
              <w:spacing w:after="0"/>
              <w:rPr>
                <w:sz w:val="1"/>
                <w:szCs w:val="1"/>
                <w:color w:val="auto"/>
              </w:rPr>
            </w:pPr>
          </w:p>
        </w:tc>
      </w:tr>
      <w:tr>
        <w:trPr>
          <w:trHeight w:val="162"/>
        </w:trPr>
        <w:tc>
          <w:tcPr>
            <w:tcW w:w="2560" w:type="dxa"/>
            <w:vAlign w:val="bottom"/>
            <w:tcBorders>
              <w:bottom w:val="single" w:sz="8" w:color="CCEEFF"/>
            </w:tcBorders>
            <w:shd w:val="clear" w:color="auto" w:fill="CCEEFF"/>
          </w:tcPr>
          <w:p>
            <w:pPr>
              <w:ind w:left="180"/>
              <w:spacing w:after="0" w:line="108" w:lineRule="exact"/>
              <w:rPr>
                <w:sz w:val="20"/>
                <w:szCs w:val="20"/>
                <w:color w:val="auto"/>
              </w:rPr>
            </w:pPr>
            <w:r>
              <w:rPr>
                <w:rFonts w:ascii="Times New Roman" w:cs="Times New Roman" w:eastAsia="Times New Roman" w:hAnsi="Times New Roman"/>
                <w:sz w:val="11"/>
                <w:szCs w:val="11"/>
                <w:color w:val="auto"/>
              </w:rPr>
              <w:t>(5)</w:t>
            </w:r>
          </w:p>
        </w:tc>
        <w:tc>
          <w:tcPr>
            <w:tcW w:w="160" w:type="dxa"/>
            <w:vAlign w:val="bottom"/>
            <w:tcBorders>
              <w:bottom w:val="single" w:sz="8" w:color="CCEEFF"/>
            </w:tcBorders>
            <w:shd w:val="clear" w:color="auto" w:fill="CCEEFF"/>
          </w:tcPr>
          <w:p>
            <w:pPr>
              <w:spacing w:after="0"/>
              <w:rPr>
                <w:sz w:val="14"/>
                <w:szCs w:val="14"/>
                <w:color w:val="auto"/>
              </w:rPr>
            </w:pPr>
          </w:p>
        </w:tc>
        <w:tc>
          <w:tcPr>
            <w:tcW w:w="116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240" w:type="dxa"/>
            <w:vAlign w:val="bottom"/>
            <w:tcBorders>
              <w:bottom w:val="single" w:sz="8" w:color="CCEEFF"/>
            </w:tcBorders>
            <w:shd w:val="clear" w:color="auto" w:fill="CCEEFF"/>
          </w:tcPr>
          <w:p>
            <w:pPr>
              <w:spacing w:after="0"/>
              <w:rPr>
                <w:sz w:val="14"/>
                <w:szCs w:val="14"/>
                <w:color w:val="auto"/>
              </w:rPr>
            </w:pPr>
          </w:p>
        </w:tc>
        <w:tc>
          <w:tcPr>
            <w:tcW w:w="1540" w:type="dxa"/>
            <w:vAlign w:val="bottom"/>
            <w:tcBorders>
              <w:bottom w:val="single" w:sz="8" w:color="CCEEFF"/>
            </w:tcBorders>
            <w:gridSpan w:val="2"/>
            <w:vMerge w:val="continue"/>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CCEEFF"/>
            </w:tcBorders>
            <w:shd w:val="clear" w:color="auto" w:fill="CCEEFF"/>
          </w:tcPr>
          <w:p>
            <w:pPr>
              <w:spacing w:after="0"/>
              <w:rPr>
                <w:sz w:val="14"/>
                <w:szCs w:val="14"/>
                <w:color w:val="auto"/>
              </w:rPr>
            </w:pPr>
          </w:p>
        </w:tc>
        <w:tc>
          <w:tcPr>
            <w:tcW w:w="114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260" w:type="dxa"/>
            <w:vAlign w:val="bottom"/>
            <w:tcBorders>
              <w:bottom w:val="single" w:sz="8" w:color="CCEEFF"/>
            </w:tcBorders>
            <w:shd w:val="clear" w:color="auto" w:fill="CCEEFF"/>
          </w:tcPr>
          <w:p>
            <w:pPr>
              <w:spacing w:after="0"/>
              <w:rPr>
                <w:sz w:val="14"/>
                <w:szCs w:val="14"/>
                <w:color w:val="auto"/>
              </w:rPr>
            </w:pPr>
          </w:p>
        </w:tc>
        <w:tc>
          <w:tcPr>
            <w:tcW w:w="1520" w:type="dxa"/>
            <w:vAlign w:val="bottom"/>
            <w:tcBorders>
              <w:bottom w:val="single" w:sz="8" w:color="CCEEFF"/>
            </w:tcBorders>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3"/>
        </w:trPr>
        <w:tc>
          <w:tcPr>
            <w:tcW w:w="25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Taxable-equivalent net adjustment</w:t>
            </w:r>
          </w:p>
        </w:tc>
        <w:tc>
          <w:tcPr>
            <w:tcW w:w="160" w:type="dxa"/>
            <w:vAlign w:val="bottom"/>
            <w:tcBorders>
              <w:bottom w:val="single" w:sz="8" w:color="CCEEFF"/>
            </w:tcBorders>
          </w:tcPr>
          <w:p>
            <w:pPr>
              <w:spacing w:after="0"/>
              <w:rPr>
                <w:sz w:val="16"/>
                <w:szCs w:val="16"/>
                <w:color w:val="auto"/>
              </w:rPr>
            </w:pPr>
          </w:p>
        </w:tc>
        <w:tc>
          <w:tcPr>
            <w:tcW w:w="116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(688)</w:t>
            </w:r>
          </w:p>
        </w:tc>
        <w:tc>
          <w:tcPr>
            <w:tcW w:w="100" w:type="dxa"/>
            <w:vAlign w:val="bottom"/>
            <w:tcBorders>
              <w:bottom w:val="single" w:sz="8" w:color="CCEEFF"/>
            </w:tcBorders>
          </w:tcPr>
          <w:p>
            <w:pPr>
              <w:spacing w:after="0"/>
              <w:rPr>
                <w:sz w:val="16"/>
                <w:szCs w:val="16"/>
                <w:color w:val="auto"/>
              </w:rPr>
            </w:pPr>
          </w:p>
        </w:tc>
        <w:tc>
          <w:tcPr>
            <w:tcW w:w="1440" w:type="dxa"/>
            <w:vAlign w:val="bottom"/>
            <w:tcBorders>
              <w:top w:val="single" w:sz="8" w:color="auto"/>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80" w:type="dxa"/>
            <w:vAlign w:val="bottom"/>
            <w:tcBorders>
              <w:bottom w:val="single" w:sz="8" w:color="CCEEFF"/>
            </w:tcBorders>
          </w:tcPr>
          <w:p>
            <w:pPr>
              <w:spacing w:after="0"/>
              <w:rPr>
                <w:sz w:val="16"/>
                <w:szCs w:val="16"/>
                <w:color w:val="auto"/>
              </w:rPr>
            </w:pPr>
          </w:p>
        </w:tc>
        <w:tc>
          <w:tcPr>
            <w:tcW w:w="114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(374)</w:t>
            </w:r>
          </w:p>
        </w:tc>
        <w:tc>
          <w:tcPr>
            <w:tcW w:w="80" w:type="dxa"/>
            <w:vAlign w:val="bottom"/>
            <w:tcBorders>
              <w:bottom w:val="single" w:sz="8" w:color="CCEEFF"/>
            </w:tcBorders>
          </w:tcPr>
          <w:p>
            <w:pPr>
              <w:spacing w:after="0"/>
              <w:rPr>
                <w:sz w:val="16"/>
                <w:szCs w:val="16"/>
                <w:color w:val="auto"/>
              </w:rPr>
            </w:pPr>
          </w:p>
        </w:tc>
        <w:tc>
          <w:tcPr>
            <w:tcW w:w="1440" w:type="dxa"/>
            <w:vAlign w:val="bottom"/>
            <w:tcBorders>
              <w:top w:val="single" w:sz="8" w:color="auto"/>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interest income</w:t>
            </w:r>
          </w:p>
        </w:tc>
        <w:tc>
          <w:tcPr>
            <w:tcW w:w="16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59,765</w:t>
            </w:r>
          </w:p>
        </w:tc>
        <w:tc>
          <w:tcPr>
            <w:tcW w:w="10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23,792</w:t>
            </w:r>
          </w:p>
        </w:tc>
        <w:tc>
          <w:tcPr>
            <w:tcW w:w="8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5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interest-earning assets</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1,335,020</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950,617</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80" w:lineRule="exact"/>
        <w:rPr>
          <w:sz w:val="20"/>
          <w:szCs w:val="20"/>
          <w:color w:val="auto"/>
        </w:rPr>
      </w:pPr>
    </w:p>
    <w:p>
      <w:pPr>
        <w:ind w:left="640" w:hanging="308"/>
        <w:spacing w:after="0"/>
        <w:tabs>
          <w:tab w:leader="none" w:pos="64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Non-accrual loans are included in average loan balances.</w:t>
      </w:r>
    </w:p>
    <w:p>
      <w:pPr>
        <w:spacing w:after="0" w:line="109" w:lineRule="exact"/>
        <w:rPr>
          <w:rFonts w:ascii="Times New Roman" w:cs="Times New Roman" w:eastAsia="Times New Roman" w:hAnsi="Times New Roman"/>
          <w:sz w:val="14"/>
          <w:szCs w:val="14"/>
          <w:color w:val="auto"/>
        </w:rPr>
      </w:pPr>
    </w:p>
    <w:p>
      <w:pPr>
        <w:ind w:left="640" w:hanging="308"/>
        <w:spacing w:after="0"/>
        <w:tabs>
          <w:tab w:leader="none" w:pos="64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Loan fees are included in the calculation of interest income.</w:t>
      </w:r>
    </w:p>
    <w:p>
      <w:pPr>
        <w:spacing w:after="0" w:line="122" w:lineRule="exact"/>
        <w:rPr>
          <w:rFonts w:ascii="Times New Roman" w:cs="Times New Roman" w:eastAsia="Times New Roman" w:hAnsi="Times New Roman"/>
          <w:sz w:val="14"/>
          <w:szCs w:val="14"/>
          <w:color w:val="auto"/>
        </w:rPr>
      </w:pPr>
    </w:p>
    <w:p>
      <w:pPr>
        <w:ind w:left="640" w:hanging="308"/>
        <w:spacing w:after="0"/>
        <w:tabs>
          <w:tab w:leader="none" w:pos="64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Yields and interest income on tax-exempt assets are computed on a taxable-equivalent basis assuming a 21% tax rate.</w:t>
      </w:r>
    </w:p>
    <w:p>
      <w:pPr>
        <w:spacing w:after="0" w:line="122" w:lineRule="exact"/>
        <w:rPr>
          <w:rFonts w:ascii="Times New Roman" w:cs="Times New Roman" w:eastAsia="Times New Roman" w:hAnsi="Times New Roman"/>
          <w:sz w:val="14"/>
          <w:szCs w:val="14"/>
          <w:color w:val="auto"/>
        </w:rPr>
      </w:pPr>
    </w:p>
    <w:p>
      <w:pPr>
        <w:ind w:left="660" w:hanging="328"/>
        <w:spacing w:after="0" w:line="302" w:lineRule="auto"/>
        <w:tabs>
          <w:tab w:leader="none" w:pos="652"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interest rate spread represents the difference between the fully taxable-equivalent weighted-average yield on interest-earning assets and the weighted-average yield of interest-bearing liabilities for the period.</w:t>
      </w:r>
    </w:p>
    <w:p>
      <w:pPr>
        <w:spacing w:after="0" w:line="53" w:lineRule="exact"/>
        <w:rPr>
          <w:rFonts w:ascii="Times New Roman" w:cs="Times New Roman" w:eastAsia="Times New Roman" w:hAnsi="Times New Roman"/>
          <w:sz w:val="14"/>
          <w:szCs w:val="14"/>
          <w:color w:val="auto"/>
        </w:rPr>
      </w:pPr>
    </w:p>
    <w:p>
      <w:pPr>
        <w:ind w:left="640" w:hanging="308"/>
        <w:spacing w:after="0"/>
        <w:tabs>
          <w:tab w:leader="none" w:pos="64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net interest margin represents FTE net interest income as a percent of average interest-earning assets for the period.</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Taxable-equivalent net interest margin, as presented above, is calculated by dividing FTE net interest income by total average earning assets. Net interest income, on an FTE basis, is a non-GAAP financial measure that the Company believes to provide a more accurate picture of the interest margin for comparative purposes. Management believes FTE net interest income is a standard practice in the banking industry, and when net interest income is adjusted on an FTE basis, yields on taxable, nontaxable, and partially taxable assets are comparable; however, the adjustment to an FTE basis has no impact on net income. FTE net interest income is calculated by adding the tax benefit on certain financial interest-earning assets, whose interest is tax-exempt, to total interest income then subtracting total interest expense. As a non-GAAP measure, FTE net interest income should not be considered as a substitute for the nearest comparable GAAP measure, net interest income. Net interest income shown elsewhere in this presentation is GAAP net interest income. The following table reconciles GAAP net interest income to FTE net interest income (in thousands).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60" w:type="dxa"/>
            <w:vAlign w:val="bottom"/>
            <w:gridSpan w:val="4"/>
          </w:tcPr>
          <w:p>
            <w:pPr>
              <w:jc w:val="right"/>
              <w:ind w:right="1059"/>
              <w:spacing w:after="0"/>
              <w:rPr>
                <w:sz w:val="20"/>
                <w:szCs w:val="20"/>
                <w:color w:val="auto"/>
              </w:rPr>
            </w:pPr>
            <w:r>
              <w:rPr>
                <w:rFonts w:ascii="Times New Roman" w:cs="Times New Roman" w:eastAsia="Times New Roman" w:hAnsi="Times New Roman"/>
                <w:sz w:val="16"/>
                <w:szCs w:val="16"/>
                <w:b w:val="1"/>
                <w:bCs w:val="1"/>
                <w:color w:val="auto"/>
              </w:rPr>
              <w:t>Three Months Ended</w:t>
            </w:r>
          </w:p>
        </w:tc>
      </w:tr>
      <w:tr>
        <w:trPr>
          <w:trHeight w:val="219"/>
        </w:trPr>
        <w:tc>
          <w:tcPr>
            <w:tcW w:w="75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4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June 30, 2024</w:t>
            </w:r>
          </w:p>
        </w:tc>
        <w:tc>
          <w:tcPr>
            <w:tcW w:w="260" w:type="dxa"/>
            <w:vAlign w:val="bottom"/>
          </w:tcPr>
          <w:p>
            <w:pPr>
              <w:spacing w:after="0"/>
              <w:rPr>
                <w:sz w:val="19"/>
                <w:szCs w:val="19"/>
                <w:color w:val="auto"/>
              </w:rPr>
            </w:pPr>
          </w:p>
        </w:tc>
        <w:tc>
          <w:tcPr>
            <w:tcW w:w="1560" w:type="dxa"/>
            <w:vAlign w:val="bottom"/>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June 30, 2023</w:t>
            </w:r>
          </w:p>
        </w:tc>
      </w:tr>
      <w:tr>
        <w:trPr>
          <w:trHeight w:val="199"/>
        </w:trPr>
        <w:tc>
          <w:tcPr>
            <w:tcW w:w="75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GAAP Financial Measurements</w:t>
            </w:r>
          </w:p>
        </w:tc>
        <w:tc>
          <w:tcPr>
            <w:tcW w:w="280" w:type="dxa"/>
            <w:vAlign w:val="bottom"/>
            <w:tcBorders>
              <w:top w:val="single" w:sz="8" w:color="auto"/>
            </w:tcBorders>
            <w:shd w:val="clear" w:color="auto" w:fill="CCEEFF"/>
          </w:tcPr>
          <w:p>
            <w:pPr>
              <w:spacing w:after="0"/>
              <w:rPr>
                <w:sz w:val="17"/>
                <w:szCs w:val="17"/>
                <w:color w:val="auto"/>
              </w:rPr>
            </w:pPr>
          </w:p>
        </w:tc>
        <w:tc>
          <w:tcPr>
            <w:tcW w:w="15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560" w:type="dxa"/>
            <w:vAlign w:val="bottom"/>
            <w:tcBorders>
              <w:top w:val="single" w:sz="8" w:color="auto"/>
            </w:tcBorders>
            <w:shd w:val="clear" w:color="auto" w:fill="CCEEFF"/>
          </w:tcPr>
          <w:p>
            <w:pPr>
              <w:spacing w:after="0"/>
              <w:rPr>
                <w:sz w:val="17"/>
                <w:szCs w:val="17"/>
                <w:color w:val="auto"/>
              </w:rPr>
            </w:pPr>
          </w:p>
        </w:tc>
      </w:tr>
      <w:tr>
        <w:trPr>
          <w:trHeight w:val="213"/>
        </w:trPr>
        <w:tc>
          <w:tcPr>
            <w:tcW w:w="75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Interest Income - Loans</w:t>
            </w: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81,673</w:t>
            </w:r>
          </w:p>
        </w:tc>
        <w:tc>
          <w:tcPr>
            <w:tcW w:w="10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25,300</w:t>
            </w:r>
          </w:p>
        </w:tc>
      </w:tr>
      <w:tr>
        <w:trPr>
          <w:trHeight w:val="219"/>
        </w:trPr>
        <w:tc>
          <w:tcPr>
            <w:tcW w:w="75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Interest Income - Tax-exempt loans</w:t>
            </w:r>
          </w:p>
        </w:tc>
        <w:tc>
          <w:tcPr>
            <w:tcW w:w="2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75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Interest Income - Securities taxable</w:t>
            </w:r>
          </w:p>
        </w:tc>
        <w:tc>
          <w:tcPr>
            <w:tcW w:w="28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10,930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9,419</w:t>
            </w:r>
          </w:p>
        </w:tc>
      </w:tr>
      <w:tr>
        <w:trPr>
          <w:trHeight w:val="219"/>
        </w:trPr>
        <w:tc>
          <w:tcPr>
            <w:tcW w:w="75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Interest Income - Securities tax-exempt</w:t>
            </w:r>
          </w:p>
        </w:tc>
        <w:tc>
          <w:tcPr>
            <w:tcW w:w="2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2,556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1,409</w:t>
            </w:r>
          </w:p>
        </w:tc>
      </w:tr>
      <w:tr>
        <w:trPr>
          <w:trHeight w:val="213"/>
        </w:trPr>
        <w:tc>
          <w:tcPr>
            <w:tcW w:w="75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Interest Income - Other interest income</w:t>
            </w:r>
          </w:p>
        </w:tc>
        <w:tc>
          <w:tcPr>
            <w:tcW w:w="28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905</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988</w:t>
            </w:r>
          </w:p>
        </w:tc>
      </w:tr>
      <w:tr>
        <w:trPr>
          <w:trHeight w:val="219"/>
        </w:trPr>
        <w:tc>
          <w:tcPr>
            <w:tcW w:w="75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Interest Expense - Deposits</w:t>
            </w:r>
          </w:p>
        </w:tc>
        <w:tc>
          <w:tcPr>
            <w:tcW w:w="2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30,373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10,030</w:t>
            </w:r>
          </w:p>
        </w:tc>
      </w:tr>
      <w:tr>
        <w:trPr>
          <w:trHeight w:val="213"/>
        </w:trPr>
        <w:tc>
          <w:tcPr>
            <w:tcW w:w="75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Interest Expense - Borrowed funds</w:t>
            </w:r>
          </w:p>
        </w:tc>
        <w:tc>
          <w:tcPr>
            <w:tcW w:w="28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4,071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3,279</w:t>
            </w:r>
          </w:p>
        </w:tc>
      </w:tr>
      <w:tr>
        <w:trPr>
          <w:trHeight w:val="219"/>
        </w:trPr>
        <w:tc>
          <w:tcPr>
            <w:tcW w:w="75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Interest Expense - Subordinated debt</w:t>
            </w:r>
          </w:p>
        </w:tc>
        <w:tc>
          <w:tcPr>
            <w:tcW w:w="2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1,860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750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6"/>
                <w:szCs w:val="16"/>
                <w:color w:val="auto"/>
              </w:rPr>
              <w:t>Interest Expense - Other</w:t>
            </w:r>
          </w:p>
        </w:tc>
        <w:tc>
          <w:tcPr>
            <w:tcW w:w="28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w:t>
            </w:r>
          </w:p>
        </w:tc>
      </w:tr>
      <w:tr>
        <w:trPr>
          <w:trHeight w:val="209"/>
        </w:trPr>
        <w:tc>
          <w:tcPr>
            <w:tcW w:w="7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Net Interest Income</w:t>
            </w: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59,765</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23,792</w:t>
            </w:r>
          </w:p>
        </w:tc>
      </w:tr>
      <w:tr>
        <w:trPr>
          <w:trHeight w:val="253"/>
        </w:trPr>
        <w:tc>
          <w:tcPr>
            <w:tcW w:w="75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60" w:type="dxa"/>
            <w:vAlign w:val="bottom"/>
          </w:tcPr>
          <w:p>
            <w:pPr>
              <w:spacing w:after="0"/>
              <w:rPr>
                <w:sz w:val="21"/>
                <w:szCs w:val="21"/>
                <w:color w:val="auto"/>
              </w:rPr>
            </w:pPr>
          </w:p>
        </w:tc>
      </w:tr>
      <w:tr>
        <w:trPr>
          <w:trHeight w:val="216"/>
        </w:trPr>
        <w:tc>
          <w:tcPr>
            <w:tcW w:w="7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Non-GAAP Financial Measurements</w:t>
            </w:r>
          </w:p>
        </w:tc>
        <w:tc>
          <w:tcPr>
            <w:tcW w:w="28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r>
      <w:tr>
        <w:trPr>
          <w:trHeight w:val="213"/>
        </w:trPr>
        <w:tc>
          <w:tcPr>
            <w:tcW w:w="750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6"/>
                <w:szCs w:val="16"/>
                <w:color w:val="auto"/>
              </w:rPr>
              <w:t>Add: Tax Benefit on Tax-Exempt Interest Income - Securities</w:t>
            </w:r>
          </w:p>
        </w:tc>
        <w:tc>
          <w:tcPr>
            <w:tcW w:w="2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688</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374</w:t>
            </w:r>
          </w:p>
        </w:tc>
      </w:tr>
      <w:tr>
        <w:trPr>
          <w:trHeight w:val="212"/>
        </w:trPr>
        <w:tc>
          <w:tcPr>
            <w:tcW w:w="7500" w:type="dxa"/>
            <w:vAlign w:val="bottom"/>
            <w:shd w:val="clear" w:color="auto" w:fill="CCEEFF"/>
          </w:tcPr>
          <w:p>
            <w:pPr>
              <w:ind w:left="20"/>
              <w:spacing w:after="0" w:line="213" w:lineRule="exact"/>
              <w:rPr>
                <w:sz w:val="20"/>
                <w:szCs w:val="20"/>
                <w:color w:val="auto"/>
              </w:rPr>
            </w:pPr>
            <w:r>
              <w:rPr>
                <w:rFonts w:ascii="Times New Roman" w:cs="Times New Roman" w:eastAsia="Times New Roman" w:hAnsi="Times New Roman"/>
                <w:sz w:val="16"/>
                <w:szCs w:val="16"/>
                <w:color w:val="auto"/>
              </w:rPr>
              <w:t xml:space="preserve">Total Tax Benefit on Tax-Exempt Interest Income </w:t>
            </w:r>
            <w:r>
              <w:rPr>
                <w:rFonts w:ascii="Times New Roman" w:cs="Times New Roman" w:eastAsia="Times New Roman" w:hAnsi="Times New Roman"/>
                <w:sz w:val="21"/>
                <w:szCs w:val="21"/>
                <w:color w:val="auto"/>
                <w:vertAlign w:val="superscript"/>
              </w:rPr>
              <w:t>(1)</w:t>
            </w:r>
          </w:p>
        </w:tc>
        <w:tc>
          <w:tcPr>
            <w:tcW w:w="280" w:type="dxa"/>
            <w:vAlign w:val="bottom"/>
            <w:tcBorders>
              <w:bottom w:val="single" w:sz="8" w:color="auto"/>
            </w:tcBorders>
            <w:shd w:val="clear" w:color="auto" w:fill="CCEEFF"/>
          </w:tcPr>
          <w:p>
            <w:pPr>
              <w:spacing w:after="0"/>
              <w:rPr>
                <w:sz w:val="18"/>
                <w:szCs w:val="18"/>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688</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374</w:t>
            </w:r>
          </w:p>
        </w:tc>
      </w:tr>
      <w:tr>
        <w:trPr>
          <w:trHeight w:val="207"/>
        </w:trPr>
        <w:tc>
          <w:tcPr>
            <w:tcW w:w="7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Tax-Equivalent Net Interest Income</w:t>
            </w:r>
          </w:p>
        </w:tc>
        <w:tc>
          <w:tcPr>
            <w:tcW w:w="2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60,453</w:t>
            </w:r>
          </w:p>
        </w:tc>
        <w:tc>
          <w:tcPr>
            <w:tcW w:w="100" w:type="dxa"/>
            <w:vAlign w:val="bottom"/>
          </w:tcPr>
          <w:p>
            <w:pPr>
              <w:spacing w:after="0"/>
              <w:rPr>
                <w:sz w:val="17"/>
                <w:szCs w:val="17"/>
                <w:color w:val="auto"/>
              </w:rPr>
            </w:pP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24,166</w:t>
            </w:r>
          </w:p>
        </w:tc>
      </w:tr>
    </w:tbl>
    <w:p>
      <w:pPr>
        <w:spacing w:after="0" w:line="180" w:lineRule="exact"/>
        <w:rPr>
          <w:sz w:val="20"/>
          <w:szCs w:val="20"/>
          <w:color w:val="auto"/>
        </w:rPr>
      </w:pPr>
    </w:p>
    <w:p>
      <w:pPr>
        <w:ind w:left="640" w:hanging="308"/>
        <w:spacing w:after="0"/>
        <w:tabs>
          <w:tab w:leader="none" w:pos="64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Tax benefit was calculated using the federal statutory tax rate of 21%.</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Yield/Rate and Volume Analysis</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following table sets forth the dollar difference in interest earned and paid for each major category of interest-earning assets and interest-bearing liabilities for the noted periods and the amount of such change attributable to changes in average balances (volume) or changes in average interest rates. Interest income and interest expense for the three months ended June 30, 2024, and June 30, 2023, are annualized using an actual days over calendar year method. Volume variances are equal to the increase or decrease in average balance multiplied by current period rates, and rate variances are equal to the increase or decrease in rate times prior period average balances. Variances attributable to both rate and volume changes are calculated by multiplying the change in rate by the change in average balance and are allocated to the volume variance. See table below (in thousands).</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520" w:type="dxa"/>
            <w:vAlign w:val="bottom"/>
            <w:gridSpan w:val="7"/>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Three Months Ended June 30, 2024, compared to June 30, 2023</w:t>
            </w:r>
          </w:p>
        </w:tc>
      </w:tr>
      <w:tr>
        <w:trPr>
          <w:trHeight w:val="219"/>
        </w:trPr>
        <w:tc>
          <w:tcPr>
            <w:tcW w:w="66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520" w:type="dxa"/>
            <w:vAlign w:val="bottom"/>
            <w:tcBorders>
              <w:bottom w:val="single" w:sz="8" w:color="auto"/>
            </w:tcBorders>
            <w:gridSpan w:val="7"/>
          </w:tcPr>
          <w:p>
            <w:pPr>
              <w:jc w:val="right"/>
              <w:ind w:right="679"/>
              <w:spacing w:after="0"/>
              <w:rPr>
                <w:sz w:val="20"/>
                <w:szCs w:val="20"/>
                <w:color w:val="auto"/>
              </w:rPr>
            </w:pPr>
            <w:r>
              <w:rPr>
                <w:rFonts w:ascii="Times New Roman" w:cs="Times New Roman" w:eastAsia="Times New Roman" w:hAnsi="Times New Roman"/>
                <w:sz w:val="16"/>
                <w:szCs w:val="16"/>
                <w:b w:val="1"/>
                <w:bCs w:val="1"/>
                <w:color w:val="auto"/>
              </w:rPr>
              <w:t>Dollar Increase (Decrease) Due to Change in:</w:t>
            </w:r>
          </w:p>
        </w:tc>
      </w:tr>
      <w:tr>
        <w:trPr>
          <w:trHeight w:val="211"/>
        </w:trPr>
        <w:tc>
          <w:tcPr>
            <w:tcW w:w="6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Average Volume</w:t>
            </w:r>
          </w:p>
        </w:tc>
        <w:tc>
          <w:tcPr>
            <w:tcW w:w="1580" w:type="dxa"/>
            <w:vAlign w:val="bottom"/>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Average Yield / Rate</w:t>
            </w:r>
          </w:p>
        </w:tc>
        <w:tc>
          <w:tcPr>
            <w:tcW w:w="220" w:type="dxa"/>
            <w:vAlign w:val="bottom"/>
          </w:tcPr>
          <w:p>
            <w:pPr>
              <w:spacing w:after="0"/>
              <w:rPr>
                <w:sz w:val="18"/>
                <w:szCs w:val="18"/>
                <w:color w:val="auto"/>
              </w:rPr>
            </w:pPr>
          </w:p>
        </w:tc>
        <w:tc>
          <w:tcPr>
            <w:tcW w:w="1260" w:type="dxa"/>
            <w:vAlign w:val="bottom"/>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Net Change</w:t>
            </w:r>
          </w:p>
        </w:tc>
      </w:tr>
      <w:tr>
        <w:trPr>
          <w:trHeight w:val="198"/>
        </w:trPr>
        <w:tc>
          <w:tcPr>
            <w:tcW w:w="66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Income from the interest-earning assets:</w:t>
            </w:r>
          </w:p>
        </w:tc>
        <w:tc>
          <w:tcPr>
            <w:tcW w:w="120" w:type="dxa"/>
            <w:vAlign w:val="bottom"/>
            <w:tcBorders>
              <w:top w:val="single" w:sz="8" w:color="auto"/>
            </w:tcBorders>
            <w:shd w:val="clear" w:color="auto" w:fill="CCEEFF"/>
          </w:tcPr>
          <w:p>
            <w:pPr>
              <w:spacing w:after="0"/>
              <w:rPr>
                <w:sz w:val="17"/>
                <w:szCs w:val="17"/>
                <w:color w:val="auto"/>
              </w:rPr>
            </w:pPr>
          </w:p>
        </w:tc>
        <w:tc>
          <w:tcPr>
            <w:tcW w:w="13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260" w:type="dxa"/>
            <w:vAlign w:val="bottom"/>
            <w:tcBorders>
              <w:top w:val="single" w:sz="8" w:color="auto"/>
            </w:tcBorders>
            <w:shd w:val="clear" w:color="auto" w:fill="CCEEFF"/>
          </w:tcPr>
          <w:p>
            <w:pPr>
              <w:spacing w:after="0"/>
              <w:rPr>
                <w:sz w:val="17"/>
                <w:szCs w:val="17"/>
                <w:color w:val="auto"/>
              </w:rPr>
            </w:pPr>
          </w:p>
        </w:tc>
      </w:tr>
      <w:tr>
        <w:trPr>
          <w:trHeight w:val="216"/>
        </w:trPr>
        <w:tc>
          <w:tcPr>
            <w:tcW w:w="6600" w:type="dxa"/>
            <w:vAlign w:val="bottom"/>
          </w:tcPr>
          <w:p>
            <w:pPr>
              <w:ind w:left="240"/>
              <w:spacing w:after="0" w:line="216" w:lineRule="exact"/>
              <w:rPr>
                <w:sz w:val="20"/>
                <w:szCs w:val="20"/>
                <w:color w:val="auto"/>
              </w:rPr>
            </w:pPr>
            <w:r>
              <w:rPr>
                <w:rFonts w:ascii="Times New Roman" w:cs="Times New Roman" w:eastAsia="Times New Roman" w:hAnsi="Times New Roman"/>
                <w:sz w:val="16"/>
                <w:szCs w:val="16"/>
                <w:color w:val="auto"/>
              </w:rPr>
              <w:t xml:space="preserve">Loans </w:t>
            </w:r>
            <w:r>
              <w:rPr>
                <w:rFonts w:ascii="Times New Roman" w:cs="Times New Roman" w:eastAsia="Times New Roman" w:hAnsi="Times New Roman"/>
                <w:sz w:val="21"/>
                <w:szCs w:val="21"/>
                <w:color w:val="auto"/>
                <w:vertAlign w:val="superscript"/>
              </w:rPr>
              <w:t>(1)</w:t>
            </w:r>
            <w:r>
              <w:rPr>
                <w:rFonts w:ascii="Times New Roman" w:cs="Times New Roman" w:eastAsia="Times New Roman" w:hAnsi="Times New Roman"/>
                <w:sz w:val="16"/>
                <w:szCs w:val="16"/>
                <w:color w:val="auto"/>
              </w:rPr>
              <w:t>, gross</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219,348</w:t>
            </w:r>
          </w:p>
        </w:tc>
        <w:tc>
          <w:tcPr>
            <w:tcW w:w="100" w:type="dxa"/>
            <w:vAlign w:val="bottom"/>
          </w:tcPr>
          <w:p>
            <w:pPr>
              <w:spacing w:after="0"/>
              <w:rPr>
                <w:sz w:val="18"/>
                <w:szCs w:val="18"/>
                <w:color w:val="auto"/>
              </w:rPr>
            </w:pPr>
          </w:p>
        </w:tc>
        <w:tc>
          <w:tcPr>
            <w:tcW w:w="5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7,509</w:t>
            </w:r>
          </w:p>
        </w:tc>
        <w:tc>
          <w:tcPr>
            <w:tcW w:w="10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226,857</w:t>
            </w:r>
          </w:p>
        </w:tc>
      </w:tr>
      <w:tr>
        <w:trPr>
          <w:trHeight w:val="216"/>
        </w:trPr>
        <w:tc>
          <w:tcPr>
            <w:tcW w:w="6600" w:type="dxa"/>
            <w:vAlign w:val="bottom"/>
            <w:shd w:val="clear" w:color="auto" w:fill="CCEEFF"/>
          </w:tcPr>
          <w:p>
            <w:pPr>
              <w:ind w:left="240"/>
              <w:spacing w:after="0" w:line="216" w:lineRule="exact"/>
              <w:rPr>
                <w:sz w:val="20"/>
                <w:szCs w:val="20"/>
                <w:color w:val="auto"/>
              </w:rPr>
            </w:pPr>
            <w:r>
              <w:rPr>
                <w:rFonts w:ascii="Times New Roman" w:cs="Times New Roman" w:eastAsia="Times New Roman" w:hAnsi="Times New Roman"/>
                <w:sz w:val="16"/>
                <w:szCs w:val="16"/>
                <w:color w:val="auto"/>
              </w:rPr>
              <w:t xml:space="preserve">Securities </w:t>
            </w:r>
            <w:r>
              <w:rPr>
                <w:rFonts w:ascii="Times New Roman" w:cs="Times New Roman" w:eastAsia="Times New Roman" w:hAnsi="Times New Roman"/>
                <w:sz w:val="21"/>
                <w:szCs w:val="21"/>
                <w:color w:val="auto"/>
                <w:vertAlign w:val="superscript"/>
              </w:rPr>
              <w:t>(1)</w:t>
            </w: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5,192</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7,782</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12,974</w:t>
            </w:r>
          </w:p>
        </w:tc>
      </w:tr>
      <w:tr>
        <w:trPr>
          <w:trHeight w:val="213"/>
        </w:trPr>
        <w:tc>
          <w:tcPr>
            <w:tcW w:w="660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6"/>
                <w:szCs w:val="16"/>
                <w:color w:val="auto"/>
              </w:rPr>
              <w:t>Interest-bearing deposits and fed funds sold</w:t>
            </w:r>
          </w:p>
        </w:tc>
        <w:tc>
          <w:tcPr>
            <w:tcW w:w="1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1,513</w:t>
            </w:r>
          </w:p>
        </w:tc>
        <w:tc>
          <w:tcPr>
            <w:tcW w:w="100" w:type="dxa"/>
            <w:vAlign w:val="bottom"/>
            <w:tcBorders>
              <w:bottom w:val="single" w:sz="8" w:color="CCEEFF"/>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(462)</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1,051</w:t>
            </w:r>
          </w:p>
        </w:tc>
      </w:tr>
      <w:tr>
        <w:trPr>
          <w:trHeight w:val="212"/>
        </w:trPr>
        <w:tc>
          <w:tcPr>
            <w:tcW w:w="66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Total interest income on interest-earning assets</w:t>
            </w:r>
          </w:p>
        </w:tc>
        <w:tc>
          <w:tcPr>
            <w:tcW w:w="12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226,053</w:t>
            </w:r>
          </w:p>
        </w:tc>
        <w:tc>
          <w:tcPr>
            <w:tcW w:w="10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14,829</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240,882</w:t>
            </w:r>
          </w:p>
        </w:tc>
      </w:tr>
      <w:tr>
        <w:trPr>
          <w:trHeight w:val="193"/>
        </w:trPr>
        <w:tc>
          <w:tcPr>
            <w:tcW w:w="6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Expense from the interest-bearing liabilities:</w:t>
            </w:r>
          </w:p>
        </w:tc>
        <w:tc>
          <w:tcPr>
            <w:tcW w:w="1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219"/>
        </w:trPr>
        <w:tc>
          <w:tcPr>
            <w:tcW w:w="66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Interest-bearing demand deposits</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31,272</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14,014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45,286</w:t>
            </w:r>
          </w:p>
        </w:tc>
      </w:tr>
      <w:tr>
        <w:trPr>
          <w:trHeight w:val="213"/>
        </w:trPr>
        <w:tc>
          <w:tcPr>
            <w:tcW w:w="66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Savings deposits</w:t>
            </w:r>
          </w:p>
        </w:tc>
        <w:tc>
          <w:tcPr>
            <w:tcW w:w="1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7,834</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(1,066)</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6,768</w:t>
            </w:r>
          </w:p>
        </w:tc>
      </w:tr>
      <w:tr>
        <w:trPr>
          <w:trHeight w:val="219"/>
        </w:trPr>
        <w:tc>
          <w:tcPr>
            <w:tcW w:w="66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Time deposits</w:t>
            </w:r>
          </w:p>
        </w:tc>
        <w:tc>
          <w:tcPr>
            <w:tcW w:w="1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25,504</w:t>
            </w:r>
          </w:p>
        </w:tc>
        <w:tc>
          <w:tcPr>
            <w:tcW w:w="10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5,408</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30,912</w:t>
            </w:r>
          </w:p>
        </w:tc>
      </w:tr>
      <w:tr>
        <w:trPr>
          <w:trHeight w:val="207"/>
        </w:trPr>
        <w:tc>
          <w:tcPr>
            <w:tcW w:w="660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6"/>
                <w:szCs w:val="16"/>
                <w:color w:val="auto"/>
              </w:rPr>
              <w:t>Total interest expense on interest-bearing deposits</w:t>
            </w:r>
          </w:p>
        </w:tc>
        <w:tc>
          <w:tcPr>
            <w:tcW w:w="12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64,610</w:t>
            </w:r>
          </w:p>
        </w:tc>
        <w:tc>
          <w:tcPr>
            <w:tcW w:w="100" w:type="dxa"/>
            <w:vAlign w:val="bottom"/>
            <w:tcBorders>
              <w:bottom w:val="single" w:sz="8" w:color="CCEEFF"/>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18,356</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82,966</w:t>
            </w:r>
          </w:p>
        </w:tc>
      </w:tr>
      <w:tr>
        <w:trPr>
          <w:trHeight w:val="212"/>
        </w:trPr>
        <w:tc>
          <w:tcPr>
            <w:tcW w:w="66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Borrowings</w:t>
            </w:r>
          </w:p>
        </w:tc>
        <w:tc>
          <w:tcPr>
            <w:tcW w:w="12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10,941</w:t>
            </w:r>
          </w:p>
        </w:tc>
        <w:tc>
          <w:tcPr>
            <w:tcW w:w="10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(919)</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10,022</w:t>
            </w:r>
          </w:p>
        </w:tc>
      </w:tr>
      <w:tr>
        <w:trPr>
          <w:trHeight w:val="207"/>
        </w:trPr>
        <w:tc>
          <w:tcPr>
            <w:tcW w:w="660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6"/>
                <w:szCs w:val="16"/>
                <w:color w:val="auto"/>
              </w:rPr>
              <w:t>Total interest expense on interest-bearing liabilities</w:t>
            </w:r>
          </w:p>
        </w:tc>
        <w:tc>
          <w:tcPr>
            <w:tcW w:w="12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75,551</w:t>
            </w:r>
          </w:p>
        </w:tc>
        <w:tc>
          <w:tcPr>
            <w:tcW w:w="100" w:type="dxa"/>
            <w:vAlign w:val="bottom"/>
            <w:tcBorders>
              <w:bottom w:val="single" w:sz="8" w:color="CCEEFF"/>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17,437</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92,988</w:t>
            </w:r>
          </w:p>
        </w:tc>
      </w:tr>
      <w:tr>
        <w:trPr>
          <w:trHeight w:val="209"/>
        </w:trPr>
        <w:tc>
          <w:tcPr>
            <w:tcW w:w="660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b w:val="1"/>
                <w:bCs w:val="1"/>
                <w:color w:val="auto"/>
              </w:rPr>
              <w:t>Taxable-equivalent net interest income</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150,502</w:t>
            </w:r>
          </w:p>
        </w:tc>
        <w:tc>
          <w:tcPr>
            <w:tcW w:w="10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(2,608)</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147,894</w:t>
            </w:r>
          </w:p>
        </w:tc>
      </w:tr>
    </w:tbl>
    <w:p>
      <w:pPr>
        <w:spacing w:after="0" w:line="180" w:lineRule="exact"/>
        <w:rPr>
          <w:sz w:val="20"/>
          <w:szCs w:val="20"/>
          <w:color w:val="auto"/>
        </w:rPr>
      </w:pPr>
    </w:p>
    <w:p>
      <w:pPr>
        <w:ind w:left="640" w:hanging="308"/>
        <w:spacing w:after="0"/>
        <w:tabs>
          <w:tab w:leader="none" w:pos="64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Yields and interest income on tax-exempt securities have been computed on a taxable-equivalent basis.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Income</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Total interest income was $96.1 million for the three months ended June 30, 2024, compared to $37.1 million for the three months ended June 30, 2023, an increase of 158.9%. The increase in interest income was due to the effect of the Merger and the acquisition of additional interest-earning assets. Interest income on loans increased by $56.4 million and interest income on securities increased $2.7 million, for the three months ended June 30, 2024, compared to the three months ended June 30, 2023.</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Total interest expense was $36.3 million for the three months ended June 30, 2024, compared to $13.3 million for the three months ended June 30, 2023. The increase in interest expense was a result of the Merger and the assumption of additional interest-bearing liabilities. Interest expense on interest-bearing deposits and borrowed funds increased by $20.3 million and $0.8 million, respectively, for the three months ended June 30, 2024 compared to the three months ended June 30, 2023. Interest on subordinated debt acquired in the Merger was $1.9 million for the three months ended June 30, 2024.</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Provision for (Recapture of) Credit Losses</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The provision for credit losses was $23.9 million for the three months ended June 30, 2024, compared to a provision of $0.2 million for the three months ended June 30, 2023. The increased provision expense was due to a one-time CECL Day 2 provision for non-PCD assets acquired in the Merger and acquired commitments for unfunded commitments for three months ended June 30, 2023, compared to the three months ended June 30, 2023. See </w:t>
      </w:r>
      <w:r>
        <w:rPr>
          <w:rFonts w:ascii="Times New Roman" w:cs="Times New Roman" w:eastAsia="Times New Roman" w:hAnsi="Times New Roman"/>
          <w:sz w:val="18"/>
          <w:szCs w:val="18"/>
          <w:u w:val="single" w:color="auto"/>
          <w:color w:val="0000FF"/>
        </w:rPr>
        <w:t>Note 4 -</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Allowance for Credit Losses</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in Notes to Consolidated Financial Statements for further information.</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Non-interest Income</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the various components of our non-interest income for the periods indicated (in thousands):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980" w:type="dxa"/>
            <w:vAlign w:val="bottom"/>
          </w:tcPr>
          <w:p>
            <w:pPr>
              <w:spacing w:after="0"/>
              <w:rPr>
                <w:sz w:val="18"/>
                <w:szCs w:val="18"/>
                <w:color w:val="auto"/>
              </w:rPr>
            </w:pPr>
          </w:p>
        </w:tc>
        <w:tc>
          <w:tcPr>
            <w:tcW w:w="254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rPr>
              <w:t>Three months ended June 30,</w:t>
            </w:r>
          </w:p>
        </w:tc>
        <w:tc>
          <w:tcPr>
            <w:tcW w:w="4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880" w:type="dxa"/>
            <w:vAlign w:val="bottom"/>
            <w:tcBorders>
              <w:bottom w:val="single" w:sz="8" w:color="auto"/>
            </w:tcBorders>
            <w:gridSpan w:val="3"/>
          </w:tcPr>
          <w:p>
            <w:pPr>
              <w:jc w:val="right"/>
              <w:ind w:right="819"/>
              <w:spacing w:after="0"/>
              <w:rPr>
                <w:sz w:val="20"/>
                <w:szCs w:val="20"/>
                <w:color w:val="auto"/>
              </w:rPr>
            </w:pPr>
            <w:r>
              <w:rPr>
                <w:rFonts w:ascii="Times New Roman" w:cs="Times New Roman" w:eastAsia="Times New Roman" w:hAnsi="Times New Roman"/>
                <w:sz w:val="16"/>
                <w:szCs w:val="16"/>
                <w:b w:val="1"/>
                <w:bCs w:val="1"/>
                <w:color w:val="auto"/>
              </w:rPr>
              <w:t>Increase (Decrease)</w:t>
            </w:r>
          </w:p>
        </w:tc>
      </w:tr>
      <w:tr>
        <w:trPr>
          <w:trHeight w:val="211"/>
        </w:trPr>
        <w:tc>
          <w:tcPr>
            <w:tcW w:w="49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2023</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gridSpan w:val="2"/>
          </w:tcPr>
          <w:p>
            <w:pPr>
              <w:ind w:left="18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600" w:type="dxa"/>
            <w:vAlign w:val="bottom"/>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Percent</w:t>
            </w:r>
          </w:p>
        </w:tc>
      </w:tr>
      <w:tr>
        <w:trPr>
          <w:trHeight w:val="211"/>
        </w:trPr>
        <w:tc>
          <w:tcPr>
            <w:tcW w:w="49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Fiduciary and wealth management</w:t>
            </w:r>
          </w:p>
        </w:tc>
        <w:tc>
          <w:tcPr>
            <w:tcW w:w="960" w:type="dxa"/>
            <w:vAlign w:val="bottom"/>
            <w:tcBorders>
              <w:top w:val="single" w:sz="8" w:color="auto"/>
            </w:tcBorders>
            <w:shd w:val="clear" w:color="auto" w:fill="CCEEFF"/>
          </w:tcPr>
          <w:p>
            <w:pPr>
              <w:jc w:val="right"/>
              <w:ind w:right="779"/>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2,211</w:t>
            </w:r>
          </w:p>
        </w:tc>
        <w:tc>
          <w:tcPr>
            <w:tcW w:w="8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ind w:right="819"/>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1,305</w:t>
            </w: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906</w:t>
            </w:r>
          </w:p>
        </w:tc>
        <w:tc>
          <w:tcPr>
            <w:tcW w:w="80" w:type="dxa"/>
            <w:vAlign w:val="bottom"/>
            <w:tcBorders>
              <w:top w:val="single" w:sz="8" w:color="CCEEFF"/>
            </w:tcBorders>
            <w:shd w:val="clear" w:color="auto" w:fill="CCEEFF"/>
          </w:tcPr>
          <w:p>
            <w:pPr>
              <w:spacing w:after="0"/>
              <w:rPr>
                <w:sz w:val="18"/>
                <w:szCs w:val="18"/>
                <w:color w:val="auto"/>
              </w:rPr>
            </w:pP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69.4 %</w:t>
            </w:r>
          </w:p>
        </w:tc>
      </w:tr>
      <w:tr>
        <w:trPr>
          <w:trHeight w:val="213"/>
        </w:trPr>
        <w:tc>
          <w:tcPr>
            <w:tcW w:w="49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Service charges and fees</w:t>
            </w:r>
          </w:p>
        </w:tc>
        <w:tc>
          <w:tcPr>
            <w:tcW w:w="9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4,088</w:t>
            </w: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1,741</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2,347</w:t>
            </w:r>
          </w:p>
        </w:tc>
        <w:tc>
          <w:tcPr>
            <w:tcW w:w="80" w:type="dxa"/>
            <w:vAlign w:val="bottom"/>
          </w:tcPr>
          <w:p>
            <w:pPr>
              <w:spacing w:after="0"/>
              <w:rPr>
                <w:sz w:val="18"/>
                <w:szCs w:val="18"/>
                <w:color w:val="auto"/>
              </w:rPr>
            </w:pPr>
          </w:p>
        </w:tc>
        <w:tc>
          <w:tcPr>
            <w:tcW w:w="16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134.8</w:t>
            </w:r>
          </w:p>
        </w:tc>
      </w:tr>
      <w:tr>
        <w:trPr>
          <w:trHeight w:val="219"/>
        </w:trPr>
        <w:tc>
          <w:tcPr>
            <w:tcW w:w="4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gains (losses) on securities</w:t>
            </w:r>
          </w:p>
        </w:tc>
        <w:tc>
          <w:tcPr>
            <w:tcW w:w="96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613</w:t>
            </w:r>
          </w:p>
        </w:tc>
        <w:tc>
          <w:tcPr>
            <w:tcW w:w="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724</w:t>
            </w:r>
          </w:p>
        </w:tc>
        <w:tc>
          <w:tcPr>
            <w:tcW w:w="80" w:type="dxa"/>
            <w:vAlign w:val="bottom"/>
            <w:shd w:val="clear" w:color="auto" w:fill="CCEEFF"/>
          </w:tcPr>
          <w:p>
            <w:pPr>
              <w:spacing w:after="0"/>
              <w:rPr>
                <w:sz w:val="19"/>
                <w:szCs w:val="19"/>
                <w:color w:val="auto"/>
              </w:rPr>
            </w:pPr>
          </w:p>
        </w:tc>
        <w:tc>
          <w:tcPr>
            <w:tcW w:w="16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652.3</w:t>
            </w:r>
          </w:p>
        </w:tc>
      </w:tr>
      <w:tr>
        <w:trPr>
          <w:trHeight w:val="213"/>
        </w:trPr>
        <w:tc>
          <w:tcPr>
            <w:tcW w:w="49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Income from company-owned life insurance</w:t>
            </w:r>
          </w:p>
        </w:tc>
        <w:tc>
          <w:tcPr>
            <w:tcW w:w="9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922</w:t>
            </w: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571</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351</w:t>
            </w:r>
          </w:p>
        </w:tc>
        <w:tc>
          <w:tcPr>
            <w:tcW w:w="80" w:type="dxa"/>
            <w:vAlign w:val="bottom"/>
          </w:tcPr>
          <w:p>
            <w:pPr>
              <w:spacing w:after="0"/>
              <w:rPr>
                <w:sz w:val="18"/>
                <w:szCs w:val="18"/>
                <w:color w:val="auto"/>
              </w:rPr>
            </w:pPr>
          </w:p>
        </w:tc>
        <w:tc>
          <w:tcPr>
            <w:tcW w:w="16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61.5</w:t>
            </w:r>
          </w:p>
        </w:tc>
      </w:tr>
      <w:tr>
        <w:trPr>
          <w:trHeight w:val="219"/>
        </w:trPr>
        <w:tc>
          <w:tcPr>
            <w:tcW w:w="4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non-interest income</w:t>
            </w:r>
          </w:p>
        </w:tc>
        <w:tc>
          <w:tcPr>
            <w:tcW w:w="96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1,671</w:t>
            </w:r>
          </w:p>
        </w:tc>
        <w:tc>
          <w:tcPr>
            <w:tcW w:w="80" w:type="dxa"/>
            <w:vAlign w:val="bottom"/>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1,119</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552</w:t>
            </w:r>
          </w:p>
        </w:tc>
        <w:tc>
          <w:tcPr>
            <w:tcW w:w="80" w:type="dxa"/>
            <w:vAlign w:val="bottom"/>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49.3</w:t>
            </w:r>
          </w:p>
        </w:tc>
      </w:tr>
      <w:tr>
        <w:trPr>
          <w:trHeight w:val="207"/>
        </w:trPr>
        <w:tc>
          <w:tcPr>
            <w:tcW w:w="49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960" w:type="dxa"/>
            <w:vAlign w:val="bottom"/>
            <w:tcBorders>
              <w:bottom w:val="single" w:sz="8" w:color="auto"/>
            </w:tcBorders>
          </w:tcPr>
          <w:p>
            <w:pPr>
              <w:jc w:val="right"/>
              <w:ind w:right="779"/>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9,505</w:t>
            </w:r>
          </w:p>
        </w:tc>
        <w:tc>
          <w:tcPr>
            <w:tcW w:w="80" w:type="dxa"/>
            <w:vAlign w:val="bottom"/>
          </w:tcPr>
          <w:p>
            <w:pPr>
              <w:spacing w:after="0"/>
              <w:rPr>
                <w:sz w:val="17"/>
                <w:szCs w:val="17"/>
                <w:color w:val="auto"/>
              </w:rPr>
            </w:pPr>
          </w:p>
        </w:tc>
        <w:tc>
          <w:tcPr>
            <w:tcW w:w="1000" w:type="dxa"/>
            <w:vAlign w:val="bottom"/>
            <w:tcBorders>
              <w:bottom w:val="single" w:sz="8" w:color="auto"/>
            </w:tcBorders>
          </w:tcPr>
          <w:p>
            <w:pPr>
              <w:jc w:val="right"/>
              <w:ind w:right="819"/>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4,625</w:t>
            </w:r>
          </w:p>
        </w:tc>
        <w:tc>
          <w:tcPr>
            <w:tcW w:w="100" w:type="dxa"/>
            <w:vAlign w:val="bottom"/>
          </w:tcPr>
          <w:p>
            <w:pPr>
              <w:spacing w:after="0"/>
              <w:rPr>
                <w:sz w:val="17"/>
                <w:szCs w:val="17"/>
                <w:color w:val="auto"/>
              </w:rPr>
            </w:pPr>
          </w:p>
        </w:tc>
        <w:tc>
          <w:tcPr>
            <w:tcW w:w="2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4,880</w:t>
            </w:r>
          </w:p>
        </w:tc>
        <w:tc>
          <w:tcPr>
            <w:tcW w:w="80" w:type="dxa"/>
            <w:vAlign w:val="bottom"/>
          </w:tcPr>
          <w:p>
            <w:pPr>
              <w:spacing w:after="0"/>
              <w:rPr>
                <w:sz w:val="17"/>
                <w:szCs w:val="17"/>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105.5 %</w:t>
            </w:r>
          </w:p>
        </w:tc>
      </w:tr>
    </w:tbl>
    <w:p>
      <w:pPr>
        <w:spacing w:after="0" w:line="23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Non-interest income increased 105.5% for the three months ended June 30, 2024, compared to the three months ended June 30, 2023. The increase was primarily driven by the Merger. The largest increase was a $2.3 million increase in service charges and fees for the three months ended June 30, 2024, compared to the three months ended June 30, 2023. A portion of securities acquired in the Merger were sold, resulting in gains of $0.6 million for the three months ended June 30, 2023, compared to losses of $0.1 million during the three months ended June 30, 2023. Loan swap fees included in other non-interest income increased $0.1 million for the three months ended June 30, 2024, compared to the three months ended June 30, 2023. Other categories of non-interest income also increased due to the Merger, for the three months ended June 30, 2024, compared to the three months ended June 30, 2023.</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Non-interest Expense</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the various components of our non-interest expense for the periods indicated (in thousands):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980" w:type="dxa"/>
            <w:vAlign w:val="bottom"/>
          </w:tcPr>
          <w:p>
            <w:pPr>
              <w:spacing w:after="0"/>
              <w:rPr>
                <w:sz w:val="18"/>
                <w:szCs w:val="18"/>
                <w:color w:val="auto"/>
              </w:rPr>
            </w:pPr>
          </w:p>
        </w:tc>
        <w:tc>
          <w:tcPr>
            <w:tcW w:w="3120" w:type="dxa"/>
            <w:vAlign w:val="bottom"/>
            <w:gridSpan w:val="6"/>
          </w:tcPr>
          <w:p>
            <w:pPr>
              <w:ind w:left="500"/>
              <w:spacing w:after="0"/>
              <w:rPr>
                <w:sz w:val="20"/>
                <w:szCs w:val="20"/>
                <w:color w:val="auto"/>
              </w:rPr>
            </w:pPr>
            <w:r>
              <w:rPr>
                <w:rFonts w:ascii="Times New Roman" w:cs="Times New Roman" w:eastAsia="Times New Roman" w:hAnsi="Times New Roman"/>
                <w:sz w:val="16"/>
                <w:szCs w:val="16"/>
                <w:b w:val="1"/>
                <w:bCs w:val="1"/>
                <w:color w:val="auto"/>
              </w:rPr>
              <w:t>Three months ended June 30,</w:t>
            </w:r>
          </w:p>
        </w:tc>
        <w:tc>
          <w:tcPr>
            <w:tcW w:w="260" w:type="dxa"/>
            <w:vAlign w:val="bottom"/>
          </w:tcPr>
          <w:p>
            <w:pPr>
              <w:spacing w:after="0"/>
              <w:rPr>
                <w:sz w:val="18"/>
                <w:szCs w:val="18"/>
                <w:color w:val="auto"/>
              </w:rPr>
            </w:pPr>
          </w:p>
        </w:tc>
        <w:tc>
          <w:tcPr>
            <w:tcW w:w="2880" w:type="dxa"/>
            <w:vAlign w:val="bottom"/>
            <w:gridSpan w:val="3"/>
          </w:tcPr>
          <w:p>
            <w:pPr>
              <w:jc w:val="right"/>
              <w:ind w:right="819"/>
              <w:spacing w:after="0"/>
              <w:rPr>
                <w:sz w:val="20"/>
                <w:szCs w:val="20"/>
                <w:color w:val="auto"/>
              </w:rPr>
            </w:pPr>
            <w:r>
              <w:rPr>
                <w:rFonts w:ascii="Times New Roman" w:cs="Times New Roman" w:eastAsia="Times New Roman" w:hAnsi="Times New Roman"/>
                <w:sz w:val="16"/>
                <w:szCs w:val="16"/>
                <w:b w:val="1"/>
                <w:bCs w:val="1"/>
                <w:color w:val="auto"/>
              </w:rPr>
              <w:t>Increase (Decrease)</w:t>
            </w:r>
          </w:p>
        </w:tc>
      </w:tr>
      <w:tr>
        <w:trPr>
          <w:trHeight w:val="211"/>
        </w:trPr>
        <w:tc>
          <w:tcPr>
            <w:tcW w:w="4980" w:type="dxa"/>
            <w:vAlign w:val="bottom"/>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54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gridSpan w:val="2"/>
          </w:tcPr>
          <w:p>
            <w:pPr>
              <w:ind w:left="18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600" w:type="dxa"/>
            <w:vAlign w:val="bottom"/>
            <w:tcBorders>
              <w:top w:val="single" w:sz="8" w:color="auto"/>
            </w:tcBorders>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Percent</w:t>
            </w:r>
          </w:p>
        </w:tc>
      </w:tr>
      <w:tr>
        <w:trPr>
          <w:trHeight w:val="211"/>
        </w:trPr>
        <w:tc>
          <w:tcPr>
            <w:tcW w:w="49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Salaries and wages</w:t>
            </w:r>
          </w:p>
        </w:tc>
        <w:tc>
          <w:tcPr>
            <w:tcW w:w="920" w:type="dxa"/>
            <w:vAlign w:val="bottom"/>
            <w:tcBorders>
              <w:top w:val="single" w:sz="8" w:color="auto"/>
            </w:tcBorders>
            <w:shd w:val="clear" w:color="auto" w:fill="CCEEFF"/>
          </w:tcPr>
          <w:p>
            <w:pPr>
              <w:jc w:val="right"/>
              <w:ind w:right="739"/>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20,895</w:t>
            </w: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9,922</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10,973</w:t>
            </w:r>
          </w:p>
        </w:tc>
        <w:tc>
          <w:tcPr>
            <w:tcW w:w="80" w:type="dxa"/>
            <w:vAlign w:val="bottom"/>
            <w:tcBorders>
              <w:top w:val="single" w:sz="8" w:color="CCEEFF"/>
            </w:tcBorders>
            <w:shd w:val="clear" w:color="auto" w:fill="CCEEFF"/>
          </w:tcPr>
          <w:p>
            <w:pPr>
              <w:spacing w:after="0"/>
              <w:rPr>
                <w:sz w:val="18"/>
                <w:szCs w:val="18"/>
                <w:color w:val="auto"/>
              </w:rPr>
            </w:pP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110.6 %</w:t>
            </w:r>
          </w:p>
        </w:tc>
      </w:tr>
      <w:tr>
        <w:trPr>
          <w:trHeight w:val="213"/>
        </w:trPr>
        <w:tc>
          <w:tcPr>
            <w:tcW w:w="49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Pensions and other employee benefits</w:t>
            </w:r>
          </w:p>
        </w:tc>
        <w:tc>
          <w:tcPr>
            <w:tcW w:w="9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5,303</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2,406</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2,897</w:t>
            </w:r>
          </w:p>
        </w:tc>
        <w:tc>
          <w:tcPr>
            <w:tcW w:w="80" w:type="dxa"/>
            <w:vAlign w:val="bottom"/>
          </w:tcPr>
          <w:p>
            <w:pPr>
              <w:spacing w:after="0"/>
              <w:rPr>
                <w:sz w:val="18"/>
                <w:szCs w:val="18"/>
                <w:color w:val="auto"/>
              </w:rPr>
            </w:pPr>
          </w:p>
        </w:tc>
        <w:tc>
          <w:tcPr>
            <w:tcW w:w="16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120.4</w:t>
            </w:r>
          </w:p>
        </w:tc>
      </w:tr>
      <w:tr>
        <w:trPr>
          <w:trHeight w:val="219"/>
        </w:trPr>
        <w:tc>
          <w:tcPr>
            <w:tcW w:w="4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Occupancy</w:t>
            </w:r>
          </w:p>
        </w:tc>
        <w:tc>
          <w:tcPr>
            <w:tcW w:w="92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2,997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1,545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1,452</w:t>
            </w:r>
          </w:p>
        </w:tc>
        <w:tc>
          <w:tcPr>
            <w:tcW w:w="80" w:type="dxa"/>
            <w:vAlign w:val="bottom"/>
            <w:shd w:val="clear" w:color="auto" w:fill="CCEEFF"/>
          </w:tcPr>
          <w:p>
            <w:pPr>
              <w:spacing w:after="0"/>
              <w:rPr>
                <w:sz w:val="19"/>
                <w:szCs w:val="19"/>
                <w:color w:val="auto"/>
              </w:rPr>
            </w:pPr>
          </w:p>
        </w:tc>
        <w:tc>
          <w:tcPr>
            <w:tcW w:w="16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94.0</w:t>
            </w:r>
          </w:p>
        </w:tc>
      </w:tr>
      <w:tr>
        <w:trPr>
          <w:trHeight w:val="213"/>
        </w:trPr>
        <w:tc>
          <w:tcPr>
            <w:tcW w:w="49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Equipment rentals, depreciation and maintenance</w:t>
            </w:r>
          </w:p>
        </w:tc>
        <w:tc>
          <w:tcPr>
            <w:tcW w:w="9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12,663</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1,457</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11,206</w:t>
            </w:r>
          </w:p>
        </w:tc>
        <w:tc>
          <w:tcPr>
            <w:tcW w:w="80" w:type="dxa"/>
            <w:vAlign w:val="bottom"/>
          </w:tcPr>
          <w:p>
            <w:pPr>
              <w:spacing w:after="0"/>
              <w:rPr>
                <w:sz w:val="18"/>
                <w:szCs w:val="18"/>
                <w:color w:val="auto"/>
              </w:rPr>
            </w:pPr>
          </w:p>
        </w:tc>
        <w:tc>
          <w:tcPr>
            <w:tcW w:w="16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769.1</w:t>
            </w:r>
          </w:p>
        </w:tc>
      </w:tr>
      <w:tr>
        <w:trPr>
          <w:trHeight w:val="219"/>
        </w:trPr>
        <w:tc>
          <w:tcPr>
            <w:tcW w:w="4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92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22,574</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6,018</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16,556</w:t>
            </w:r>
          </w:p>
        </w:tc>
        <w:tc>
          <w:tcPr>
            <w:tcW w:w="80" w:type="dxa"/>
            <w:vAlign w:val="bottom"/>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275.1</w:t>
            </w:r>
          </w:p>
        </w:tc>
      </w:tr>
      <w:tr>
        <w:trPr>
          <w:trHeight w:val="207"/>
        </w:trPr>
        <w:tc>
          <w:tcPr>
            <w:tcW w:w="49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920" w:type="dxa"/>
            <w:vAlign w:val="bottom"/>
            <w:tcBorders>
              <w:bottom w:val="single" w:sz="8" w:color="auto"/>
            </w:tcBorders>
          </w:tcPr>
          <w:p>
            <w:pPr>
              <w:jc w:val="right"/>
              <w:ind w:right="739"/>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64,432</w:t>
            </w:r>
          </w:p>
        </w:tc>
        <w:tc>
          <w:tcPr>
            <w:tcW w:w="100" w:type="dxa"/>
            <w:vAlign w:val="bottom"/>
          </w:tcPr>
          <w:p>
            <w:pPr>
              <w:spacing w:after="0"/>
              <w:rPr>
                <w:sz w:val="17"/>
                <w:szCs w:val="17"/>
                <w:color w:val="auto"/>
              </w:rPr>
            </w:pPr>
          </w:p>
        </w:tc>
        <w:tc>
          <w:tcPr>
            <w:tcW w:w="3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21,348</w:t>
            </w:r>
          </w:p>
        </w:tc>
        <w:tc>
          <w:tcPr>
            <w:tcW w:w="100" w:type="dxa"/>
            <w:vAlign w:val="bottom"/>
          </w:tcPr>
          <w:p>
            <w:pPr>
              <w:spacing w:after="0"/>
              <w:rPr>
                <w:sz w:val="17"/>
                <w:szCs w:val="17"/>
                <w:color w:val="auto"/>
              </w:rPr>
            </w:pP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43,084</w:t>
            </w:r>
          </w:p>
        </w:tc>
        <w:tc>
          <w:tcPr>
            <w:tcW w:w="80" w:type="dxa"/>
            <w:vAlign w:val="bottom"/>
          </w:tcPr>
          <w:p>
            <w:pPr>
              <w:spacing w:after="0"/>
              <w:rPr>
                <w:sz w:val="17"/>
                <w:szCs w:val="17"/>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201.8 %</w:t>
            </w:r>
          </w:p>
        </w:tc>
      </w:tr>
    </w:tbl>
    <w:p>
      <w:pPr>
        <w:spacing w:after="0" w:line="22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Non-interest expense increased $43.1 million or 201.8% for the three months ended June 30, 2024, compared to June 30, 2023. The increase was primarily due to effect of the Merger and also included higher legal fees, consulting fees, audit fees, investment banking fees, software contract terminations, change-in-control salary and benefit payments, funding a charitable donation (as part of the Merger Agreement), and other Merger-related expenses. For the three months ended June 30, 2024, the Company incurred $23.8 million of non-interest expense related to the Merger with Summit that are included in other non-interest expense for the three months ended June 30, 2024. See </w:t>
      </w:r>
      <w:r>
        <w:rPr>
          <w:rFonts w:ascii="Times New Roman" w:cs="Times New Roman" w:eastAsia="Times New Roman" w:hAnsi="Times New Roman"/>
          <w:sz w:val="18"/>
          <w:szCs w:val="18"/>
          <w:u w:val="single" w:color="auto"/>
          <w:color w:val="0000FF"/>
        </w:rPr>
        <w:t>Note 16 — Business Combination</w:t>
      </w:r>
      <w:r>
        <w:rPr>
          <w:rFonts w:ascii="Times New Roman" w:cs="Times New Roman" w:eastAsia="Times New Roman" w:hAnsi="Times New Roman"/>
          <w:sz w:val="18"/>
          <w:szCs w:val="18"/>
          <w:color w:val="auto"/>
        </w:rPr>
        <w:t xml:space="preserve"> in Notes to Consolidated Financial Statements for further information on Merger-related expenses and </w:t>
      </w:r>
      <w:r>
        <w:rPr>
          <w:rFonts w:ascii="Times New Roman" w:cs="Times New Roman" w:eastAsia="Times New Roman" w:hAnsi="Times New Roman"/>
          <w:sz w:val="18"/>
          <w:szCs w:val="18"/>
          <w:u w:val="single" w:color="auto"/>
          <w:color w:val="0000FF"/>
        </w:rPr>
        <w:t>Note 13 — Other Operating Expenses</w:t>
      </w:r>
      <w:r>
        <w:rPr>
          <w:rFonts w:ascii="Times New Roman" w:cs="Times New Roman" w:eastAsia="Times New Roman" w:hAnsi="Times New Roman"/>
          <w:sz w:val="18"/>
          <w:szCs w:val="18"/>
          <w:color w:val="auto"/>
        </w:rPr>
        <w:t xml:space="preserve"> in Notes to Consolidated Financial Statements for further information on “Other” non-interest expense.</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 Expense (Benefit)</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Income tax benefit was $2.2 million for the three months ended June 30, 2024, a decrease of $3.0 million from the tax provision for the three months ended June 30, 2023. The decrease was due to the decrease in net income and resulting net loss for the three months ended June 30, 2024, when compared to the three months ended June 30, 2023. For the three months ended June 30, 2024, the effective tax benefit was 11.3% while the effective tax rate was 12.0% for June 30, 2023.</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Analysis of Financial Condition for the Period Ended June 30, 2024, and December 31, 2023</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Due mostly to the Merger, assets increased by $4.19 billion to $7.81 billion as of June 30, 2024, compared to $3.62 billion as of December 31, 2023. Loans, net of ACL, increased by $3.49 billion from $2.06 billion as of December 31, 2023, to $5.55 billion as of June 30, 2024. Deposits increased by $3.64 billion and amounted to $6.64 billion at June 30, 2024, compared to $3.00 billion at December 31, 2023. Borrowed funds increased by $13.2 million to $285.2 million as of June 30, 2024, compared to $272.0 million at December 31, 2023. Subordinated debt and subordinated debt owed to unconsolidated subsidiary trusts, which were assumed in the Merger, totaled $109.1 million at June 30, 2024, compared to zero at December 31, 2023.</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Investment Securities</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investment policy is established and reviewed annually by the Board. We are permitted under federal law to invest in various types of liquid assets, including United States Government obligations, securities of various federal agencies and of state and municipal governments, mortgage-backed securities, time deposits of federally insured institutions, certain bankers’ acceptances, and federal funds. Our securities are all classified as AFS.</w:t>
      </w:r>
    </w:p>
    <w:p>
      <w:pPr>
        <w:spacing w:after="0" w:line="12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investments provide a source of liquidity because we can pledge them to support borrowed funds or can liquidate them to generate cash proceeds. Our investment portfolio is also a resource in managing interest rate risk because the maturity and interest rate characteristics of this asset class can be modified to match changes in the loan and deposit portfolios. The majority of our AFS investment portfolio is comprised of obligations of states and municipalities and residential mortgage-backed securities. During the six months ended June 30, 2024, the unrealized losses on our holdings remained mostly unchanged from December 31, 2023.</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determined that the declines in market value were due to increases in interest rates and market movements and not due to credit factors.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Therefore, the Company has concluded that the unrealized losses for the AFS securities do not require an ACL at June 30, 2024, and at December 31, 2023.</w:t>
      </w:r>
    </w:p>
    <w:p>
      <w:pPr>
        <w:spacing w:after="0" w:line="153"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Company has sufficient access to liquidity such that management does not believe it would be necessary to sell any of its investment securities at a loss to offset any unexpected deposit outflows. Management believes the structure of the Bank’s investment portfolio is appropriately aligned with the rest of the balance sheet to protect against significant and unexpected charges against earnings and capital.</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reflect the amortized cost and fair market values for the total portfolio for each category of investment for June 30, 2024,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2023 (in thousands):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0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040" w:type="dxa"/>
            <w:vAlign w:val="bottom"/>
            <w:tcBorders>
              <w:bottom w:val="single" w:sz="8" w:color="auto"/>
            </w:tcBorders>
            <w:gridSpan w:val="5"/>
          </w:tcPr>
          <w:p>
            <w:pPr>
              <w:ind w:left="940"/>
              <w:spacing w:after="0"/>
              <w:rPr>
                <w:sz w:val="20"/>
                <w:szCs w:val="20"/>
                <w:color w:val="auto"/>
              </w:rPr>
            </w:pPr>
            <w:r>
              <w:rPr>
                <w:rFonts w:ascii="Times New Roman" w:cs="Times New Roman" w:eastAsia="Times New Roman" w:hAnsi="Times New Roman"/>
                <w:sz w:val="16"/>
                <w:szCs w:val="16"/>
                <w:b w:val="1"/>
                <w:bCs w:val="1"/>
                <w:color w:val="auto"/>
              </w:rPr>
              <w:t>June 30, 2024</w:t>
            </w:r>
          </w:p>
        </w:tc>
        <w:tc>
          <w:tcPr>
            <w:tcW w:w="2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50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20" w:type="dxa"/>
            <w:vAlign w:val="bottom"/>
            <w:gridSpan w:val="2"/>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Amortized Cost</w:t>
            </w:r>
          </w:p>
        </w:tc>
        <w:tc>
          <w:tcPr>
            <w:tcW w:w="120" w:type="dxa"/>
            <w:vAlign w:val="bottom"/>
          </w:tcPr>
          <w:p>
            <w:pPr>
              <w:spacing w:after="0"/>
              <w:rPr>
                <w:sz w:val="13"/>
                <w:szCs w:val="13"/>
                <w:color w:val="auto"/>
              </w:rPr>
            </w:pPr>
          </w:p>
        </w:tc>
        <w:tc>
          <w:tcPr>
            <w:tcW w:w="1460" w:type="dxa"/>
            <w:vAlign w:val="bottom"/>
            <w:gridSpan w:val="2"/>
          </w:tcPr>
          <w:p>
            <w:pPr>
              <w:jc w:val="center"/>
              <w:ind w:right="220"/>
              <w:spacing w:after="0" w:line="158" w:lineRule="exact"/>
              <w:rPr>
                <w:sz w:val="20"/>
                <w:szCs w:val="20"/>
                <w:color w:val="auto"/>
              </w:rPr>
            </w:pPr>
            <w:r>
              <w:rPr>
                <w:rFonts w:ascii="Times New Roman" w:cs="Times New Roman" w:eastAsia="Times New Roman" w:hAnsi="Times New Roman"/>
                <w:sz w:val="16"/>
                <w:szCs w:val="16"/>
                <w:b w:val="1"/>
                <w:bCs w:val="1"/>
                <w:color w:val="auto"/>
              </w:rPr>
              <w:t>Gross Unrealized</w:t>
            </w:r>
          </w:p>
        </w:tc>
        <w:tc>
          <w:tcPr>
            <w:tcW w:w="120" w:type="dxa"/>
            <w:vAlign w:val="bottom"/>
          </w:tcPr>
          <w:p>
            <w:pPr>
              <w:spacing w:after="0"/>
              <w:rPr>
                <w:sz w:val="13"/>
                <w:szCs w:val="13"/>
                <w:color w:val="auto"/>
              </w:rPr>
            </w:pPr>
          </w:p>
        </w:tc>
        <w:tc>
          <w:tcPr>
            <w:tcW w:w="1460" w:type="dxa"/>
            <w:vAlign w:val="bottom"/>
            <w:gridSpan w:val="2"/>
          </w:tcPr>
          <w:p>
            <w:pPr>
              <w:jc w:val="center"/>
              <w:ind w:right="220"/>
              <w:spacing w:after="0" w:line="158" w:lineRule="exact"/>
              <w:rPr>
                <w:sz w:val="20"/>
                <w:szCs w:val="20"/>
                <w:color w:val="auto"/>
              </w:rPr>
            </w:pPr>
            <w:r>
              <w:rPr>
                <w:rFonts w:ascii="Times New Roman" w:cs="Times New Roman" w:eastAsia="Times New Roman" w:hAnsi="Times New Roman"/>
                <w:sz w:val="16"/>
                <w:szCs w:val="16"/>
                <w:b w:val="1"/>
                <w:bCs w:val="1"/>
                <w:color w:val="auto"/>
              </w:rPr>
              <w:t>Gross Unrealized</w:t>
            </w:r>
          </w:p>
        </w:tc>
        <w:tc>
          <w:tcPr>
            <w:tcW w:w="240" w:type="dxa"/>
            <w:vAlign w:val="bottom"/>
          </w:tcPr>
          <w:p>
            <w:pPr>
              <w:spacing w:after="0"/>
              <w:rPr>
                <w:sz w:val="13"/>
                <w:szCs w:val="13"/>
                <w:color w:val="auto"/>
              </w:rPr>
            </w:pPr>
          </w:p>
        </w:tc>
        <w:tc>
          <w:tcPr>
            <w:tcW w:w="1240" w:type="dxa"/>
            <w:vAlign w:val="bottom"/>
            <w:vMerge w:val="restart"/>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0" w:type="dxa"/>
            <w:vAlign w:val="bottom"/>
          </w:tcPr>
          <w:p>
            <w:pPr>
              <w:spacing w:after="0"/>
              <w:rPr>
                <w:sz w:val="1"/>
                <w:szCs w:val="1"/>
                <w:color w:val="auto"/>
              </w:rPr>
            </w:pPr>
          </w:p>
        </w:tc>
      </w:tr>
      <w:tr>
        <w:trPr>
          <w:trHeight w:val="214"/>
        </w:trPr>
        <w:tc>
          <w:tcPr>
            <w:tcW w:w="5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9"/>
              </w:rPr>
              <w:t>Gains</w:t>
            </w:r>
          </w:p>
        </w:tc>
        <w:tc>
          <w:tcPr>
            <w:tcW w:w="120" w:type="dxa"/>
            <w:vAlign w:val="bottom"/>
          </w:tcPr>
          <w:p>
            <w:pPr>
              <w:spacing w:after="0"/>
              <w:rPr>
                <w:sz w:val="18"/>
                <w:szCs w:val="18"/>
                <w:color w:val="auto"/>
              </w:rPr>
            </w:pPr>
          </w:p>
        </w:tc>
        <w:tc>
          <w:tcPr>
            <w:tcW w:w="146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8"/>
              </w:rPr>
              <w:t>Losses</w:t>
            </w:r>
          </w:p>
        </w:tc>
        <w:tc>
          <w:tcPr>
            <w:tcW w:w="240" w:type="dxa"/>
            <w:vAlign w:val="bottom"/>
          </w:tcPr>
          <w:p>
            <w:pPr>
              <w:spacing w:after="0"/>
              <w:rPr>
                <w:sz w:val="18"/>
                <w:szCs w:val="18"/>
                <w:color w:val="auto"/>
              </w:rPr>
            </w:pPr>
          </w:p>
        </w:tc>
        <w:tc>
          <w:tcPr>
            <w:tcW w:w="12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50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Securities Available-for-Sale</w:t>
            </w:r>
          </w:p>
        </w:tc>
        <w:tc>
          <w:tcPr>
            <w:tcW w:w="160" w:type="dxa"/>
            <w:vAlign w:val="bottom"/>
            <w:tcBorders>
              <w:top w:val="single" w:sz="8" w:color="auto"/>
            </w:tcBorders>
            <w:shd w:val="clear" w:color="auto" w:fill="CCEEFF"/>
          </w:tcPr>
          <w:p>
            <w:pPr>
              <w:spacing w:after="0"/>
              <w:rPr>
                <w:sz w:val="17"/>
                <w:szCs w:val="17"/>
                <w:color w:val="auto"/>
              </w:rPr>
            </w:pPr>
          </w:p>
        </w:tc>
        <w:tc>
          <w:tcPr>
            <w:tcW w:w="13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3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3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5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U.S. Treasuries and government agencies</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166,380</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18,950</w:t>
            </w:r>
          </w:p>
        </w:tc>
        <w:tc>
          <w:tcPr>
            <w:tcW w:w="10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147,430</w:t>
            </w:r>
          </w:p>
        </w:tc>
        <w:tc>
          <w:tcPr>
            <w:tcW w:w="0" w:type="dxa"/>
            <w:vAlign w:val="bottom"/>
          </w:tcPr>
          <w:p>
            <w:pPr>
              <w:spacing w:after="0"/>
              <w:rPr>
                <w:sz w:val="1"/>
                <w:szCs w:val="1"/>
                <w:color w:val="auto"/>
              </w:rPr>
            </w:pPr>
          </w:p>
        </w:tc>
      </w:tr>
      <w:tr>
        <w:trPr>
          <w:trHeight w:val="219"/>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Obligations of states and municipalities</w:t>
            </w: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714,449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77,932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637,754</w:t>
            </w:r>
          </w:p>
        </w:tc>
        <w:tc>
          <w:tcPr>
            <w:tcW w:w="0" w:type="dxa"/>
            <w:vAlign w:val="bottom"/>
          </w:tcPr>
          <w:p>
            <w:pPr>
              <w:spacing w:after="0"/>
              <w:rPr>
                <w:sz w:val="1"/>
                <w:szCs w:val="1"/>
                <w:color w:val="auto"/>
              </w:rPr>
            </w:pPr>
          </w:p>
        </w:tc>
      </w:tr>
      <w:tr>
        <w:trPr>
          <w:trHeight w:val="213"/>
        </w:trPr>
        <w:tc>
          <w:tcPr>
            <w:tcW w:w="5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Residential mortgage backed - agency</w:t>
            </w:r>
          </w:p>
        </w:tc>
        <w:tc>
          <w:tcPr>
            <w:tcW w:w="1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58,104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4,166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54,168</w:t>
            </w:r>
          </w:p>
        </w:tc>
        <w:tc>
          <w:tcPr>
            <w:tcW w:w="0" w:type="dxa"/>
            <w:vAlign w:val="bottom"/>
          </w:tcPr>
          <w:p>
            <w:pPr>
              <w:spacing w:after="0"/>
              <w:rPr>
                <w:sz w:val="1"/>
                <w:szCs w:val="1"/>
                <w:color w:val="auto"/>
              </w:rPr>
            </w:pPr>
          </w:p>
        </w:tc>
      </w:tr>
      <w:tr>
        <w:trPr>
          <w:trHeight w:val="219"/>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Residential mortgage backed - non-agency</w:t>
            </w: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282,667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15,373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267,313</w:t>
            </w:r>
          </w:p>
        </w:tc>
        <w:tc>
          <w:tcPr>
            <w:tcW w:w="0" w:type="dxa"/>
            <w:vAlign w:val="bottom"/>
          </w:tcPr>
          <w:p>
            <w:pPr>
              <w:spacing w:after="0"/>
              <w:rPr>
                <w:sz w:val="1"/>
                <w:szCs w:val="1"/>
                <w:color w:val="auto"/>
              </w:rPr>
            </w:pPr>
          </w:p>
        </w:tc>
      </w:tr>
      <w:tr>
        <w:trPr>
          <w:trHeight w:val="213"/>
        </w:trPr>
        <w:tc>
          <w:tcPr>
            <w:tcW w:w="5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Commercial mortgage backed - agency</w:t>
            </w:r>
          </w:p>
        </w:tc>
        <w:tc>
          <w:tcPr>
            <w:tcW w:w="1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35,968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954</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35,042</w:t>
            </w:r>
          </w:p>
        </w:tc>
        <w:tc>
          <w:tcPr>
            <w:tcW w:w="0" w:type="dxa"/>
            <w:vAlign w:val="bottom"/>
          </w:tcPr>
          <w:p>
            <w:pPr>
              <w:spacing w:after="0"/>
              <w:rPr>
                <w:sz w:val="1"/>
                <w:szCs w:val="1"/>
                <w:color w:val="auto"/>
              </w:rPr>
            </w:pPr>
          </w:p>
        </w:tc>
      </w:tr>
      <w:tr>
        <w:trPr>
          <w:trHeight w:val="219"/>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Commercial mortgage backed - non-agency</w:t>
            </w: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165,675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6,312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159,363</w:t>
            </w:r>
          </w:p>
        </w:tc>
        <w:tc>
          <w:tcPr>
            <w:tcW w:w="0" w:type="dxa"/>
            <w:vAlign w:val="bottom"/>
          </w:tcPr>
          <w:p>
            <w:pPr>
              <w:spacing w:after="0"/>
              <w:rPr>
                <w:sz w:val="1"/>
                <w:szCs w:val="1"/>
                <w:color w:val="auto"/>
              </w:rPr>
            </w:pPr>
          </w:p>
        </w:tc>
      </w:tr>
      <w:tr>
        <w:trPr>
          <w:trHeight w:val="213"/>
        </w:trPr>
        <w:tc>
          <w:tcPr>
            <w:tcW w:w="5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Asset backed</w:t>
            </w:r>
          </w:p>
        </w:tc>
        <w:tc>
          <w:tcPr>
            <w:tcW w:w="1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77,568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795</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76,952</w:t>
            </w:r>
          </w:p>
        </w:tc>
        <w:tc>
          <w:tcPr>
            <w:tcW w:w="0" w:type="dxa"/>
            <w:vAlign w:val="bottom"/>
          </w:tcPr>
          <w:p>
            <w:pPr>
              <w:spacing w:after="0"/>
              <w:rPr>
                <w:sz w:val="1"/>
                <w:szCs w:val="1"/>
                <w:color w:val="auto"/>
              </w:rPr>
            </w:pPr>
          </w:p>
        </w:tc>
      </w:tr>
      <w:tr>
        <w:trPr>
          <w:trHeight w:val="219"/>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1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38,300</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1,533</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36,848</w:t>
            </w:r>
          </w:p>
        </w:tc>
        <w:tc>
          <w:tcPr>
            <w:tcW w:w="0" w:type="dxa"/>
            <w:vAlign w:val="bottom"/>
          </w:tcPr>
          <w:p>
            <w:pPr>
              <w:spacing w:after="0"/>
              <w:rPr>
                <w:sz w:val="1"/>
                <w:szCs w:val="1"/>
                <w:color w:val="auto"/>
              </w:rPr>
            </w:pPr>
          </w:p>
        </w:tc>
      </w:tr>
      <w:tr>
        <w:trPr>
          <w:trHeight w:val="207"/>
        </w:trPr>
        <w:tc>
          <w:tcPr>
            <w:tcW w:w="5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1,539,111</w:t>
            </w:r>
          </w:p>
        </w:tc>
        <w:tc>
          <w:tcPr>
            <w:tcW w:w="10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1,774</w:t>
            </w:r>
          </w:p>
        </w:tc>
        <w:tc>
          <w:tcPr>
            <w:tcW w:w="10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126,015</w:t>
            </w:r>
          </w:p>
        </w:tc>
        <w:tc>
          <w:tcPr>
            <w:tcW w:w="100" w:type="dxa"/>
            <w:vAlign w:val="bottom"/>
          </w:tcPr>
          <w:p>
            <w:pPr>
              <w:spacing w:after="0"/>
              <w:rPr>
                <w:sz w:val="17"/>
                <w:szCs w:val="17"/>
                <w:color w:val="auto"/>
              </w:rPr>
            </w:pPr>
          </w:p>
        </w:tc>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1,414,870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0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040" w:type="dxa"/>
            <w:vAlign w:val="bottom"/>
            <w:tcBorders>
              <w:bottom w:val="single" w:sz="8" w:color="auto"/>
            </w:tcBorders>
            <w:gridSpan w:val="5"/>
          </w:tcPr>
          <w:p>
            <w:pPr>
              <w:ind w:left="760"/>
              <w:spacing w:after="0"/>
              <w:rPr>
                <w:sz w:val="20"/>
                <w:szCs w:val="20"/>
                <w:color w:val="auto"/>
              </w:rPr>
            </w:pPr>
            <w:r>
              <w:rPr>
                <w:rFonts w:ascii="Times New Roman" w:cs="Times New Roman" w:eastAsia="Times New Roman" w:hAnsi="Times New Roman"/>
                <w:sz w:val="16"/>
                <w:szCs w:val="16"/>
                <w:b w:val="1"/>
                <w:bCs w:val="1"/>
                <w:color w:val="auto"/>
              </w:rPr>
              <w:t>December 31, 2023</w:t>
            </w:r>
          </w:p>
        </w:tc>
        <w:tc>
          <w:tcPr>
            <w:tcW w:w="2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50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20" w:type="dxa"/>
            <w:vAlign w:val="bottom"/>
            <w:gridSpan w:val="2"/>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Amortized Cost</w:t>
            </w:r>
          </w:p>
        </w:tc>
        <w:tc>
          <w:tcPr>
            <w:tcW w:w="120" w:type="dxa"/>
            <w:vAlign w:val="bottom"/>
          </w:tcPr>
          <w:p>
            <w:pPr>
              <w:spacing w:after="0"/>
              <w:rPr>
                <w:sz w:val="13"/>
                <w:szCs w:val="13"/>
                <w:color w:val="auto"/>
              </w:rPr>
            </w:pPr>
          </w:p>
        </w:tc>
        <w:tc>
          <w:tcPr>
            <w:tcW w:w="1460" w:type="dxa"/>
            <w:vAlign w:val="bottom"/>
            <w:gridSpan w:val="2"/>
          </w:tcPr>
          <w:p>
            <w:pPr>
              <w:ind w:left="20"/>
              <w:spacing w:after="0" w:line="158" w:lineRule="exact"/>
              <w:rPr>
                <w:sz w:val="20"/>
                <w:szCs w:val="20"/>
                <w:color w:val="auto"/>
              </w:rPr>
            </w:pPr>
            <w:r>
              <w:rPr>
                <w:rFonts w:ascii="Times New Roman" w:cs="Times New Roman" w:eastAsia="Times New Roman" w:hAnsi="Times New Roman"/>
                <w:sz w:val="16"/>
                <w:szCs w:val="16"/>
                <w:b w:val="1"/>
                <w:bCs w:val="1"/>
                <w:color w:val="auto"/>
              </w:rPr>
              <w:t>Gross Unrealized</w:t>
            </w:r>
          </w:p>
        </w:tc>
        <w:tc>
          <w:tcPr>
            <w:tcW w:w="120" w:type="dxa"/>
            <w:vAlign w:val="bottom"/>
          </w:tcPr>
          <w:p>
            <w:pPr>
              <w:spacing w:after="0"/>
              <w:rPr>
                <w:sz w:val="13"/>
                <w:szCs w:val="13"/>
                <w:color w:val="auto"/>
              </w:rPr>
            </w:pPr>
          </w:p>
        </w:tc>
        <w:tc>
          <w:tcPr>
            <w:tcW w:w="1460" w:type="dxa"/>
            <w:vAlign w:val="bottom"/>
            <w:gridSpan w:val="2"/>
          </w:tcPr>
          <w:p>
            <w:pPr>
              <w:jc w:val="center"/>
              <w:ind w:right="220"/>
              <w:spacing w:after="0" w:line="158" w:lineRule="exact"/>
              <w:rPr>
                <w:sz w:val="20"/>
                <w:szCs w:val="20"/>
                <w:color w:val="auto"/>
              </w:rPr>
            </w:pPr>
            <w:r>
              <w:rPr>
                <w:rFonts w:ascii="Times New Roman" w:cs="Times New Roman" w:eastAsia="Times New Roman" w:hAnsi="Times New Roman"/>
                <w:sz w:val="16"/>
                <w:szCs w:val="16"/>
                <w:b w:val="1"/>
                <w:bCs w:val="1"/>
                <w:color w:val="auto"/>
              </w:rPr>
              <w:t>Gross Unrealized</w:t>
            </w:r>
          </w:p>
        </w:tc>
        <w:tc>
          <w:tcPr>
            <w:tcW w:w="240" w:type="dxa"/>
            <w:vAlign w:val="bottom"/>
          </w:tcPr>
          <w:p>
            <w:pPr>
              <w:spacing w:after="0"/>
              <w:rPr>
                <w:sz w:val="13"/>
                <w:szCs w:val="13"/>
                <w:color w:val="auto"/>
              </w:rPr>
            </w:pPr>
          </w:p>
        </w:tc>
        <w:tc>
          <w:tcPr>
            <w:tcW w:w="1240" w:type="dxa"/>
            <w:vAlign w:val="bottom"/>
            <w:vMerge w:val="restart"/>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0" w:type="dxa"/>
            <w:vAlign w:val="bottom"/>
          </w:tcPr>
          <w:p>
            <w:pPr>
              <w:spacing w:after="0"/>
              <w:rPr>
                <w:sz w:val="1"/>
                <w:szCs w:val="1"/>
                <w:color w:val="auto"/>
              </w:rPr>
            </w:pPr>
          </w:p>
        </w:tc>
      </w:tr>
      <w:tr>
        <w:trPr>
          <w:trHeight w:val="214"/>
        </w:trPr>
        <w:tc>
          <w:tcPr>
            <w:tcW w:w="5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ind w:left="420"/>
              <w:spacing w:after="0"/>
              <w:rPr>
                <w:sz w:val="20"/>
                <w:szCs w:val="20"/>
                <w:color w:val="auto"/>
              </w:rPr>
            </w:pPr>
            <w:r>
              <w:rPr>
                <w:rFonts w:ascii="Times New Roman" w:cs="Times New Roman" w:eastAsia="Times New Roman" w:hAnsi="Times New Roman"/>
                <w:sz w:val="16"/>
                <w:szCs w:val="16"/>
                <w:b w:val="1"/>
                <w:bCs w:val="1"/>
                <w:color w:val="auto"/>
              </w:rPr>
              <w:t>Gains</w:t>
            </w:r>
          </w:p>
        </w:tc>
        <w:tc>
          <w:tcPr>
            <w:tcW w:w="120" w:type="dxa"/>
            <w:vAlign w:val="bottom"/>
          </w:tcPr>
          <w:p>
            <w:pPr>
              <w:spacing w:after="0"/>
              <w:rPr>
                <w:sz w:val="18"/>
                <w:szCs w:val="18"/>
                <w:color w:val="auto"/>
              </w:rPr>
            </w:pPr>
          </w:p>
        </w:tc>
        <w:tc>
          <w:tcPr>
            <w:tcW w:w="146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8"/>
              </w:rPr>
              <w:t>Losses</w:t>
            </w:r>
          </w:p>
        </w:tc>
        <w:tc>
          <w:tcPr>
            <w:tcW w:w="240" w:type="dxa"/>
            <w:vAlign w:val="bottom"/>
          </w:tcPr>
          <w:p>
            <w:pPr>
              <w:spacing w:after="0"/>
              <w:rPr>
                <w:sz w:val="18"/>
                <w:szCs w:val="18"/>
                <w:color w:val="auto"/>
              </w:rPr>
            </w:pPr>
          </w:p>
        </w:tc>
        <w:tc>
          <w:tcPr>
            <w:tcW w:w="12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50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Securities Available-for-Sale</w:t>
            </w:r>
          </w:p>
        </w:tc>
        <w:tc>
          <w:tcPr>
            <w:tcW w:w="160" w:type="dxa"/>
            <w:vAlign w:val="bottom"/>
            <w:tcBorders>
              <w:top w:val="single" w:sz="8" w:color="auto"/>
            </w:tcBorders>
            <w:shd w:val="clear" w:color="auto" w:fill="CCEEFF"/>
          </w:tcPr>
          <w:p>
            <w:pPr>
              <w:spacing w:after="0"/>
              <w:rPr>
                <w:sz w:val="17"/>
                <w:szCs w:val="17"/>
                <w:color w:val="auto"/>
              </w:rPr>
            </w:pPr>
          </w:p>
        </w:tc>
        <w:tc>
          <w:tcPr>
            <w:tcW w:w="13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3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3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5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U.S. Treasuries and government agencies</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197,026</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gridSpan w:val="2"/>
          </w:tcPr>
          <w:p>
            <w:pPr>
              <w:ind w:left="1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17,955</w:t>
            </w:r>
          </w:p>
        </w:tc>
        <w:tc>
          <w:tcPr>
            <w:tcW w:w="10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179,071</w:t>
            </w:r>
          </w:p>
        </w:tc>
        <w:tc>
          <w:tcPr>
            <w:tcW w:w="0" w:type="dxa"/>
            <w:vAlign w:val="bottom"/>
          </w:tcPr>
          <w:p>
            <w:pPr>
              <w:spacing w:after="0"/>
              <w:rPr>
                <w:sz w:val="1"/>
                <w:szCs w:val="1"/>
                <w:color w:val="auto"/>
              </w:rPr>
            </w:pPr>
          </w:p>
        </w:tc>
      </w:tr>
      <w:tr>
        <w:trPr>
          <w:trHeight w:val="219"/>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Obligations of states and municipalities</w:t>
            </w: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535,229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ind w:left="1140"/>
              <w:spacing w:after="0"/>
              <w:rPr>
                <w:sz w:val="20"/>
                <w:szCs w:val="20"/>
                <w:color w:val="auto"/>
              </w:rPr>
            </w:pPr>
            <w:r>
              <w:rPr>
                <w:rFonts w:ascii="Times New Roman" w:cs="Times New Roman" w:eastAsia="Times New Roman" w:hAnsi="Times New Roman"/>
                <w:sz w:val="16"/>
                <w:szCs w:val="16"/>
                <w:color w:val="auto"/>
              </w:rPr>
              <w:t>21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72,047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463,203</w:t>
            </w:r>
          </w:p>
        </w:tc>
        <w:tc>
          <w:tcPr>
            <w:tcW w:w="0" w:type="dxa"/>
            <w:vAlign w:val="bottom"/>
          </w:tcPr>
          <w:p>
            <w:pPr>
              <w:spacing w:after="0"/>
              <w:rPr>
                <w:sz w:val="1"/>
                <w:szCs w:val="1"/>
                <w:color w:val="auto"/>
              </w:rPr>
            </w:pPr>
          </w:p>
        </w:tc>
      </w:tr>
      <w:tr>
        <w:trPr>
          <w:trHeight w:val="213"/>
        </w:trPr>
        <w:tc>
          <w:tcPr>
            <w:tcW w:w="5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Residential mortgage backed - agency</w:t>
            </w:r>
          </w:p>
        </w:tc>
        <w:tc>
          <w:tcPr>
            <w:tcW w:w="1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47,074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ind w:left="1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4,836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42,238</w:t>
            </w:r>
          </w:p>
        </w:tc>
        <w:tc>
          <w:tcPr>
            <w:tcW w:w="0" w:type="dxa"/>
            <w:vAlign w:val="bottom"/>
          </w:tcPr>
          <w:p>
            <w:pPr>
              <w:spacing w:after="0"/>
              <w:rPr>
                <w:sz w:val="1"/>
                <w:szCs w:val="1"/>
                <w:color w:val="auto"/>
              </w:rPr>
            </w:pPr>
          </w:p>
        </w:tc>
      </w:tr>
      <w:tr>
        <w:trPr>
          <w:trHeight w:val="219"/>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Residential mortgage backed - non-agency</w:t>
            </w: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284,826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ind w:left="1140"/>
              <w:spacing w:after="0"/>
              <w:rPr>
                <w:sz w:val="20"/>
                <w:szCs w:val="20"/>
                <w:color w:val="auto"/>
              </w:rPr>
            </w:pPr>
            <w:r>
              <w:rPr>
                <w:rFonts w:ascii="Times New Roman" w:cs="Times New Roman" w:eastAsia="Times New Roman" w:hAnsi="Times New Roman"/>
                <w:sz w:val="16"/>
                <w:szCs w:val="16"/>
                <w:color w:val="auto"/>
              </w:rPr>
              <w:t>17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18,812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266,031</w:t>
            </w:r>
          </w:p>
        </w:tc>
        <w:tc>
          <w:tcPr>
            <w:tcW w:w="0" w:type="dxa"/>
            <w:vAlign w:val="bottom"/>
          </w:tcPr>
          <w:p>
            <w:pPr>
              <w:spacing w:after="0"/>
              <w:rPr>
                <w:sz w:val="1"/>
                <w:szCs w:val="1"/>
                <w:color w:val="auto"/>
              </w:rPr>
            </w:pPr>
          </w:p>
        </w:tc>
      </w:tr>
      <w:tr>
        <w:trPr>
          <w:trHeight w:val="213"/>
        </w:trPr>
        <w:tc>
          <w:tcPr>
            <w:tcW w:w="5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Commercial mortgage backed - agency</w:t>
            </w:r>
          </w:p>
        </w:tc>
        <w:tc>
          <w:tcPr>
            <w:tcW w:w="1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36,151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ind w:left="1140"/>
              <w:spacing w:after="0"/>
              <w:rPr>
                <w:sz w:val="20"/>
                <w:szCs w:val="20"/>
                <w:color w:val="auto"/>
              </w:rPr>
            </w:pPr>
            <w:r>
              <w:rPr>
                <w:rFonts w:ascii="Times New Roman" w:cs="Times New Roman" w:eastAsia="Times New Roman" w:hAnsi="Times New Roman"/>
                <w:sz w:val="16"/>
                <w:szCs w:val="16"/>
                <w:color w:val="auto"/>
              </w:rPr>
              <w:t>28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1,294</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34,885</w:t>
            </w:r>
          </w:p>
        </w:tc>
        <w:tc>
          <w:tcPr>
            <w:tcW w:w="0" w:type="dxa"/>
            <w:vAlign w:val="bottom"/>
          </w:tcPr>
          <w:p>
            <w:pPr>
              <w:spacing w:after="0"/>
              <w:rPr>
                <w:sz w:val="1"/>
                <w:szCs w:val="1"/>
                <w:color w:val="auto"/>
              </w:rPr>
            </w:pPr>
          </w:p>
        </w:tc>
      </w:tr>
      <w:tr>
        <w:trPr>
          <w:trHeight w:val="219"/>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Commercial mortgage backed - non-agency</w:t>
            </w: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183,454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ind w:left="1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6,393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177,061</w:t>
            </w:r>
          </w:p>
        </w:tc>
        <w:tc>
          <w:tcPr>
            <w:tcW w:w="0" w:type="dxa"/>
            <w:vAlign w:val="bottom"/>
          </w:tcPr>
          <w:p>
            <w:pPr>
              <w:spacing w:after="0"/>
              <w:rPr>
                <w:sz w:val="1"/>
                <w:szCs w:val="1"/>
                <w:color w:val="auto"/>
              </w:rPr>
            </w:pPr>
          </w:p>
        </w:tc>
      </w:tr>
      <w:tr>
        <w:trPr>
          <w:trHeight w:val="213"/>
        </w:trPr>
        <w:tc>
          <w:tcPr>
            <w:tcW w:w="5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Asset backed</w:t>
            </w:r>
          </w:p>
        </w:tc>
        <w:tc>
          <w:tcPr>
            <w:tcW w:w="1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79,315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ind w:left="1140"/>
              <w:spacing w:after="0"/>
              <w:rPr>
                <w:sz w:val="20"/>
                <w:szCs w:val="20"/>
                <w:color w:val="auto"/>
              </w:rPr>
            </w:pPr>
            <w:r>
              <w:rPr>
                <w:rFonts w:ascii="Times New Roman" w:cs="Times New Roman" w:eastAsia="Times New Roman" w:hAnsi="Times New Roman"/>
                <w:sz w:val="16"/>
                <w:szCs w:val="16"/>
                <w:color w:val="auto"/>
              </w:rPr>
              <w:t>23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1,402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77,936</w:t>
            </w:r>
          </w:p>
        </w:tc>
        <w:tc>
          <w:tcPr>
            <w:tcW w:w="0" w:type="dxa"/>
            <w:vAlign w:val="bottom"/>
          </w:tcPr>
          <w:p>
            <w:pPr>
              <w:spacing w:after="0"/>
              <w:rPr>
                <w:sz w:val="1"/>
                <w:szCs w:val="1"/>
                <w:color w:val="auto"/>
              </w:rPr>
            </w:pPr>
          </w:p>
        </w:tc>
      </w:tr>
      <w:tr>
        <w:trPr>
          <w:trHeight w:val="219"/>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9,500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ind w:left="1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1,486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8,014</w:t>
            </w:r>
          </w:p>
        </w:tc>
        <w:tc>
          <w:tcPr>
            <w:tcW w:w="0" w:type="dxa"/>
            <w:vAlign w:val="bottom"/>
          </w:tcPr>
          <w:p>
            <w:pPr>
              <w:spacing w:after="0"/>
              <w:rPr>
                <w:sz w:val="1"/>
                <w:szCs w:val="1"/>
                <w:color w:val="auto"/>
              </w:rPr>
            </w:pPr>
          </w:p>
        </w:tc>
      </w:tr>
      <w:tr>
        <w:trPr>
          <w:trHeight w:val="207"/>
        </w:trPr>
        <w:tc>
          <w:tcPr>
            <w:tcW w:w="5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1,372,575</w:t>
            </w:r>
          </w:p>
        </w:tc>
        <w:tc>
          <w:tcPr>
            <w:tcW w:w="10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top w:val="single" w:sz="8" w:color="auto"/>
              <w:bottom w:val="single" w:sz="8" w:color="auto"/>
            </w:tcBorders>
          </w:tcPr>
          <w:p>
            <w:pPr>
              <w:ind w:left="1140"/>
              <w:spacing w:after="0"/>
              <w:rPr>
                <w:sz w:val="20"/>
                <w:szCs w:val="20"/>
                <w:color w:val="auto"/>
              </w:rPr>
            </w:pPr>
            <w:r>
              <w:rPr>
                <w:rFonts w:ascii="Times New Roman" w:cs="Times New Roman" w:eastAsia="Times New Roman" w:hAnsi="Times New Roman"/>
                <w:sz w:val="16"/>
                <w:szCs w:val="16"/>
                <w:color w:val="auto"/>
              </w:rPr>
              <w:t>89</w:t>
            </w:r>
          </w:p>
        </w:tc>
        <w:tc>
          <w:tcPr>
            <w:tcW w:w="10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124,225</w:t>
            </w:r>
          </w:p>
        </w:tc>
        <w:tc>
          <w:tcPr>
            <w:tcW w:w="100" w:type="dxa"/>
            <w:vAlign w:val="bottom"/>
          </w:tcPr>
          <w:p>
            <w:pPr>
              <w:spacing w:after="0"/>
              <w:rPr>
                <w:sz w:val="17"/>
                <w:szCs w:val="17"/>
                <w:color w:val="auto"/>
              </w:rPr>
            </w:pP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1,248,439</w:t>
            </w:r>
          </w:p>
        </w:tc>
        <w:tc>
          <w:tcPr>
            <w:tcW w:w="0" w:type="dxa"/>
            <w:vAlign w:val="bottom"/>
          </w:tcPr>
          <w:p>
            <w:pPr>
              <w:spacing w:after="0"/>
              <w:rPr>
                <w:sz w:val="1"/>
                <w:szCs w:val="1"/>
                <w:color w:val="auto"/>
              </w:rPr>
            </w:pPr>
          </w:p>
        </w:tc>
      </w:tr>
    </w:tbl>
    <w:p>
      <w:pPr>
        <w:spacing w:after="0" w:line="23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investment maturity table below summarizes contractual maturities for our investment securities at June 30, 2024. The actual timing of principal payments may differ from remaining contractual maturities because obligors may have the right to repay certain obligations with or without penalties. The overall weighted average duration of the Company’s investment portfolio is 4.5 years at June 30, 2024. The weighted-average yield below represents the effective yield for the investment securities and is calculated based on the amortized cost of each security (dollars in thousands). Interest on securities below excludes tax-equivalent adjustments.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2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20" w:type="dxa"/>
            <w:vAlign w:val="bottom"/>
            <w:gridSpan w:val="4"/>
          </w:tcPr>
          <w:p>
            <w:pPr>
              <w:ind w:left="380"/>
              <w:spacing w:after="0"/>
              <w:rPr>
                <w:sz w:val="20"/>
                <w:szCs w:val="20"/>
                <w:color w:val="auto"/>
              </w:rPr>
            </w:pPr>
            <w:r>
              <w:rPr>
                <w:rFonts w:ascii="Times New Roman" w:cs="Times New Roman" w:eastAsia="Times New Roman" w:hAnsi="Times New Roman"/>
                <w:sz w:val="11"/>
                <w:szCs w:val="11"/>
                <w:b w:val="1"/>
                <w:bCs w:val="1"/>
                <w:color w:val="auto"/>
              </w:rPr>
              <w:t>June 30, 2024</w:t>
            </w: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
        </w:trPr>
        <w:tc>
          <w:tcPr>
            <w:tcW w:w="2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gridSpan w:val="4"/>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gridSpan w:val="4"/>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gridSpan w:val="4"/>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gridSpan w:val="4"/>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gridSpan w:val="3"/>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9"/>
        </w:trPr>
        <w:tc>
          <w:tcPr>
            <w:tcW w:w="2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00" w:type="dxa"/>
            <w:vAlign w:val="bottom"/>
            <w:gridSpan w:val="4"/>
          </w:tcPr>
          <w:p>
            <w:pPr>
              <w:ind w:left="340"/>
              <w:spacing w:after="0"/>
              <w:rPr>
                <w:sz w:val="20"/>
                <w:szCs w:val="20"/>
                <w:color w:val="auto"/>
              </w:rPr>
            </w:pPr>
            <w:r>
              <w:rPr>
                <w:rFonts w:ascii="Times New Roman" w:cs="Times New Roman" w:eastAsia="Times New Roman" w:hAnsi="Times New Roman"/>
                <w:sz w:val="11"/>
                <w:szCs w:val="11"/>
                <w:b w:val="1"/>
                <w:bCs w:val="1"/>
                <w:color w:val="auto"/>
              </w:rPr>
              <w:t>One Year or Less</w:t>
            </w:r>
          </w:p>
        </w:tc>
        <w:tc>
          <w:tcPr>
            <w:tcW w:w="180" w:type="dxa"/>
            <w:vAlign w:val="bottom"/>
          </w:tcPr>
          <w:p>
            <w:pPr>
              <w:spacing w:after="0"/>
              <w:rPr>
                <w:sz w:val="12"/>
                <w:szCs w:val="12"/>
                <w:color w:val="auto"/>
              </w:rPr>
            </w:pPr>
          </w:p>
        </w:tc>
        <w:tc>
          <w:tcPr>
            <w:tcW w:w="1640" w:type="dxa"/>
            <w:vAlign w:val="bottom"/>
            <w:gridSpan w:val="4"/>
          </w:tcPr>
          <w:p>
            <w:pPr>
              <w:ind w:left="280"/>
              <w:spacing w:after="0"/>
              <w:rPr>
                <w:sz w:val="20"/>
                <w:szCs w:val="20"/>
                <w:color w:val="auto"/>
              </w:rPr>
            </w:pPr>
            <w:r>
              <w:rPr>
                <w:rFonts w:ascii="Times New Roman" w:cs="Times New Roman" w:eastAsia="Times New Roman" w:hAnsi="Times New Roman"/>
                <w:sz w:val="11"/>
                <w:szCs w:val="11"/>
                <w:b w:val="1"/>
                <w:bCs w:val="1"/>
                <w:color w:val="auto"/>
              </w:rPr>
              <w:t>One to Five Years</w:t>
            </w:r>
          </w:p>
        </w:tc>
        <w:tc>
          <w:tcPr>
            <w:tcW w:w="200" w:type="dxa"/>
            <w:vAlign w:val="bottom"/>
          </w:tcPr>
          <w:p>
            <w:pPr>
              <w:spacing w:after="0"/>
              <w:rPr>
                <w:sz w:val="12"/>
                <w:szCs w:val="12"/>
                <w:color w:val="auto"/>
              </w:rPr>
            </w:pPr>
          </w:p>
        </w:tc>
        <w:tc>
          <w:tcPr>
            <w:tcW w:w="1620" w:type="dxa"/>
            <w:vAlign w:val="bottom"/>
            <w:gridSpan w:val="4"/>
          </w:tcPr>
          <w:p>
            <w:pPr>
              <w:ind w:left="260"/>
              <w:spacing w:after="0"/>
              <w:rPr>
                <w:sz w:val="20"/>
                <w:szCs w:val="20"/>
                <w:color w:val="auto"/>
              </w:rPr>
            </w:pPr>
            <w:r>
              <w:rPr>
                <w:rFonts w:ascii="Times New Roman" w:cs="Times New Roman" w:eastAsia="Times New Roman" w:hAnsi="Times New Roman"/>
                <w:sz w:val="11"/>
                <w:szCs w:val="11"/>
                <w:b w:val="1"/>
                <w:bCs w:val="1"/>
                <w:color w:val="auto"/>
              </w:rPr>
              <w:t>Five to Ten Years</w:t>
            </w:r>
          </w:p>
        </w:tc>
        <w:tc>
          <w:tcPr>
            <w:tcW w:w="200" w:type="dxa"/>
            <w:vAlign w:val="bottom"/>
          </w:tcPr>
          <w:p>
            <w:pPr>
              <w:spacing w:after="0"/>
              <w:rPr>
                <w:sz w:val="12"/>
                <w:szCs w:val="12"/>
                <w:color w:val="auto"/>
              </w:rPr>
            </w:pPr>
          </w:p>
        </w:tc>
        <w:tc>
          <w:tcPr>
            <w:tcW w:w="1620" w:type="dxa"/>
            <w:vAlign w:val="bottom"/>
            <w:gridSpan w:val="4"/>
          </w:tcPr>
          <w:p>
            <w:pPr>
              <w:ind w:left="300"/>
              <w:spacing w:after="0"/>
              <w:rPr>
                <w:sz w:val="20"/>
                <w:szCs w:val="20"/>
                <w:color w:val="auto"/>
              </w:rPr>
            </w:pPr>
            <w:r>
              <w:rPr>
                <w:rFonts w:ascii="Times New Roman" w:cs="Times New Roman" w:eastAsia="Times New Roman" w:hAnsi="Times New Roman"/>
                <w:sz w:val="11"/>
                <w:szCs w:val="11"/>
                <w:b w:val="1"/>
                <w:bCs w:val="1"/>
                <w:color w:val="auto"/>
              </w:rPr>
              <w:t>After Ten Years</w:t>
            </w: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0" w:type="dxa"/>
            <w:vAlign w:val="bottom"/>
            <w:gridSpan w:val="3"/>
          </w:tcPr>
          <w:p>
            <w:pPr>
              <w:spacing w:after="0"/>
              <w:rPr>
                <w:sz w:val="20"/>
                <w:szCs w:val="20"/>
                <w:color w:val="auto"/>
              </w:rPr>
            </w:pPr>
            <w:r>
              <w:rPr>
                <w:rFonts w:ascii="Times New Roman" w:cs="Times New Roman" w:eastAsia="Times New Roman" w:hAnsi="Times New Roman"/>
                <w:sz w:val="11"/>
                <w:szCs w:val="11"/>
                <w:b w:val="1"/>
                <w:bCs w:val="1"/>
                <w:color w:val="auto"/>
              </w:rPr>
              <w:t>Total</w:t>
            </w:r>
          </w:p>
        </w:tc>
        <w:tc>
          <w:tcPr>
            <w:tcW w:w="0" w:type="dxa"/>
            <w:vAlign w:val="bottom"/>
          </w:tcPr>
          <w:p>
            <w:pPr>
              <w:spacing w:after="0"/>
              <w:rPr>
                <w:sz w:val="1"/>
                <w:szCs w:val="1"/>
                <w:color w:val="auto"/>
              </w:rPr>
            </w:pPr>
          </w:p>
        </w:tc>
      </w:tr>
      <w:tr>
        <w:trPr>
          <w:trHeight w:val="108"/>
        </w:trPr>
        <w:tc>
          <w:tcPr>
            <w:tcW w:w="220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740" w:type="dxa"/>
            <w:vAlign w:val="bottom"/>
            <w:tcBorders>
              <w:top w:val="single" w:sz="8" w:color="auto"/>
            </w:tcBorders>
            <w:gridSpan w:val="2"/>
          </w:tcPr>
          <w:p>
            <w:pPr>
              <w:jc w:val="center"/>
              <w:ind w:right="200"/>
              <w:spacing w:after="0" w:line="108" w:lineRule="exact"/>
              <w:rPr>
                <w:sz w:val="20"/>
                <w:szCs w:val="20"/>
                <w:color w:val="auto"/>
              </w:rPr>
            </w:pPr>
            <w:r>
              <w:rPr>
                <w:rFonts w:ascii="Times New Roman" w:cs="Times New Roman" w:eastAsia="Times New Roman" w:hAnsi="Times New Roman"/>
                <w:sz w:val="11"/>
                <w:szCs w:val="11"/>
                <w:b w:val="1"/>
                <w:bCs w:val="1"/>
                <w:color w:val="auto"/>
                <w:w w:val="99"/>
              </w:rPr>
              <w:t>Amortized</w:t>
            </w:r>
          </w:p>
        </w:tc>
        <w:tc>
          <w:tcPr>
            <w:tcW w:w="860" w:type="dxa"/>
            <w:vAlign w:val="bottom"/>
            <w:tcBorders>
              <w:top w:val="single" w:sz="8" w:color="auto"/>
            </w:tcBorders>
          </w:tcPr>
          <w:p>
            <w:pPr>
              <w:jc w:val="center"/>
              <w:spacing w:after="0" w:line="108" w:lineRule="exact"/>
              <w:rPr>
                <w:sz w:val="20"/>
                <w:szCs w:val="20"/>
                <w:color w:val="auto"/>
              </w:rPr>
            </w:pPr>
            <w:r>
              <w:rPr>
                <w:rFonts w:ascii="Times New Roman" w:cs="Times New Roman" w:eastAsia="Times New Roman" w:hAnsi="Times New Roman"/>
                <w:sz w:val="11"/>
                <w:szCs w:val="11"/>
                <w:b w:val="1"/>
                <w:bCs w:val="1"/>
                <w:color w:val="auto"/>
                <w:w w:val="97"/>
              </w:rPr>
              <w:t>Weighted</w:t>
            </w:r>
          </w:p>
        </w:tc>
        <w:tc>
          <w:tcPr>
            <w:tcW w:w="100" w:type="dxa"/>
            <w:vAlign w:val="bottom"/>
          </w:tcPr>
          <w:p>
            <w:pPr>
              <w:spacing w:after="0"/>
              <w:rPr>
                <w:sz w:val="9"/>
                <w:szCs w:val="9"/>
                <w:color w:val="auto"/>
              </w:rPr>
            </w:pPr>
          </w:p>
        </w:tc>
        <w:tc>
          <w:tcPr>
            <w:tcW w:w="860" w:type="dxa"/>
            <w:vAlign w:val="bottom"/>
            <w:tcBorders>
              <w:top w:val="single" w:sz="8" w:color="auto"/>
            </w:tcBorders>
            <w:gridSpan w:val="3"/>
            <w:vMerge w:val="restart"/>
          </w:tcPr>
          <w:p>
            <w:pPr>
              <w:ind w:left="20"/>
              <w:spacing w:after="0"/>
              <w:rPr>
                <w:sz w:val="20"/>
                <w:szCs w:val="20"/>
                <w:color w:val="auto"/>
              </w:rPr>
            </w:pPr>
            <w:r>
              <w:rPr>
                <w:rFonts w:ascii="Times New Roman" w:cs="Times New Roman" w:eastAsia="Times New Roman" w:hAnsi="Times New Roman"/>
                <w:sz w:val="11"/>
                <w:szCs w:val="11"/>
                <w:b w:val="1"/>
                <w:bCs w:val="1"/>
                <w:color w:val="auto"/>
              </w:rPr>
              <w:t>Amortized Cost</w:t>
            </w:r>
          </w:p>
        </w:tc>
        <w:tc>
          <w:tcPr>
            <w:tcW w:w="860" w:type="dxa"/>
            <w:vAlign w:val="bottom"/>
            <w:tcBorders>
              <w:top w:val="single" w:sz="8" w:color="auto"/>
            </w:tcBorders>
          </w:tcPr>
          <w:p>
            <w:pPr>
              <w:ind w:left="220"/>
              <w:spacing w:after="0" w:line="108" w:lineRule="exact"/>
              <w:rPr>
                <w:sz w:val="20"/>
                <w:szCs w:val="20"/>
                <w:color w:val="auto"/>
              </w:rPr>
            </w:pPr>
            <w:r>
              <w:rPr>
                <w:rFonts w:ascii="Times New Roman" w:cs="Times New Roman" w:eastAsia="Times New Roman" w:hAnsi="Times New Roman"/>
                <w:sz w:val="11"/>
                <w:szCs w:val="11"/>
                <w:b w:val="1"/>
                <w:bCs w:val="1"/>
                <w:color w:val="auto"/>
              </w:rPr>
              <w:t>Weighted</w:t>
            </w:r>
          </w:p>
        </w:tc>
        <w:tc>
          <w:tcPr>
            <w:tcW w:w="100" w:type="dxa"/>
            <w:vAlign w:val="bottom"/>
          </w:tcPr>
          <w:p>
            <w:pPr>
              <w:spacing w:after="0"/>
              <w:rPr>
                <w:sz w:val="9"/>
                <w:szCs w:val="9"/>
                <w:color w:val="auto"/>
              </w:rPr>
            </w:pPr>
          </w:p>
        </w:tc>
        <w:tc>
          <w:tcPr>
            <w:tcW w:w="860" w:type="dxa"/>
            <w:vAlign w:val="bottom"/>
            <w:tcBorders>
              <w:top w:val="single" w:sz="8" w:color="auto"/>
            </w:tcBorders>
            <w:gridSpan w:val="3"/>
            <w:vMerge w:val="restart"/>
          </w:tcPr>
          <w:p>
            <w:pPr>
              <w:ind w:left="20"/>
              <w:spacing w:after="0"/>
              <w:rPr>
                <w:sz w:val="20"/>
                <w:szCs w:val="20"/>
                <w:color w:val="auto"/>
              </w:rPr>
            </w:pPr>
            <w:r>
              <w:rPr>
                <w:rFonts w:ascii="Times New Roman" w:cs="Times New Roman" w:eastAsia="Times New Roman" w:hAnsi="Times New Roman"/>
                <w:sz w:val="11"/>
                <w:szCs w:val="11"/>
                <w:b w:val="1"/>
                <w:bCs w:val="1"/>
                <w:color w:val="auto"/>
              </w:rPr>
              <w:t>Amortized Cost</w:t>
            </w:r>
          </w:p>
        </w:tc>
        <w:tc>
          <w:tcPr>
            <w:tcW w:w="860" w:type="dxa"/>
            <w:vAlign w:val="bottom"/>
            <w:tcBorders>
              <w:top w:val="single" w:sz="8" w:color="auto"/>
            </w:tcBorders>
          </w:tcPr>
          <w:p>
            <w:pPr>
              <w:ind w:left="220"/>
              <w:spacing w:after="0" w:line="108" w:lineRule="exact"/>
              <w:rPr>
                <w:sz w:val="20"/>
                <w:szCs w:val="20"/>
                <w:color w:val="auto"/>
              </w:rPr>
            </w:pPr>
            <w:r>
              <w:rPr>
                <w:rFonts w:ascii="Times New Roman" w:cs="Times New Roman" w:eastAsia="Times New Roman" w:hAnsi="Times New Roman"/>
                <w:sz w:val="11"/>
                <w:szCs w:val="11"/>
                <w:b w:val="1"/>
                <w:bCs w:val="1"/>
                <w:color w:val="auto"/>
              </w:rPr>
              <w:t>Weighted</w:t>
            </w:r>
          </w:p>
        </w:tc>
        <w:tc>
          <w:tcPr>
            <w:tcW w:w="100" w:type="dxa"/>
            <w:vAlign w:val="bottom"/>
          </w:tcPr>
          <w:p>
            <w:pPr>
              <w:spacing w:after="0"/>
              <w:rPr>
                <w:sz w:val="9"/>
                <w:szCs w:val="9"/>
                <w:color w:val="auto"/>
              </w:rPr>
            </w:pPr>
          </w:p>
        </w:tc>
        <w:tc>
          <w:tcPr>
            <w:tcW w:w="860" w:type="dxa"/>
            <w:vAlign w:val="bottom"/>
            <w:tcBorders>
              <w:top w:val="single" w:sz="8" w:color="auto"/>
            </w:tcBorders>
            <w:gridSpan w:val="3"/>
            <w:vMerge w:val="restart"/>
          </w:tcPr>
          <w:p>
            <w:pPr>
              <w:ind w:left="20"/>
              <w:spacing w:after="0"/>
              <w:rPr>
                <w:sz w:val="20"/>
                <w:szCs w:val="20"/>
                <w:color w:val="auto"/>
              </w:rPr>
            </w:pPr>
            <w:r>
              <w:rPr>
                <w:rFonts w:ascii="Times New Roman" w:cs="Times New Roman" w:eastAsia="Times New Roman" w:hAnsi="Times New Roman"/>
                <w:sz w:val="11"/>
                <w:szCs w:val="11"/>
                <w:b w:val="1"/>
                <w:bCs w:val="1"/>
                <w:color w:val="auto"/>
              </w:rPr>
              <w:t>Amortized Cost</w:t>
            </w:r>
          </w:p>
        </w:tc>
        <w:tc>
          <w:tcPr>
            <w:tcW w:w="880" w:type="dxa"/>
            <w:vAlign w:val="bottom"/>
            <w:tcBorders>
              <w:top w:val="single" w:sz="8" w:color="auto"/>
            </w:tcBorders>
          </w:tcPr>
          <w:p>
            <w:pPr>
              <w:jc w:val="center"/>
              <w:spacing w:after="0" w:line="108" w:lineRule="exact"/>
              <w:rPr>
                <w:sz w:val="20"/>
                <w:szCs w:val="20"/>
                <w:color w:val="auto"/>
              </w:rPr>
            </w:pPr>
            <w:r>
              <w:rPr>
                <w:rFonts w:ascii="Times New Roman" w:cs="Times New Roman" w:eastAsia="Times New Roman" w:hAnsi="Times New Roman"/>
                <w:sz w:val="11"/>
                <w:szCs w:val="11"/>
                <w:b w:val="1"/>
                <w:bCs w:val="1"/>
                <w:color w:val="auto"/>
                <w:w w:val="97"/>
              </w:rPr>
              <w:t>Weighted</w:t>
            </w:r>
          </w:p>
        </w:tc>
        <w:tc>
          <w:tcPr>
            <w:tcW w:w="80" w:type="dxa"/>
            <w:vAlign w:val="bottom"/>
          </w:tcPr>
          <w:p>
            <w:pPr>
              <w:spacing w:after="0"/>
              <w:rPr>
                <w:sz w:val="9"/>
                <w:szCs w:val="9"/>
                <w:color w:val="auto"/>
              </w:rPr>
            </w:pPr>
          </w:p>
        </w:tc>
        <w:tc>
          <w:tcPr>
            <w:tcW w:w="760" w:type="dxa"/>
            <w:vAlign w:val="bottom"/>
            <w:tcBorders>
              <w:top w:val="single" w:sz="8" w:color="auto"/>
            </w:tcBorders>
            <w:gridSpan w:val="2"/>
            <w:vMerge w:val="restart"/>
          </w:tcPr>
          <w:p>
            <w:pPr>
              <w:ind w:left="40"/>
              <w:spacing w:after="0"/>
              <w:rPr>
                <w:sz w:val="20"/>
                <w:szCs w:val="20"/>
                <w:color w:val="auto"/>
              </w:rPr>
            </w:pPr>
            <w:r>
              <w:rPr>
                <w:rFonts w:ascii="Times New Roman" w:cs="Times New Roman" w:eastAsia="Times New Roman" w:hAnsi="Times New Roman"/>
                <w:sz w:val="11"/>
                <w:szCs w:val="11"/>
                <w:b w:val="1"/>
                <w:bCs w:val="1"/>
                <w:color w:val="auto"/>
                <w:w w:val="94"/>
              </w:rPr>
              <w:t>Amortized Cost</w:t>
            </w:r>
          </w:p>
        </w:tc>
        <w:tc>
          <w:tcPr>
            <w:tcW w:w="20" w:type="dxa"/>
            <w:vAlign w:val="bottom"/>
            <w:tcBorders>
              <w:top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880" w:type="dxa"/>
            <w:vAlign w:val="bottom"/>
            <w:tcBorders>
              <w:top w:val="single" w:sz="8" w:color="auto"/>
            </w:tcBorders>
          </w:tcPr>
          <w:p>
            <w:pPr>
              <w:jc w:val="center"/>
              <w:spacing w:after="0" w:line="108" w:lineRule="exact"/>
              <w:rPr>
                <w:sz w:val="20"/>
                <w:szCs w:val="20"/>
                <w:color w:val="auto"/>
              </w:rPr>
            </w:pPr>
            <w:r>
              <w:rPr>
                <w:rFonts w:ascii="Times New Roman" w:cs="Times New Roman" w:eastAsia="Times New Roman" w:hAnsi="Times New Roman"/>
                <w:sz w:val="11"/>
                <w:szCs w:val="11"/>
                <w:b w:val="1"/>
                <w:bCs w:val="1"/>
                <w:color w:val="auto"/>
                <w:w w:val="96"/>
              </w:rPr>
              <w:t>Weighted Average</w:t>
            </w:r>
          </w:p>
        </w:tc>
        <w:tc>
          <w:tcPr>
            <w:tcW w:w="0" w:type="dxa"/>
            <w:vAlign w:val="bottom"/>
          </w:tcPr>
          <w:p>
            <w:pPr>
              <w:spacing w:after="0"/>
              <w:rPr>
                <w:sz w:val="1"/>
                <w:szCs w:val="1"/>
                <w:color w:val="auto"/>
              </w:rPr>
            </w:pPr>
          </w:p>
        </w:tc>
      </w:tr>
      <w:tr>
        <w:trPr>
          <w:trHeight w:val="156"/>
        </w:trPr>
        <w:tc>
          <w:tcPr>
            <w:tcW w:w="2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rPr>
              <w:t>Cost</w:t>
            </w:r>
          </w:p>
        </w:tc>
        <w:tc>
          <w:tcPr>
            <w:tcW w:w="96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w w:val="98"/>
              </w:rPr>
              <w:t>Average Yield</w:t>
            </w:r>
          </w:p>
        </w:tc>
        <w:tc>
          <w:tcPr>
            <w:tcW w:w="860" w:type="dxa"/>
            <w:vAlign w:val="bottom"/>
            <w:gridSpan w:val="3"/>
            <w:vMerge w:val="continue"/>
          </w:tcPr>
          <w:p>
            <w:pPr>
              <w:spacing w:after="0"/>
              <w:rPr>
                <w:sz w:val="13"/>
                <w:szCs w:val="13"/>
                <w:color w:val="auto"/>
              </w:rPr>
            </w:pPr>
          </w:p>
        </w:tc>
        <w:tc>
          <w:tcPr>
            <w:tcW w:w="960" w:type="dxa"/>
            <w:vAlign w:val="bottom"/>
            <w:gridSpan w:val="2"/>
          </w:tcPr>
          <w:p>
            <w:pPr>
              <w:ind w:left="120"/>
              <w:spacing w:after="0"/>
              <w:rPr>
                <w:sz w:val="20"/>
                <w:szCs w:val="20"/>
                <w:color w:val="auto"/>
              </w:rPr>
            </w:pPr>
            <w:r>
              <w:rPr>
                <w:rFonts w:ascii="Times New Roman" w:cs="Times New Roman" w:eastAsia="Times New Roman" w:hAnsi="Times New Roman"/>
                <w:sz w:val="11"/>
                <w:szCs w:val="11"/>
                <w:b w:val="1"/>
                <w:bCs w:val="1"/>
                <w:color w:val="auto"/>
              </w:rPr>
              <w:t>Average Yield</w:t>
            </w:r>
          </w:p>
        </w:tc>
        <w:tc>
          <w:tcPr>
            <w:tcW w:w="860" w:type="dxa"/>
            <w:vAlign w:val="bottom"/>
            <w:gridSpan w:val="3"/>
            <w:vMerge w:val="continue"/>
          </w:tcPr>
          <w:p>
            <w:pPr>
              <w:spacing w:after="0"/>
              <w:rPr>
                <w:sz w:val="13"/>
                <w:szCs w:val="13"/>
                <w:color w:val="auto"/>
              </w:rPr>
            </w:pPr>
          </w:p>
        </w:tc>
        <w:tc>
          <w:tcPr>
            <w:tcW w:w="960" w:type="dxa"/>
            <w:vAlign w:val="bottom"/>
            <w:gridSpan w:val="2"/>
          </w:tcPr>
          <w:p>
            <w:pPr>
              <w:ind w:left="120"/>
              <w:spacing w:after="0"/>
              <w:rPr>
                <w:sz w:val="20"/>
                <w:szCs w:val="20"/>
                <w:color w:val="auto"/>
              </w:rPr>
            </w:pPr>
            <w:r>
              <w:rPr>
                <w:rFonts w:ascii="Times New Roman" w:cs="Times New Roman" w:eastAsia="Times New Roman" w:hAnsi="Times New Roman"/>
                <w:sz w:val="11"/>
                <w:szCs w:val="11"/>
                <w:b w:val="1"/>
                <w:bCs w:val="1"/>
                <w:color w:val="auto"/>
              </w:rPr>
              <w:t>Average Yield</w:t>
            </w:r>
          </w:p>
        </w:tc>
        <w:tc>
          <w:tcPr>
            <w:tcW w:w="860" w:type="dxa"/>
            <w:vAlign w:val="bottom"/>
            <w:gridSpan w:val="3"/>
            <w:vMerge w:val="continue"/>
          </w:tcPr>
          <w:p>
            <w:pPr>
              <w:spacing w:after="0"/>
              <w:rPr>
                <w:sz w:val="13"/>
                <w:szCs w:val="13"/>
                <w:color w:val="auto"/>
              </w:rPr>
            </w:pPr>
          </w:p>
        </w:tc>
        <w:tc>
          <w:tcPr>
            <w:tcW w:w="96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w w:val="95"/>
              </w:rPr>
              <w:t>Average Yield</w:t>
            </w:r>
          </w:p>
        </w:tc>
        <w:tc>
          <w:tcPr>
            <w:tcW w:w="760" w:type="dxa"/>
            <w:vAlign w:val="bottom"/>
            <w:gridSpan w:val="2"/>
            <w:vMerge w:val="continue"/>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5"/>
              </w:rPr>
              <w:t>Yield</w:t>
            </w:r>
          </w:p>
        </w:tc>
        <w:tc>
          <w:tcPr>
            <w:tcW w:w="0" w:type="dxa"/>
            <w:vAlign w:val="bottom"/>
          </w:tcPr>
          <w:p>
            <w:pPr>
              <w:spacing w:after="0"/>
              <w:rPr>
                <w:sz w:val="1"/>
                <w:szCs w:val="1"/>
                <w:color w:val="auto"/>
              </w:rPr>
            </w:pPr>
          </w:p>
        </w:tc>
      </w:tr>
      <w:tr>
        <w:trPr>
          <w:trHeight w:val="148"/>
        </w:trPr>
        <w:tc>
          <w:tcPr>
            <w:tcW w:w="22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Securities Available-for-Sale</w:t>
            </w:r>
          </w:p>
        </w:tc>
        <w:tc>
          <w:tcPr>
            <w:tcW w:w="120" w:type="dxa"/>
            <w:vAlign w:val="bottom"/>
            <w:tcBorders>
              <w:top w:val="single" w:sz="8" w:color="auto"/>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86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86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86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88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88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2200" w:type="dxa"/>
            <w:vAlign w:val="bottom"/>
          </w:tcPr>
          <w:p>
            <w:pPr>
              <w:ind w:left="240"/>
              <w:spacing w:after="0"/>
              <w:rPr>
                <w:sz w:val="20"/>
                <w:szCs w:val="20"/>
                <w:color w:val="auto"/>
              </w:rPr>
            </w:pPr>
            <w:r>
              <w:rPr>
                <w:rFonts w:ascii="Times New Roman" w:cs="Times New Roman" w:eastAsia="Times New Roman" w:hAnsi="Times New Roman"/>
                <w:sz w:val="11"/>
                <w:szCs w:val="11"/>
                <w:color w:val="auto"/>
              </w:rPr>
              <w:t>U.S. Treasuries and government agencies</w:t>
            </w: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gridSpan w:val="2"/>
          </w:tcPr>
          <w:p>
            <w:pPr>
              <w:ind w:left="580"/>
              <w:spacing w:after="0"/>
              <w:rPr>
                <w:sz w:val="20"/>
                <w:szCs w:val="20"/>
                <w:color w:val="auto"/>
              </w:rPr>
            </w:pPr>
            <w:r>
              <w:rPr>
                <w:rFonts w:ascii="Times New Roman" w:cs="Times New Roman" w:eastAsia="Times New Roman" w:hAnsi="Times New Roman"/>
                <w:sz w:val="13"/>
                <w:szCs w:val="13"/>
                <w:color w:val="auto"/>
              </w:rPr>
              <w:t>— %</w:t>
            </w:r>
          </w:p>
        </w:tc>
        <w:tc>
          <w:tcPr>
            <w:tcW w:w="1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141,054</w:t>
            </w:r>
          </w:p>
        </w:tc>
        <w:tc>
          <w:tcPr>
            <w:tcW w:w="100" w:type="dxa"/>
            <w:vAlign w:val="bottom"/>
          </w:tcPr>
          <w:p>
            <w:pPr>
              <w:spacing w:after="0"/>
              <w:rPr>
                <w:sz w:val="14"/>
                <w:szCs w:val="14"/>
                <w:color w:val="auto"/>
              </w:rPr>
            </w:pPr>
          </w:p>
        </w:tc>
        <w:tc>
          <w:tcPr>
            <w:tcW w:w="860" w:type="dxa"/>
            <w:vAlign w:val="bottom"/>
          </w:tcPr>
          <w:p>
            <w:pPr>
              <w:ind w:left="480"/>
              <w:spacing w:after="0"/>
              <w:rPr>
                <w:sz w:val="20"/>
                <w:szCs w:val="20"/>
                <w:color w:val="auto"/>
              </w:rPr>
            </w:pPr>
            <w:r>
              <w:rPr>
                <w:rFonts w:ascii="Times New Roman" w:cs="Times New Roman" w:eastAsia="Times New Roman" w:hAnsi="Times New Roman"/>
                <w:sz w:val="13"/>
                <w:szCs w:val="13"/>
                <w:color w:val="auto"/>
                <w:w w:val="97"/>
              </w:rPr>
              <w:t>1.30 %</w:t>
            </w:r>
          </w:p>
        </w:tc>
        <w:tc>
          <w:tcPr>
            <w:tcW w:w="100" w:type="dxa"/>
            <w:vAlign w:val="bottom"/>
          </w:tcPr>
          <w:p>
            <w:pPr>
              <w:spacing w:after="0"/>
              <w:rPr>
                <w:sz w:val="14"/>
                <w:szCs w:val="14"/>
                <w:color w:val="auto"/>
              </w:rPr>
            </w:pPr>
          </w:p>
        </w:tc>
        <w:tc>
          <w:tcPr>
            <w:tcW w:w="2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25,326</w:t>
            </w:r>
          </w:p>
        </w:tc>
        <w:tc>
          <w:tcPr>
            <w:tcW w:w="100" w:type="dxa"/>
            <w:vAlign w:val="bottom"/>
          </w:tcPr>
          <w:p>
            <w:pPr>
              <w:spacing w:after="0"/>
              <w:rPr>
                <w:sz w:val="14"/>
                <w:szCs w:val="14"/>
                <w:color w:val="auto"/>
              </w:rPr>
            </w:pPr>
          </w:p>
        </w:tc>
        <w:tc>
          <w:tcPr>
            <w:tcW w:w="860" w:type="dxa"/>
            <w:vAlign w:val="bottom"/>
          </w:tcPr>
          <w:p>
            <w:pPr>
              <w:ind w:left="480"/>
              <w:spacing w:after="0"/>
              <w:rPr>
                <w:sz w:val="20"/>
                <w:szCs w:val="20"/>
                <w:color w:val="auto"/>
              </w:rPr>
            </w:pPr>
            <w:r>
              <w:rPr>
                <w:rFonts w:ascii="Times New Roman" w:cs="Times New Roman" w:eastAsia="Times New Roman" w:hAnsi="Times New Roman"/>
                <w:sz w:val="13"/>
                <w:szCs w:val="13"/>
                <w:color w:val="auto"/>
                <w:w w:val="97"/>
              </w:rPr>
              <w:t>1.36 %</w:t>
            </w:r>
          </w:p>
        </w:tc>
        <w:tc>
          <w:tcPr>
            <w:tcW w:w="100" w:type="dxa"/>
            <w:vAlign w:val="bottom"/>
          </w:tcPr>
          <w:p>
            <w:pPr>
              <w:spacing w:after="0"/>
              <w:rPr>
                <w:sz w:val="14"/>
                <w:szCs w:val="14"/>
                <w:color w:val="auto"/>
              </w:rPr>
            </w:pPr>
          </w:p>
        </w:tc>
        <w:tc>
          <w:tcPr>
            <w:tcW w:w="2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gridSpan w:val="2"/>
          </w:tcPr>
          <w:p>
            <w:pPr>
              <w:ind w:left="580"/>
              <w:spacing w:after="0"/>
              <w:rPr>
                <w:sz w:val="20"/>
                <w:szCs w:val="20"/>
                <w:color w:val="auto"/>
              </w:rPr>
            </w:pPr>
            <w:r>
              <w:rPr>
                <w:rFonts w:ascii="Times New Roman" w:cs="Times New Roman" w:eastAsia="Times New Roman" w:hAnsi="Times New Roman"/>
                <w:sz w:val="13"/>
                <w:szCs w:val="13"/>
                <w:color w:val="auto"/>
              </w:rPr>
              <w:t>— %</w:t>
            </w:r>
          </w:p>
        </w:tc>
        <w:tc>
          <w:tcPr>
            <w:tcW w:w="1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166,380</w:t>
            </w:r>
          </w:p>
        </w:tc>
        <w:tc>
          <w:tcPr>
            <w:tcW w:w="1000" w:type="dxa"/>
            <w:vAlign w:val="bottom"/>
            <w:gridSpan w:val="3"/>
          </w:tcPr>
          <w:p>
            <w:pPr>
              <w:ind w:left="620"/>
              <w:spacing w:after="0"/>
              <w:rPr>
                <w:sz w:val="20"/>
                <w:szCs w:val="20"/>
                <w:color w:val="auto"/>
              </w:rPr>
            </w:pPr>
            <w:r>
              <w:rPr>
                <w:rFonts w:ascii="Times New Roman" w:cs="Times New Roman" w:eastAsia="Times New Roman" w:hAnsi="Times New Roman"/>
                <w:sz w:val="13"/>
                <w:szCs w:val="13"/>
                <w:color w:val="auto"/>
                <w:w w:val="97"/>
              </w:rPr>
              <w:t>1.31 %</w:t>
            </w:r>
          </w:p>
        </w:tc>
        <w:tc>
          <w:tcPr>
            <w:tcW w:w="0" w:type="dxa"/>
            <w:vAlign w:val="bottom"/>
          </w:tcPr>
          <w:p>
            <w:pPr>
              <w:spacing w:after="0"/>
              <w:rPr>
                <w:sz w:val="1"/>
                <w:szCs w:val="1"/>
                <w:color w:val="auto"/>
              </w:rPr>
            </w:pPr>
          </w:p>
        </w:tc>
      </w:tr>
      <w:tr>
        <w:trPr>
          <w:trHeight w:val="181"/>
        </w:trPr>
        <w:tc>
          <w:tcPr>
            <w:tcW w:w="22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1"/>
                <w:szCs w:val="11"/>
                <w:color w:val="auto"/>
              </w:rPr>
              <w:t>Obligations of states and municipalities</w:t>
            </w:r>
          </w:p>
        </w:tc>
        <w:tc>
          <w:tcPr>
            <w:tcW w:w="12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87,560</w:t>
            </w: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3"/>
                <w:szCs w:val="13"/>
                <w:color w:val="auto"/>
              </w:rPr>
              <w:t>2.96</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399,572</w:t>
            </w: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3"/>
                <w:szCs w:val="13"/>
                <w:color w:val="auto"/>
              </w:rPr>
              <w:t>2.43</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227,317</w:t>
            </w:r>
          </w:p>
        </w:tc>
        <w:tc>
          <w:tcPr>
            <w:tcW w:w="80" w:type="dxa"/>
            <w:vAlign w:val="bottom"/>
            <w:shd w:val="clear" w:color="auto" w:fill="CCEEFF"/>
          </w:tcPr>
          <w:p>
            <w:pPr>
              <w:spacing w:after="0"/>
              <w:rPr>
                <w:sz w:val="15"/>
                <w:szCs w:val="15"/>
                <w:color w:val="auto"/>
              </w:rPr>
            </w:pPr>
          </w:p>
        </w:tc>
        <w:tc>
          <w:tcPr>
            <w:tcW w:w="8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3"/>
                <w:szCs w:val="13"/>
                <w:color w:val="auto"/>
              </w:rPr>
              <w:t>2.68</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714,449</w:t>
            </w:r>
          </w:p>
        </w:tc>
        <w:tc>
          <w:tcPr>
            <w:tcW w:w="1000" w:type="dxa"/>
            <w:vAlign w:val="bottom"/>
            <w:gridSpan w:val="3"/>
            <w:shd w:val="clear" w:color="auto" w:fill="CCEEFF"/>
          </w:tcPr>
          <w:p>
            <w:pPr>
              <w:ind w:left="620"/>
              <w:spacing w:after="0"/>
              <w:rPr>
                <w:sz w:val="20"/>
                <w:szCs w:val="20"/>
                <w:color w:val="auto"/>
              </w:rPr>
            </w:pPr>
            <w:r>
              <w:rPr>
                <w:rFonts w:ascii="Times New Roman" w:cs="Times New Roman" w:eastAsia="Times New Roman" w:hAnsi="Times New Roman"/>
                <w:sz w:val="13"/>
                <w:szCs w:val="13"/>
                <w:color w:val="auto"/>
              </w:rPr>
              <w:t>2.58</w:t>
            </w:r>
          </w:p>
        </w:tc>
        <w:tc>
          <w:tcPr>
            <w:tcW w:w="0" w:type="dxa"/>
            <w:vAlign w:val="bottom"/>
          </w:tcPr>
          <w:p>
            <w:pPr>
              <w:spacing w:after="0"/>
              <w:rPr>
                <w:sz w:val="1"/>
                <w:szCs w:val="1"/>
                <w:color w:val="auto"/>
              </w:rPr>
            </w:pPr>
          </w:p>
        </w:tc>
      </w:tr>
      <w:tr>
        <w:trPr>
          <w:trHeight w:val="170"/>
        </w:trPr>
        <w:tc>
          <w:tcPr>
            <w:tcW w:w="2200" w:type="dxa"/>
            <w:vAlign w:val="bottom"/>
          </w:tcPr>
          <w:p>
            <w:pPr>
              <w:ind w:left="240"/>
              <w:spacing w:after="0"/>
              <w:rPr>
                <w:sz w:val="20"/>
                <w:szCs w:val="20"/>
                <w:color w:val="auto"/>
              </w:rPr>
            </w:pPr>
            <w:r>
              <w:rPr>
                <w:rFonts w:ascii="Times New Roman" w:cs="Times New Roman" w:eastAsia="Times New Roman" w:hAnsi="Times New Roman"/>
                <w:sz w:val="11"/>
                <w:szCs w:val="11"/>
                <w:color w:val="auto"/>
              </w:rPr>
              <w:t>Residential mortgage backed - agency</w:t>
            </w:r>
          </w:p>
        </w:tc>
        <w:tc>
          <w:tcPr>
            <w:tcW w:w="120" w:type="dxa"/>
            <w:vAlign w:val="bottom"/>
          </w:tcPr>
          <w:p>
            <w:pPr>
              <w:spacing w:after="0"/>
              <w:rPr>
                <w:sz w:val="14"/>
                <w:szCs w:val="14"/>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20,097</w:t>
            </w:r>
          </w:p>
        </w:tc>
        <w:tc>
          <w:tcPr>
            <w:tcW w:w="100" w:type="dxa"/>
            <w:vAlign w:val="bottom"/>
          </w:tcPr>
          <w:p>
            <w:pPr>
              <w:spacing w:after="0"/>
              <w:rPr>
                <w:sz w:val="14"/>
                <w:szCs w:val="14"/>
                <w:color w:val="auto"/>
              </w:rPr>
            </w:pPr>
          </w:p>
        </w:tc>
        <w:tc>
          <w:tcPr>
            <w:tcW w:w="860" w:type="dxa"/>
            <w:vAlign w:val="bottom"/>
          </w:tcPr>
          <w:p>
            <w:pPr>
              <w:ind w:left="480"/>
              <w:spacing w:after="0"/>
              <w:rPr>
                <w:sz w:val="20"/>
                <w:szCs w:val="20"/>
                <w:color w:val="auto"/>
              </w:rPr>
            </w:pPr>
            <w:r>
              <w:rPr>
                <w:rFonts w:ascii="Times New Roman" w:cs="Times New Roman" w:eastAsia="Times New Roman" w:hAnsi="Times New Roman"/>
                <w:sz w:val="13"/>
                <w:szCs w:val="13"/>
                <w:color w:val="auto"/>
              </w:rPr>
              <w:t>5.75</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28,424</w:t>
            </w:r>
          </w:p>
        </w:tc>
        <w:tc>
          <w:tcPr>
            <w:tcW w:w="100" w:type="dxa"/>
            <w:vAlign w:val="bottom"/>
          </w:tcPr>
          <w:p>
            <w:pPr>
              <w:spacing w:after="0"/>
              <w:rPr>
                <w:sz w:val="14"/>
                <w:szCs w:val="14"/>
                <w:color w:val="auto"/>
              </w:rPr>
            </w:pPr>
          </w:p>
        </w:tc>
        <w:tc>
          <w:tcPr>
            <w:tcW w:w="860" w:type="dxa"/>
            <w:vAlign w:val="bottom"/>
          </w:tcPr>
          <w:p>
            <w:pPr>
              <w:ind w:left="480"/>
              <w:spacing w:after="0"/>
              <w:rPr>
                <w:sz w:val="20"/>
                <w:szCs w:val="20"/>
                <w:color w:val="auto"/>
              </w:rPr>
            </w:pPr>
            <w:r>
              <w:rPr>
                <w:rFonts w:ascii="Times New Roman" w:cs="Times New Roman" w:eastAsia="Times New Roman" w:hAnsi="Times New Roman"/>
                <w:sz w:val="13"/>
                <w:szCs w:val="13"/>
                <w:color w:val="auto"/>
              </w:rPr>
              <w:t>2.79</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9,583</w:t>
            </w:r>
          </w:p>
        </w:tc>
        <w:tc>
          <w:tcPr>
            <w:tcW w:w="80" w:type="dxa"/>
            <w:vAlign w:val="bottom"/>
          </w:tcPr>
          <w:p>
            <w:pPr>
              <w:spacing w:after="0"/>
              <w:rPr>
                <w:sz w:val="14"/>
                <w:szCs w:val="14"/>
                <w:color w:val="auto"/>
              </w:rPr>
            </w:pPr>
          </w:p>
        </w:tc>
        <w:tc>
          <w:tcPr>
            <w:tcW w:w="880" w:type="dxa"/>
            <w:vAlign w:val="bottom"/>
          </w:tcPr>
          <w:p>
            <w:pPr>
              <w:jc w:val="right"/>
              <w:ind w:right="119"/>
              <w:spacing w:after="0"/>
              <w:rPr>
                <w:sz w:val="20"/>
                <w:szCs w:val="20"/>
                <w:color w:val="auto"/>
              </w:rPr>
            </w:pPr>
            <w:r>
              <w:rPr>
                <w:rFonts w:ascii="Times New Roman" w:cs="Times New Roman" w:eastAsia="Times New Roman" w:hAnsi="Times New Roman"/>
                <w:sz w:val="13"/>
                <w:szCs w:val="13"/>
                <w:color w:val="auto"/>
              </w:rPr>
              <w:t>4.31</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58,104</w:t>
            </w:r>
          </w:p>
        </w:tc>
        <w:tc>
          <w:tcPr>
            <w:tcW w:w="1000" w:type="dxa"/>
            <w:vAlign w:val="bottom"/>
            <w:gridSpan w:val="3"/>
          </w:tcPr>
          <w:p>
            <w:pPr>
              <w:ind w:left="620"/>
              <w:spacing w:after="0"/>
              <w:rPr>
                <w:sz w:val="20"/>
                <w:szCs w:val="20"/>
                <w:color w:val="auto"/>
              </w:rPr>
            </w:pPr>
            <w:r>
              <w:rPr>
                <w:rFonts w:ascii="Times New Roman" w:cs="Times New Roman" w:eastAsia="Times New Roman" w:hAnsi="Times New Roman"/>
                <w:sz w:val="13"/>
                <w:szCs w:val="13"/>
                <w:color w:val="auto"/>
              </w:rPr>
              <w:t>4.07</w:t>
            </w:r>
          </w:p>
        </w:tc>
        <w:tc>
          <w:tcPr>
            <w:tcW w:w="0" w:type="dxa"/>
            <w:vAlign w:val="bottom"/>
          </w:tcPr>
          <w:p>
            <w:pPr>
              <w:spacing w:after="0"/>
              <w:rPr>
                <w:sz w:val="1"/>
                <w:szCs w:val="1"/>
                <w:color w:val="auto"/>
              </w:rPr>
            </w:pPr>
          </w:p>
        </w:tc>
      </w:tr>
      <w:tr>
        <w:trPr>
          <w:trHeight w:val="181"/>
        </w:trPr>
        <w:tc>
          <w:tcPr>
            <w:tcW w:w="22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1"/>
                <w:szCs w:val="11"/>
                <w:color w:val="auto"/>
              </w:rPr>
              <w:t>Residential mortgage backed - non-agency</w:t>
            </w:r>
          </w:p>
        </w:tc>
        <w:tc>
          <w:tcPr>
            <w:tcW w:w="12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68,491</w:t>
            </w: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3"/>
                <w:szCs w:val="13"/>
                <w:color w:val="auto"/>
              </w:rPr>
              <w:t>4.40</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67,340</w:t>
            </w: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3"/>
                <w:szCs w:val="13"/>
                <w:color w:val="auto"/>
              </w:rPr>
              <w:t>3.92</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141,397</w:t>
            </w: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3"/>
                <w:szCs w:val="13"/>
                <w:color w:val="auto"/>
              </w:rPr>
              <w:t>3.94</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5,439</w:t>
            </w:r>
          </w:p>
        </w:tc>
        <w:tc>
          <w:tcPr>
            <w:tcW w:w="80" w:type="dxa"/>
            <w:vAlign w:val="bottom"/>
            <w:shd w:val="clear" w:color="auto" w:fill="CCEEFF"/>
          </w:tcPr>
          <w:p>
            <w:pPr>
              <w:spacing w:after="0"/>
              <w:rPr>
                <w:sz w:val="15"/>
                <w:szCs w:val="15"/>
                <w:color w:val="auto"/>
              </w:rPr>
            </w:pPr>
          </w:p>
        </w:tc>
        <w:tc>
          <w:tcPr>
            <w:tcW w:w="8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3"/>
                <w:szCs w:val="13"/>
                <w:color w:val="auto"/>
              </w:rPr>
              <w:t>5.57</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282,667</w:t>
            </w:r>
          </w:p>
        </w:tc>
        <w:tc>
          <w:tcPr>
            <w:tcW w:w="1000" w:type="dxa"/>
            <w:vAlign w:val="bottom"/>
            <w:gridSpan w:val="3"/>
            <w:shd w:val="clear" w:color="auto" w:fill="CCEEFF"/>
          </w:tcPr>
          <w:p>
            <w:pPr>
              <w:ind w:left="620"/>
              <w:spacing w:after="0"/>
              <w:rPr>
                <w:sz w:val="20"/>
                <w:szCs w:val="20"/>
                <w:color w:val="auto"/>
              </w:rPr>
            </w:pPr>
            <w:r>
              <w:rPr>
                <w:rFonts w:ascii="Times New Roman" w:cs="Times New Roman" w:eastAsia="Times New Roman" w:hAnsi="Times New Roman"/>
                <w:sz w:val="13"/>
                <w:szCs w:val="13"/>
                <w:color w:val="auto"/>
              </w:rPr>
              <w:t>4.08</w:t>
            </w:r>
          </w:p>
        </w:tc>
        <w:tc>
          <w:tcPr>
            <w:tcW w:w="0" w:type="dxa"/>
            <w:vAlign w:val="bottom"/>
          </w:tcPr>
          <w:p>
            <w:pPr>
              <w:spacing w:after="0"/>
              <w:rPr>
                <w:sz w:val="1"/>
                <w:szCs w:val="1"/>
                <w:color w:val="auto"/>
              </w:rPr>
            </w:pPr>
          </w:p>
        </w:tc>
      </w:tr>
      <w:tr>
        <w:trPr>
          <w:trHeight w:val="170"/>
        </w:trPr>
        <w:tc>
          <w:tcPr>
            <w:tcW w:w="2200" w:type="dxa"/>
            <w:vAlign w:val="bottom"/>
          </w:tcPr>
          <w:p>
            <w:pPr>
              <w:ind w:left="240"/>
              <w:spacing w:after="0"/>
              <w:rPr>
                <w:sz w:val="20"/>
                <w:szCs w:val="20"/>
                <w:color w:val="auto"/>
              </w:rPr>
            </w:pPr>
            <w:r>
              <w:rPr>
                <w:rFonts w:ascii="Times New Roman" w:cs="Times New Roman" w:eastAsia="Times New Roman" w:hAnsi="Times New Roman"/>
                <w:sz w:val="11"/>
                <w:szCs w:val="11"/>
                <w:color w:val="auto"/>
              </w:rPr>
              <w:t>Commercial mortgage backed - agency</w:t>
            </w:r>
          </w:p>
        </w:tc>
        <w:tc>
          <w:tcPr>
            <w:tcW w:w="1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45</w:t>
            </w:r>
          </w:p>
        </w:tc>
        <w:tc>
          <w:tcPr>
            <w:tcW w:w="100" w:type="dxa"/>
            <w:vAlign w:val="bottom"/>
          </w:tcPr>
          <w:p>
            <w:pPr>
              <w:spacing w:after="0"/>
              <w:rPr>
                <w:sz w:val="14"/>
                <w:szCs w:val="14"/>
                <w:color w:val="auto"/>
              </w:rPr>
            </w:pPr>
          </w:p>
        </w:tc>
        <w:tc>
          <w:tcPr>
            <w:tcW w:w="860" w:type="dxa"/>
            <w:vAlign w:val="bottom"/>
          </w:tcPr>
          <w:p>
            <w:pPr>
              <w:jc w:val="right"/>
              <w:ind w:right="99"/>
              <w:spacing w:after="0"/>
              <w:rPr>
                <w:sz w:val="20"/>
                <w:szCs w:val="20"/>
                <w:color w:val="auto"/>
              </w:rPr>
            </w:pPr>
            <w:r>
              <w:rPr>
                <w:rFonts w:ascii="Times New Roman" w:cs="Times New Roman" w:eastAsia="Times New Roman" w:hAnsi="Times New Roman"/>
                <w:sz w:val="13"/>
                <w:szCs w:val="13"/>
                <w:color w:val="auto"/>
              </w:rPr>
              <w:t>5.80</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26,548</w:t>
            </w:r>
          </w:p>
        </w:tc>
        <w:tc>
          <w:tcPr>
            <w:tcW w:w="100" w:type="dxa"/>
            <w:vAlign w:val="bottom"/>
          </w:tcPr>
          <w:p>
            <w:pPr>
              <w:spacing w:after="0"/>
              <w:rPr>
                <w:sz w:val="14"/>
                <w:szCs w:val="14"/>
                <w:color w:val="auto"/>
              </w:rPr>
            </w:pPr>
          </w:p>
        </w:tc>
        <w:tc>
          <w:tcPr>
            <w:tcW w:w="860" w:type="dxa"/>
            <w:vAlign w:val="bottom"/>
          </w:tcPr>
          <w:p>
            <w:pPr>
              <w:ind w:left="480"/>
              <w:spacing w:after="0"/>
              <w:rPr>
                <w:sz w:val="20"/>
                <w:szCs w:val="20"/>
                <w:color w:val="auto"/>
              </w:rPr>
            </w:pPr>
            <w:r>
              <w:rPr>
                <w:rFonts w:ascii="Times New Roman" w:cs="Times New Roman" w:eastAsia="Times New Roman" w:hAnsi="Times New Roman"/>
                <w:sz w:val="13"/>
                <w:szCs w:val="13"/>
                <w:color w:val="auto"/>
              </w:rPr>
              <w:t>5.48</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9,375</w:t>
            </w:r>
          </w:p>
        </w:tc>
        <w:tc>
          <w:tcPr>
            <w:tcW w:w="100" w:type="dxa"/>
            <w:vAlign w:val="bottom"/>
          </w:tcPr>
          <w:p>
            <w:pPr>
              <w:spacing w:after="0"/>
              <w:rPr>
                <w:sz w:val="14"/>
                <w:szCs w:val="14"/>
                <w:color w:val="auto"/>
              </w:rPr>
            </w:pPr>
          </w:p>
        </w:tc>
        <w:tc>
          <w:tcPr>
            <w:tcW w:w="860" w:type="dxa"/>
            <w:vAlign w:val="bottom"/>
          </w:tcPr>
          <w:p>
            <w:pPr>
              <w:ind w:left="480"/>
              <w:spacing w:after="0"/>
              <w:rPr>
                <w:sz w:val="20"/>
                <w:szCs w:val="20"/>
                <w:color w:val="auto"/>
              </w:rPr>
            </w:pPr>
            <w:r>
              <w:rPr>
                <w:rFonts w:ascii="Times New Roman" w:cs="Times New Roman" w:eastAsia="Times New Roman" w:hAnsi="Times New Roman"/>
                <w:sz w:val="13"/>
                <w:szCs w:val="13"/>
                <w:color w:val="auto"/>
              </w:rPr>
              <w:t>5.64</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35,968</w:t>
            </w:r>
          </w:p>
        </w:tc>
        <w:tc>
          <w:tcPr>
            <w:tcW w:w="1000" w:type="dxa"/>
            <w:vAlign w:val="bottom"/>
            <w:gridSpan w:val="3"/>
          </w:tcPr>
          <w:p>
            <w:pPr>
              <w:ind w:left="620"/>
              <w:spacing w:after="0"/>
              <w:rPr>
                <w:sz w:val="20"/>
                <w:szCs w:val="20"/>
                <w:color w:val="auto"/>
              </w:rPr>
            </w:pPr>
            <w:r>
              <w:rPr>
                <w:rFonts w:ascii="Times New Roman" w:cs="Times New Roman" w:eastAsia="Times New Roman" w:hAnsi="Times New Roman"/>
                <w:sz w:val="13"/>
                <w:szCs w:val="13"/>
                <w:color w:val="auto"/>
              </w:rPr>
              <w:t>5.52</w:t>
            </w:r>
          </w:p>
        </w:tc>
        <w:tc>
          <w:tcPr>
            <w:tcW w:w="0" w:type="dxa"/>
            <w:vAlign w:val="bottom"/>
          </w:tcPr>
          <w:p>
            <w:pPr>
              <w:spacing w:after="0"/>
              <w:rPr>
                <w:sz w:val="1"/>
                <w:szCs w:val="1"/>
                <w:color w:val="auto"/>
              </w:rPr>
            </w:pPr>
          </w:p>
        </w:tc>
      </w:tr>
      <w:tr>
        <w:trPr>
          <w:trHeight w:val="181"/>
        </w:trPr>
        <w:tc>
          <w:tcPr>
            <w:tcW w:w="22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1"/>
                <w:szCs w:val="11"/>
                <w:color w:val="auto"/>
              </w:rPr>
              <w:t>Commercial mortgage backed - non-agency</w:t>
            </w:r>
          </w:p>
        </w:tc>
        <w:tc>
          <w:tcPr>
            <w:tcW w:w="12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67,421</w:t>
            </w: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3"/>
                <w:szCs w:val="13"/>
                <w:color w:val="auto"/>
              </w:rPr>
              <w:t>5.22</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93,124</w:t>
            </w: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3"/>
                <w:szCs w:val="13"/>
                <w:color w:val="auto"/>
              </w:rPr>
              <w:t>4.24</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5,130</w:t>
            </w: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3"/>
                <w:szCs w:val="13"/>
                <w:color w:val="auto"/>
              </w:rPr>
              <w:t>1.43</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165,675</w:t>
            </w:r>
          </w:p>
        </w:tc>
        <w:tc>
          <w:tcPr>
            <w:tcW w:w="1000" w:type="dxa"/>
            <w:vAlign w:val="bottom"/>
            <w:gridSpan w:val="3"/>
            <w:shd w:val="clear" w:color="auto" w:fill="CCEEFF"/>
          </w:tcPr>
          <w:p>
            <w:pPr>
              <w:ind w:left="620"/>
              <w:spacing w:after="0"/>
              <w:rPr>
                <w:sz w:val="20"/>
                <w:szCs w:val="20"/>
                <w:color w:val="auto"/>
              </w:rPr>
            </w:pPr>
            <w:r>
              <w:rPr>
                <w:rFonts w:ascii="Times New Roman" w:cs="Times New Roman" w:eastAsia="Times New Roman" w:hAnsi="Times New Roman"/>
                <w:sz w:val="13"/>
                <w:szCs w:val="13"/>
                <w:color w:val="auto"/>
              </w:rPr>
              <w:t>4.55</w:t>
            </w:r>
          </w:p>
        </w:tc>
        <w:tc>
          <w:tcPr>
            <w:tcW w:w="0" w:type="dxa"/>
            <w:vAlign w:val="bottom"/>
          </w:tcPr>
          <w:p>
            <w:pPr>
              <w:spacing w:after="0"/>
              <w:rPr>
                <w:sz w:val="1"/>
                <w:szCs w:val="1"/>
                <w:color w:val="auto"/>
              </w:rPr>
            </w:pPr>
          </w:p>
        </w:tc>
      </w:tr>
      <w:tr>
        <w:trPr>
          <w:trHeight w:val="170"/>
        </w:trPr>
        <w:tc>
          <w:tcPr>
            <w:tcW w:w="2200" w:type="dxa"/>
            <w:vAlign w:val="bottom"/>
          </w:tcPr>
          <w:p>
            <w:pPr>
              <w:ind w:left="240"/>
              <w:spacing w:after="0"/>
              <w:rPr>
                <w:sz w:val="20"/>
                <w:szCs w:val="20"/>
                <w:color w:val="auto"/>
              </w:rPr>
            </w:pPr>
            <w:r>
              <w:rPr>
                <w:rFonts w:ascii="Times New Roman" w:cs="Times New Roman" w:eastAsia="Times New Roman" w:hAnsi="Times New Roman"/>
                <w:sz w:val="11"/>
                <w:szCs w:val="11"/>
                <w:color w:val="auto"/>
              </w:rPr>
              <w:t>Asset backed</w:t>
            </w:r>
          </w:p>
        </w:tc>
        <w:tc>
          <w:tcPr>
            <w:tcW w:w="1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3,437</w:t>
            </w:r>
          </w:p>
        </w:tc>
        <w:tc>
          <w:tcPr>
            <w:tcW w:w="100" w:type="dxa"/>
            <w:vAlign w:val="bottom"/>
          </w:tcPr>
          <w:p>
            <w:pPr>
              <w:spacing w:after="0"/>
              <w:rPr>
                <w:sz w:val="14"/>
                <w:szCs w:val="14"/>
                <w:color w:val="auto"/>
              </w:rPr>
            </w:pPr>
          </w:p>
        </w:tc>
        <w:tc>
          <w:tcPr>
            <w:tcW w:w="860" w:type="dxa"/>
            <w:vAlign w:val="bottom"/>
          </w:tcPr>
          <w:p>
            <w:pPr>
              <w:jc w:val="right"/>
              <w:ind w:right="99"/>
              <w:spacing w:after="0"/>
              <w:rPr>
                <w:sz w:val="20"/>
                <w:szCs w:val="20"/>
                <w:color w:val="auto"/>
              </w:rPr>
            </w:pPr>
            <w:r>
              <w:rPr>
                <w:rFonts w:ascii="Times New Roman" w:cs="Times New Roman" w:eastAsia="Times New Roman" w:hAnsi="Times New Roman"/>
                <w:sz w:val="13"/>
                <w:szCs w:val="13"/>
                <w:color w:val="auto"/>
              </w:rPr>
              <w:t>5.66</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35,543</w:t>
            </w:r>
          </w:p>
        </w:tc>
        <w:tc>
          <w:tcPr>
            <w:tcW w:w="100" w:type="dxa"/>
            <w:vAlign w:val="bottom"/>
          </w:tcPr>
          <w:p>
            <w:pPr>
              <w:spacing w:after="0"/>
              <w:rPr>
                <w:sz w:val="14"/>
                <w:szCs w:val="14"/>
                <w:color w:val="auto"/>
              </w:rPr>
            </w:pPr>
          </w:p>
        </w:tc>
        <w:tc>
          <w:tcPr>
            <w:tcW w:w="860" w:type="dxa"/>
            <w:vAlign w:val="bottom"/>
          </w:tcPr>
          <w:p>
            <w:pPr>
              <w:ind w:left="480"/>
              <w:spacing w:after="0"/>
              <w:rPr>
                <w:sz w:val="20"/>
                <w:szCs w:val="20"/>
                <w:color w:val="auto"/>
              </w:rPr>
            </w:pPr>
            <w:r>
              <w:rPr>
                <w:rFonts w:ascii="Times New Roman" w:cs="Times New Roman" w:eastAsia="Times New Roman" w:hAnsi="Times New Roman"/>
                <w:sz w:val="13"/>
                <w:szCs w:val="13"/>
                <w:color w:val="auto"/>
              </w:rPr>
              <w:t>6.58</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38,588</w:t>
            </w:r>
          </w:p>
        </w:tc>
        <w:tc>
          <w:tcPr>
            <w:tcW w:w="100" w:type="dxa"/>
            <w:vAlign w:val="bottom"/>
          </w:tcPr>
          <w:p>
            <w:pPr>
              <w:spacing w:after="0"/>
              <w:rPr>
                <w:sz w:val="14"/>
                <w:szCs w:val="14"/>
                <w:color w:val="auto"/>
              </w:rPr>
            </w:pPr>
          </w:p>
        </w:tc>
        <w:tc>
          <w:tcPr>
            <w:tcW w:w="860" w:type="dxa"/>
            <w:vAlign w:val="bottom"/>
          </w:tcPr>
          <w:p>
            <w:pPr>
              <w:ind w:left="480"/>
              <w:spacing w:after="0"/>
              <w:rPr>
                <w:sz w:val="20"/>
                <w:szCs w:val="20"/>
                <w:color w:val="auto"/>
              </w:rPr>
            </w:pPr>
            <w:r>
              <w:rPr>
                <w:rFonts w:ascii="Times New Roman" w:cs="Times New Roman" w:eastAsia="Times New Roman" w:hAnsi="Times New Roman"/>
                <w:sz w:val="13"/>
                <w:szCs w:val="13"/>
                <w:color w:val="auto"/>
              </w:rPr>
              <w:t>6.47</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77,568</w:t>
            </w:r>
          </w:p>
        </w:tc>
        <w:tc>
          <w:tcPr>
            <w:tcW w:w="1000" w:type="dxa"/>
            <w:vAlign w:val="bottom"/>
            <w:gridSpan w:val="3"/>
          </w:tcPr>
          <w:p>
            <w:pPr>
              <w:ind w:left="620"/>
              <w:spacing w:after="0"/>
              <w:rPr>
                <w:sz w:val="20"/>
                <w:szCs w:val="20"/>
                <w:color w:val="auto"/>
              </w:rPr>
            </w:pPr>
            <w:r>
              <w:rPr>
                <w:rFonts w:ascii="Times New Roman" w:cs="Times New Roman" w:eastAsia="Times New Roman" w:hAnsi="Times New Roman"/>
                <w:sz w:val="13"/>
                <w:szCs w:val="13"/>
                <w:color w:val="auto"/>
              </w:rPr>
              <w:t>6.48</w:t>
            </w:r>
          </w:p>
        </w:tc>
        <w:tc>
          <w:tcPr>
            <w:tcW w:w="0" w:type="dxa"/>
            <w:vAlign w:val="bottom"/>
          </w:tcPr>
          <w:p>
            <w:pPr>
              <w:spacing w:after="0"/>
              <w:rPr>
                <w:sz w:val="1"/>
                <w:szCs w:val="1"/>
                <w:color w:val="auto"/>
              </w:rPr>
            </w:pPr>
          </w:p>
        </w:tc>
      </w:tr>
      <w:tr>
        <w:trPr>
          <w:trHeight w:val="181"/>
        </w:trPr>
        <w:tc>
          <w:tcPr>
            <w:tcW w:w="22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1"/>
                <w:szCs w:val="11"/>
                <w:color w:val="auto"/>
              </w:rPr>
              <w:t>Other</w:t>
            </w:r>
          </w:p>
        </w:tc>
        <w:tc>
          <w:tcPr>
            <w:tcW w:w="12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2,730</w:t>
            </w: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3"/>
                <w:szCs w:val="13"/>
                <w:color w:val="auto"/>
              </w:rPr>
              <w:t>8.29</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21,197</w:t>
            </w: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3"/>
                <w:szCs w:val="13"/>
                <w:color w:val="auto"/>
              </w:rPr>
              <w:t>5.88</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14,373</w:t>
            </w:r>
          </w:p>
        </w:tc>
        <w:tc>
          <w:tcPr>
            <w:tcW w:w="80" w:type="dxa"/>
            <w:vAlign w:val="bottom"/>
            <w:shd w:val="clear" w:color="auto" w:fill="CCEEFF"/>
          </w:tcPr>
          <w:p>
            <w:pPr>
              <w:spacing w:after="0"/>
              <w:rPr>
                <w:sz w:val="15"/>
                <w:szCs w:val="15"/>
                <w:color w:val="auto"/>
              </w:rPr>
            </w:pPr>
          </w:p>
        </w:tc>
        <w:tc>
          <w:tcPr>
            <w:tcW w:w="8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3"/>
                <w:szCs w:val="13"/>
                <w:color w:val="auto"/>
              </w:rPr>
              <w:t>9.15</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38,300</w:t>
            </w:r>
          </w:p>
        </w:tc>
        <w:tc>
          <w:tcPr>
            <w:tcW w:w="1000" w:type="dxa"/>
            <w:vAlign w:val="bottom"/>
            <w:gridSpan w:val="3"/>
            <w:shd w:val="clear" w:color="auto" w:fill="CCEEFF"/>
          </w:tcPr>
          <w:p>
            <w:pPr>
              <w:ind w:left="620"/>
              <w:spacing w:after="0"/>
              <w:rPr>
                <w:sz w:val="20"/>
                <w:szCs w:val="20"/>
                <w:color w:val="auto"/>
              </w:rPr>
            </w:pPr>
            <w:r>
              <w:rPr>
                <w:rFonts w:ascii="Times New Roman" w:cs="Times New Roman" w:eastAsia="Times New Roman" w:hAnsi="Times New Roman"/>
                <w:sz w:val="13"/>
                <w:szCs w:val="13"/>
                <w:color w:val="auto"/>
              </w:rPr>
              <w:t>7.28</w:t>
            </w:r>
          </w:p>
        </w:tc>
        <w:tc>
          <w:tcPr>
            <w:tcW w:w="0" w:type="dxa"/>
            <w:vAlign w:val="bottom"/>
          </w:tcPr>
          <w:p>
            <w:pPr>
              <w:spacing w:after="0"/>
              <w:rPr>
                <w:sz w:val="1"/>
                <w:szCs w:val="1"/>
                <w:color w:val="auto"/>
              </w:rPr>
            </w:pPr>
          </w:p>
        </w:tc>
      </w:tr>
      <w:tr>
        <w:trPr>
          <w:trHeight w:val="163"/>
        </w:trPr>
        <w:tc>
          <w:tcPr>
            <w:tcW w:w="22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Total</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139,394</w:t>
            </w:r>
          </w:p>
        </w:tc>
        <w:tc>
          <w:tcPr>
            <w:tcW w:w="100" w:type="dxa"/>
            <w:vAlign w:val="bottom"/>
          </w:tcPr>
          <w:p>
            <w:pPr>
              <w:spacing w:after="0"/>
              <w:rPr>
                <w:sz w:val="14"/>
                <w:szCs w:val="14"/>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4.83 %</w:t>
            </w:r>
          </w:p>
        </w:tc>
        <w:tc>
          <w:tcPr>
            <w:tcW w:w="100" w:type="dxa"/>
            <w:vAlign w:val="bottom"/>
          </w:tcPr>
          <w:p>
            <w:pPr>
              <w:spacing w:after="0"/>
              <w:rPr>
                <w:sz w:val="14"/>
                <w:szCs w:val="14"/>
                <w:color w:val="auto"/>
              </w:rPr>
            </w:pPr>
          </w:p>
        </w:tc>
        <w:tc>
          <w:tcPr>
            <w:tcW w:w="1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473,996</w:t>
            </w:r>
          </w:p>
        </w:tc>
        <w:tc>
          <w:tcPr>
            <w:tcW w:w="100" w:type="dxa"/>
            <w:vAlign w:val="bottom"/>
          </w:tcPr>
          <w:p>
            <w:pPr>
              <w:spacing w:after="0"/>
              <w:rPr>
                <w:sz w:val="14"/>
                <w:szCs w:val="14"/>
                <w:color w:val="auto"/>
              </w:rPr>
            </w:pPr>
          </w:p>
        </w:tc>
        <w:tc>
          <w:tcPr>
            <w:tcW w:w="860" w:type="dxa"/>
            <w:vAlign w:val="bottom"/>
            <w:tcBorders>
              <w:top w:val="single" w:sz="8" w:color="auto"/>
              <w:bottom w:val="single" w:sz="8" w:color="auto"/>
            </w:tcBorders>
          </w:tcPr>
          <w:p>
            <w:pPr>
              <w:ind w:left="480"/>
              <w:spacing w:after="0"/>
              <w:rPr>
                <w:sz w:val="20"/>
                <w:szCs w:val="20"/>
                <w:color w:val="auto"/>
              </w:rPr>
            </w:pPr>
            <w:r>
              <w:rPr>
                <w:rFonts w:ascii="Times New Roman" w:cs="Times New Roman" w:eastAsia="Times New Roman" w:hAnsi="Times New Roman"/>
                <w:sz w:val="13"/>
                <w:szCs w:val="13"/>
                <w:color w:val="auto"/>
                <w:w w:val="97"/>
              </w:rPr>
              <w:t>3.42 %</w:t>
            </w:r>
          </w:p>
        </w:tc>
        <w:tc>
          <w:tcPr>
            <w:tcW w:w="100" w:type="dxa"/>
            <w:vAlign w:val="bottom"/>
          </w:tcPr>
          <w:p>
            <w:pPr>
              <w:spacing w:after="0"/>
              <w:rPr>
                <w:sz w:val="14"/>
                <w:szCs w:val="14"/>
                <w:color w:val="auto"/>
              </w:rPr>
            </w:pPr>
          </w:p>
        </w:tc>
        <w:tc>
          <w:tcPr>
            <w:tcW w:w="2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669,009</w:t>
            </w:r>
          </w:p>
        </w:tc>
        <w:tc>
          <w:tcPr>
            <w:tcW w:w="100" w:type="dxa"/>
            <w:vAlign w:val="bottom"/>
          </w:tcPr>
          <w:p>
            <w:pPr>
              <w:spacing w:after="0"/>
              <w:rPr>
                <w:sz w:val="14"/>
                <w:szCs w:val="14"/>
                <w:color w:val="auto"/>
              </w:rPr>
            </w:pPr>
          </w:p>
        </w:tc>
        <w:tc>
          <w:tcPr>
            <w:tcW w:w="860" w:type="dxa"/>
            <w:vAlign w:val="bottom"/>
            <w:tcBorders>
              <w:top w:val="single" w:sz="8" w:color="auto"/>
              <w:bottom w:val="single" w:sz="8" w:color="auto"/>
            </w:tcBorders>
          </w:tcPr>
          <w:p>
            <w:pPr>
              <w:ind w:left="480"/>
              <w:spacing w:after="0"/>
              <w:rPr>
                <w:sz w:val="20"/>
                <w:szCs w:val="20"/>
                <w:color w:val="auto"/>
              </w:rPr>
            </w:pPr>
            <w:r>
              <w:rPr>
                <w:rFonts w:ascii="Times New Roman" w:cs="Times New Roman" w:eastAsia="Times New Roman" w:hAnsi="Times New Roman"/>
                <w:sz w:val="13"/>
                <w:szCs w:val="13"/>
                <w:color w:val="auto"/>
                <w:w w:val="97"/>
              </w:rPr>
              <w:t>3.11 %</w:t>
            </w:r>
          </w:p>
        </w:tc>
        <w:tc>
          <w:tcPr>
            <w:tcW w:w="100" w:type="dxa"/>
            <w:vAlign w:val="bottom"/>
          </w:tcPr>
          <w:p>
            <w:pPr>
              <w:spacing w:after="0"/>
              <w:rPr>
                <w:sz w:val="14"/>
                <w:szCs w:val="14"/>
                <w:color w:val="auto"/>
              </w:rPr>
            </w:pPr>
          </w:p>
        </w:tc>
        <w:tc>
          <w:tcPr>
            <w:tcW w:w="2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256,712</w:t>
            </w:r>
          </w:p>
        </w:tc>
        <w:tc>
          <w:tcPr>
            <w:tcW w:w="80" w:type="dxa"/>
            <w:vAlign w:val="bottom"/>
          </w:tcPr>
          <w:p>
            <w:pPr>
              <w:spacing w:after="0"/>
              <w:rPr>
                <w:sz w:val="14"/>
                <w:szCs w:val="14"/>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3.17 %</w:t>
            </w:r>
          </w:p>
        </w:tc>
        <w:tc>
          <w:tcPr>
            <w:tcW w:w="80" w:type="dxa"/>
            <w:vAlign w:val="bottom"/>
          </w:tcPr>
          <w:p>
            <w:pPr>
              <w:spacing w:after="0"/>
              <w:rPr>
                <w:sz w:val="14"/>
                <w:szCs w:val="14"/>
                <w:color w:val="auto"/>
              </w:rPr>
            </w:pPr>
          </w:p>
        </w:tc>
        <w:tc>
          <w:tcPr>
            <w:tcW w:w="1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1,539,111</w:t>
            </w:r>
          </w:p>
        </w:tc>
        <w:tc>
          <w:tcPr>
            <w:tcW w:w="20" w:type="dxa"/>
            <w:vAlign w:val="bottom"/>
            <w:tcBorders>
              <w:top w:val="single" w:sz="8" w:color="auto"/>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Borders>
              <w:top w:val="single" w:sz="8" w:color="auto"/>
              <w:bottom w:val="single" w:sz="8" w:color="auto"/>
            </w:tcBorders>
          </w:tcPr>
          <w:p>
            <w:pPr>
              <w:ind w:left="500"/>
              <w:spacing w:after="0"/>
              <w:rPr>
                <w:sz w:val="20"/>
                <w:szCs w:val="20"/>
                <w:color w:val="auto"/>
              </w:rPr>
            </w:pPr>
            <w:r>
              <w:rPr>
                <w:rFonts w:ascii="Times New Roman" w:cs="Times New Roman" w:eastAsia="Times New Roman" w:hAnsi="Times New Roman"/>
                <w:sz w:val="13"/>
                <w:szCs w:val="13"/>
                <w:color w:val="auto"/>
                <w:w w:val="97"/>
              </w:rPr>
              <w:t>3.37 %</w:t>
            </w:r>
          </w:p>
        </w:tc>
        <w:tc>
          <w:tcPr>
            <w:tcW w:w="0" w:type="dxa"/>
            <w:vAlign w:val="bottom"/>
          </w:tcPr>
          <w:p>
            <w:pPr>
              <w:spacing w:after="0"/>
              <w:rPr>
                <w:sz w:val="1"/>
                <w:szCs w:val="1"/>
                <w:color w:val="auto"/>
              </w:rPr>
            </w:pPr>
          </w:p>
        </w:tc>
      </w:tr>
    </w:tbl>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Lending Activities</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Our loan portfolio consists primarily of commercial real estate loans, but we offer a variety of products to meet the credit needs of our borrowers. The risks associated with lending activities differ among loan classes and are subject to the impact of changes in interest rates, market conditions of collateral securing the loans, and general economic conditions. Any of these factors may adversely impact a borrower’s ability to repay loans and also impact the associated collateral. Additional discussion on the classes of loans the Company makes and related risks is included in </w:t>
      </w:r>
      <w:r>
        <w:rPr>
          <w:rFonts w:ascii="Times New Roman" w:cs="Times New Roman" w:eastAsia="Times New Roman" w:hAnsi="Times New Roman"/>
          <w:sz w:val="18"/>
          <w:szCs w:val="18"/>
          <w:u w:val="single" w:color="auto"/>
          <w:color w:val="0000FF"/>
        </w:rPr>
        <w:t>Note 3 — Loans</w:t>
      </w:r>
      <w:r>
        <w:rPr>
          <w:rFonts w:ascii="Times New Roman" w:cs="Times New Roman" w:eastAsia="Times New Roman" w:hAnsi="Times New Roman"/>
          <w:sz w:val="18"/>
          <w:szCs w:val="18"/>
          <w:color w:val="auto"/>
        </w:rPr>
        <w:t xml:space="preserve"> in Notes to Consolidated Financial Statements.</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set forth the composition of our loan portfolio as of the dates indicated (in thousands):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80" w:type="dxa"/>
            <w:vAlign w:val="bottom"/>
            <w:gridSpan w:val="2"/>
          </w:tcPr>
          <w:p>
            <w:pPr>
              <w:ind w:left="180"/>
              <w:spacing w:after="0"/>
              <w:rPr>
                <w:sz w:val="20"/>
                <w:szCs w:val="20"/>
                <w:color w:val="auto"/>
              </w:rPr>
            </w:pPr>
            <w:r>
              <w:rPr>
                <w:rFonts w:ascii="Times New Roman" w:cs="Times New Roman" w:eastAsia="Times New Roman" w:hAnsi="Times New Roman"/>
                <w:sz w:val="16"/>
                <w:szCs w:val="16"/>
                <w:b w:val="1"/>
                <w:bCs w:val="1"/>
                <w:color w:val="auto"/>
              </w:rPr>
              <w:t>June 30, 2024</w:t>
            </w:r>
          </w:p>
        </w:tc>
        <w:tc>
          <w:tcPr>
            <w:tcW w:w="200" w:type="dxa"/>
            <w:vAlign w:val="bottom"/>
          </w:tcPr>
          <w:p>
            <w:pPr>
              <w:spacing w:after="0"/>
              <w:rPr>
                <w:sz w:val="18"/>
                <w:szCs w:val="18"/>
                <w:color w:val="auto"/>
              </w:rPr>
            </w:pPr>
          </w:p>
        </w:tc>
        <w:tc>
          <w:tcPr>
            <w:tcW w:w="1700" w:type="dxa"/>
            <w:vAlign w:val="bottom"/>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December 31, 2023</w:t>
            </w:r>
          </w:p>
        </w:tc>
      </w:tr>
      <w:tr>
        <w:trPr>
          <w:trHeight w:val="240"/>
        </w:trPr>
        <w:tc>
          <w:tcPr>
            <w:tcW w:w="73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Commercial real estate</w:t>
            </w:r>
          </w:p>
        </w:tc>
        <w:tc>
          <w:tcPr>
            <w:tcW w:w="300" w:type="dxa"/>
            <w:vAlign w:val="bottom"/>
            <w:tcBorders>
              <w:top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2,543,668</w:t>
            </w:r>
          </w:p>
        </w:tc>
        <w:tc>
          <w:tcPr>
            <w:tcW w:w="80" w:type="dxa"/>
            <w:vAlign w:val="bottom"/>
            <w:tcBorders>
              <w:top w:val="single" w:sz="8" w:color="CCEEFF"/>
            </w:tcBorders>
            <w:shd w:val="clear" w:color="auto" w:fill="CCEEFF"/>
          </w:tcPr>
          <w:p>
            <w:pPr>
              <w:spacing w:after="0"/>
              <w:rPr>
                <w:sz w:val="20"/>
                <w:szCs w:val="20"/>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1,309,084</w:t>
            </w:r>
          </w:p>
        </w:tc>
      </w:tr>
      <w:tr>
        <w:trPr>
          <w:trHeight w:val="233"/>
        </w:trPr>
        <w:tc>
          <w:tcPr>
            <w:tcW w:w="7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Owner-occupied commercial real estate</w:t>
            </w:r>
          </w:p>
        </w:tc>
        <w:tc>
          <w:tcPr>
            <w:tcW w:w="30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626,375</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131,381</w:t>
            </w:r>
          </w:p>
        </w:tc>
      </w:tr>
      <w:tr>
        <w:trPr>
          <w:trHeight w:val="253"/>
        </w:trPr>
        <w:tc>
          <w:tcPr>
            <w:tcW w:w="7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Acquisition, construction &amp; development</w:t>
            </w:r>
          </w:p>
        </w:tc>
        <w:tc>
          <w:tcPr>
            <w:tcW w:w="300" w:type="dxa"/>
            <w:vAlign w:val="bottom"/>
            <w:shd w:val="clear" w:color="auto" w:fill="CCEEFF"/>
          </w:tcPr>
          <w:p>
            <w:pPr>
              <w:spacing w:after="0"/>
              <w:rPr>
                <w:sz w:val="21"/>
                <w:szCs w:val="21"/>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479,937</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49,091</w:t>
            </w:r>
          </w:p>
        </w:tc>
      </w:tr>
      <w:tr>
        <w:trPr>
          <w:trHeight w:val="233"/>
        </w:trPr>
        <w:tc>
          <w:tcPr>
            <w:tcW w:w="7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Commercial &amp; industrial</w:t>
            </w:r>
          </w:p>
        </w:tc>
        <w:tc>
          <w:tcPr>
            <w:tcW w:w="30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499,892</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67,847</w:t>
            </w:r>
          </w:p>
        </w:tc>
      </w:tr>
      <w:tr>
        <w:trPr>
          <w:trHeight w:val="253"/>
        </w:trPr>
        <w:tc>
          <w:tcPr>
            <w:tcW w:w="7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Single family residential (1-4 units)</w:t>
            </w:r>
          </w:p>
        </w:tc>
        <w:tc>
          <w:tcPr>
            <w:tcW w:w="300" w:type="dxa"/>
            <w:vAlign w:val="bottom"/>
            <w:shd w:val="clear" w:color="auto" w:fill="CCEEFF"/>
          </w:tcPr>
          <w:p>
            <w:pPr>
              <w:spacing w:after="0"/>
              <w:rPr>
                <w:sz w:val="21"/>
                <w:szCs w:val="21"/>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1,219,984</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527,980</w:t>
            </w:r>
          </w:p>
        </w:tc>
      </w:tr>
      <w:tr>
        <w:trPr>
          <w:trHeight w:val="237"/>
        </w:trPr>
        <w:tc>
          <w:tcPr>
            <w:tcW w:w="7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Consumer non-real estate and other</w:t>
            </w:r>
          </w:p>
        </w:tc>
        <w:tc>
          <w:tcPr>
            <w:tcW w:w="30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246,868</w:t>
            </w:r>
          </w:p>
        </w:tc>
        <w:tc>
          <w:tcPr>
            <w:tcW w:w="8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2,373</w:t>
            </w:r>
          </w:p>
        </w:tc>
      </w:tr>
      <w:tr>
        <w:trPr>
          <w:trHeight w:val="229"/>
        </w:trPr>
        <w:tc>
          <w:tcPr>
            <w:tcW w:w="7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Loans, gross</w:t>
            </w:r>
          </w:p>
        </w:tc>
        <w:tc>
          <w:tcPr>
            <w:tcW w:w="30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5,616,724</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2,087,756</w:t>
            </w:r>
          </w:p>
        </w:tc>
      </w:tr>
      <w:tr>
        <w:trPr>
          <w:trHeight w:val="220"/>
        </w:trPr>
        <w:tc>
          <w:tcPr>
            <w:tcW w:w="7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Allowance for credit losses</w:t>
            </w:r>
          </w:p>
        </w:tc>
        <w:tc>
          <w:tcPr>
            <w:tcW w:w="30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(68,017)</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(25,301)</w:t>
            </w:r>
          </w:p>
        </w:tc>
      </w:tr>
      <w:tr>
        <w:trPr>
          <w:trHeight w:val="233"/>
        </w:trPr>
        <w:tc>
          <w:tcPr>
            <w:tcW w:w="7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Loans, net</w:t>
            </w: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5,548,707</w:t>
            </w:r>
          </w:p>
        </w:tc>
        <w:tc>
          <w:tcPr>
            <w:tcW w:w="80" w:type="dxa"/>
            <w:vAlign w:val="bottom"/>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2,062,455</w:t>
            </w:r>
          </w:p>
        </w:tc>
      </w:tr>
    </w:tbl>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loan portfolio, excluding ACL, at June 30, 2024, increased by $3.53 billion primarily due to the Merger.</w:t>
      </w:r>
    </w:p>
    <w:p>
      <w:pPr>
        <w:spacing w:after="0" w:line="17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table shows the maturity distribution for total loans outstanding as of June 30, 2024. The maturity distribution is grouped by remaining scheduled principal payments that are due in the following periods. The principal balance of loans is indicated by both fixed and floating rate categories in the table below (in thousands).</w:t>
      </w:r>
    </w:p>
    <w:p>
      <w:pPr>
        <w:spacing w:after="0" w:line="156" w:lineRule="exact"/>
        <w:rPr>
          <w:sz w:val="20"/>
          <w:szCs w:val="20"/>
          <w:color w:val="auto"/>
        </w:rPr>
      </w:pPr>
    </w:p>
    <w:p>
      <w:pPr>
        <w:ind w:left="6460"/>
        <w:spacing w:after="0"/>
        <w:rPr>
          <w:sz w:val="20"/>
          <w:szCs w:val="20"/>
          <w:color w:val="auto"/>
        </w:rPr>
      </w:pPr>
      <w:r>
        <w:rPr>
          <w:rFonts w:ascii="Times New Roman" w:cs="Times New Roman" w:eastAsia="Times New Roman" w:hAnsi="Times New Roman"/>
          <w:sz w:val="14"/>
          <w:szCs w:val="14"/>
          <w:b w:val="1"/>
          <w:bCs w:val="1"/>
          <w:color w:val="auto"/>
        </w:rPr>
        <w:t>June 30, 2024</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5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820" w:type="dxa"/>
            <w:vAlign w:val="bottom"/>
            <w:tcBorders>
              <w:top w:val="single" w:sz="8" w:color="auto"/>
            </w:tcBorders>
            <w:gridSpan w:val="5"/>
          </w:tcPr>
          <w:p>
            <w:pPr>
              <w:ind w:left="360"/>
              <w:spacing w:after="0"/>
              <w:rPr>
                <w:sz w:val="20"/>
                <w:szCs w:val="20"/>
                <w:color w:val="auto"/>
              </w:rPr>
            </w:pPr>
            <w:r>
              <w:rPr>
                <w:rFonts w:ascii="Times New Roman" w:cs="Times New Roman" w:eastAsia="Times New Roman" w:hAnsi="Times New Roman"/>
                <w:sz w:val="13"/>
                <w:szCs w:val="13"/>
                <w:b w:val="1"/>
                <w:bCs w:val="1"/>
                <w:color w:val="auto"/>
              </w:rPr>
              <w:t>Within One Year</w:t>
            </w:r>
          </w:p>
        </w:tc>
        <w:tc>
          <w:tcPr>
            <w:tcW w:w="120" w:type="dxa"/>
            <w:vAlign w:val="bottom"/>
            <w:tcBorders>
              <w:top w:val="single" w:sz="8" w:color="auto"/>
            </w:tcBorders>
          </w:tcPr>
          <w:p>
            <w:pPr>
              <w:spacing w:after="0"/>
              <w:rPr>
                <w:sz w:val="16"/>
                <w:szCs w:val="16"/>
                <w:color w:val="auto"/>
              </w:rPr>
            </w:pPr>
          </w:p>
        </w:tc>
        <w:tc>
          <w:tcPr>
            <w:tcW w:w="1840" w:type="dxa"/>
            <w:vAlign w:val="bottom"/>
            <w:tcBorders>
              <w:top w:val="single" w:sz="8" w:color="auto"/>
            </w:tcBorders>
            <w:gridSpan w:val="5"/>
          </w:tcPr>
          <w:p>
            <w:pPr>
              <w:ind w:left="200"/>
              <w:spacing w:after="0"/>
              <w:rPr>
                <w:sz w:val="20"/>
                <w:szCs w:val="20"/>
                <w:color w:val="auto"/>
              </w:rPr>
            </w:pPr>
            <w:r>
              <w:rPr>
                <w:rFonts w:ascii="Times New Roman" w:cs="Times New Roman" w:eastAsia="Times New Roman" w:hAnsi="Times New Roman"/>
                <w:sz w:val="13"/>
                <w:szCs w:val="13"/>
                <w:b w:val="1"/>
                <w:bCs w:val="1"/>
                <w:color w:val="auto"/>
              </w:rPr>
              <w:t>One Year to Five Years</w:t>
            </w:r>
          </w:p>
        </w:tc>
        <w:tc>
          <w:tcPr>
            <w:tcW w:w="100" w:type="dxa"/>
            <w:vAlign w:val="bottom"/>
            <w:tcBorders>
              <w:top w:val="single" w:sz="8" w:color="auto"/>
            </w:tcBorders>
          </w:tcPr>
          <w:p>
            <w:pPr>
              <w:spacing w:after="0"/>
              <w:rPr>
                <w:sz w:val="16"/>
                <w:szCs w:val="16"/>
                <w:color w:val="auto"/>
              </w:rPr>
            </w:pPr>
          </w:p>
        </w:tc>
        <w:tc>
          <w:tcPr>
            <w:tcW w:w="1840" w:type="dxa"/>
            <w:vAlign w:val="bottom"/>
            <w:tcBorders>
              <w:top w:val="single" w:sz="8" w:color="auto"/>
            </w:tcBorders>
            <w:gridSpan w:val="5"/>
          </w:tcPr>
          <w:p>
            <w:pPr>
              <w:ind w:left="220"/>
              <w:spacing w:after="0"/>
              <w:rPr>
                <w:sz w:val="20"/>
                <w:szCs w:val="20"/>
                <w:color w:val="auto"/>
              </w:rPr>
            </w:pPr>
            <w:r>
              <w:rPr>
                <w:rFonts w:ascii="Times New Roman" w:cs="Times New Roman" w:eastAsia="Times New Roman" w:hAnsi="Times New Roman"/>
                <w:sz w:val="13"/>
                <w:szCs w:val="13"/>
                <w:b w:val="1"/>
                <w:bCs w:val="1"/>
                <w:color w:val="auto"/>
              </w:rPr>
              <w:t>Five Years to 15 Years</w:t>
            </w:r>
          </w:p>
        </w:tc>
        <w:tc>
          <w:tcPr>
            <w:tcW w:w="100" w:type="dxa"/>
            <w:vAlign w:val="bottom"/>
            <w:tcBorders>
              <w:top w:val="single" w:sz="8" w:color="auto"/>
            </w:tcBorders>
          </w:tcPr>
          <w:p>
            <w:pPr>
              <w:spacing w:after="0"/>
              <w:rPr>
                <w:sz w:val="16"/>
                <w:szCs w:val="16"/>
                <w:color w:val="auto"/>
              </w:rPr>
            </w:pPr>
          </w:p>
        </w:tc>
        <w:tc>
          <w:tcPr>
            <w:tcW w:w="1860" w:type="dxa"/>
            <w:vAlign w:val="bottom"/>
            <w:tcBorders>
              <w:top w:val="single" w:sz="8" w:color="auto"/>
            </w:tcBorders>
            <w:gridSpan w:val="5"/>
          </w:tcPr>
          <w:p>
            <w:pPr>
              <w:ind w:left="440"/>
              <w:spacing w:after="0"/>
              <w:rPr>
                <w:sz w:val="20"/>
                <w:szCs w:val="20"/>
                <w:color w:val="auto"/>
              </w:rPr>
            </w:pPr>
            <w:r>
              <w:rPr>
                <w:rFonts w:ascii="Times New Roman" w:cs="Times New Roman" w:eastAsia="Times New Roman" w:hAnsi="Times New Roman"/>
                <w:sz w:val="13"/>
                <w:szCs w:val="13"/>
                <w:b w:val="1"/>
                <w:bCs w:val="1"/>
                <w:color w:val="auto"/>
              </w:rPr>
              <w:t>After 15 Years</w:t>
            </w:r>
          </w:p>
        </w:tc>
        <w:tc>
          <w:tcPr>
            <w:tcW w:w="20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250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tcPr>
          <w:p>
            <w:pPr>
              <w:jc w:val="center"/>
              <w:ind w:right="50"/>
              <w:spacing w:after="0" w:line="120" w:lineRule="exact"/>
              <w:rPr>
                <w:sz w:val="20"/>
                <w:szCs w:val="20"/>
                <w:color w:val="auto"/>
              </w:rPr>
            </w:pPr>
            <w:r>
              <w:rPr>
                <w:rFonts w:ascii="Times New Roman" w:cs="Times New Roman" w:eastAsia="Times New Roman" w:hAnsi="Times New Roman"/>
                <w:sz w:val="13"/>
                <w:szCs w:val="13"/>
                <w:b w:val="1"/>
                <w:bCs w:val="1"/>
                <w:color w:val="auto"/>
                <w:w w:val="98"/>
              </w:rPr>
              <w:t>Adjustable</w:t>
            </w:r>
          </w:p>
        </w:tc>
        <w:tc>
          <w:tcPr>
            <w:tcW w:w="8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tcPr>
          <w:p>
            <w:pPr>
              <w:jc w:val="center"/>
              <w:ind w:right="50"/>
              <w:spacing w:after="0" w:line="120" w:lineRule="exact"/>
              <w:rPr>
                <w:sz w:val="20"/>
                <w:szCs w:val="20"/>
                <w:color w:val="auto"/>
              </w:rPr>
            </w:pPr>
            <w:r>
              <w:rPr>
                <w:rFonts w:ascii="Times New Roman" w:cs="Times New Roman" w:eastAsia="Times New Roman" w:hAnsi="Times New Roman"/>
                <w:sz w:val="13"/>
                <w:szCs w:val="13"/>
                <w:b w:val="1"/>
                <w:bCs w:val="1"/>
                <w:color w:val="auto"/>
                <w:w w:val="98"/>
              </w:rPr>
              <w:t>Adjustable</w:t>
            </w:r>
          </w:p>
        </w:tc>
        <w:tc>
          <w:tcPr>
            <w:tcW w:w="1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tcPr>
          <w:p>
            <w:pPr>
              <w:jc w:val="center"/>
              <w:ind w:right="30"/>
              <w:spacing w:after="0" w:line="120" w:lineRule="exact"/>
              <w:rPr>
                <w:sz w:val="20"/>
                <w:szCs w:val="20"/>
                <w:color w:val="auto"/>
              </w:rPr>
            </w:pPr>
            <w:r>
              <w:rPr>
                <w:rFonts w:ascii="Times New Roman" w:cs="Times New Roman" w:eastAsia="Times New Roman" w:hAnsi="Times New Roman"/>
                <w:sz w:val="13"/>
                <w:szCs w:val="13"/>
                <w:b w:val="1"/>
                <w:bCs w:val="1"/>
                <w:color w:val="auto"/>
                <w:w w:val="95"/>
              </w:rPr>
              <w:t>Adjustable</w:t>
            </w:r>
          </w:p>
        </w:tc>
        <w:tc>
          <w:tcPr>
            <w:tcW w:w="1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tcPr>
          <w:p>
            <w:pPr>
              <w:jc w:val="center"/>
              <w:ind w:right="70"/>
              <w:spacing w:after="0" w:line="120" w:lineRule="exact"/>
              <w:rPr>
                <w:sz w:val="20"/>
                <w:szCs w:val="20"/>
                <w:color w:val="auto"/>
              </w:rPr>
            </w:pPr>
            <w:r>
              <w:rPr>
                <w:rFonts w:ascii="Times New Roman" w:cs="Times New Roman" w:eastAsia="Times New Roman" w:hAnsi="Times New Roman"/>
                <w:sz w:val="13"/>
                <w:szCs w:val="13"/>
                <w:b w:val="1"/>
                <w:bCs w:val="1"/>
                <w:color w:val="auto"/>
                <w:w w:val="95"/>
              </w:rPr>
              <w:t>Adjustable</w:t>
            </w: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3"/>
        </w:trPr>
        <w:tc>
          <w:tcPr>
            <w:tcW w:w="2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Fixed Rates</w:t>
            </w:r>
          </w:p>
        </w:tc>
        <w:tc>
          <w:tcPr>
            <w:tcW w:w="120" w:type="dxa"/>
            <w:vAlign w:val="bottom"/>
          </w:tcPr>
          <w:p>
            <w:pPr>
              <w:spacing w:after="0"/>
              <w:rPr>
                <w:sz w:val="15"/>
                <w:szCs w:val="15"/>
                <w:color w:val="auto"/>
              </w:rPr>
            </w:pPr>
          </w:p>
        </w:tc>
        <w:tc>
          <w:tcPr>
            <w:tcW w:w="84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6"/>
              </w:rPr>
              <w:t>Rates</w:t>
            </w:r>
          </w:p>
        </w:tc>
        <w:tc>
          <w:tcPr>
            <w:tcW w:w="120" w:type="dxa"/>
            <w:vAlign w:val="bottom"/>
          </w:tcPr>
          <w:p>
            <w:pPr>
              <w:spacing w:after="0"/>
              <w:rPr>
                <w:sz w:val="15"/>
                <w:szCs w:val="15"/>
                <w:color w:val="auto"/>
              </w:rPr>
            </w:pPr>
          </w:p>
        </w:tc>
        <w:tc>
          <w:tcPr>
            <w:tcW w:w="86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Fixed Rates</w:t>
            </w:r>
          </w:p>
        </w:tc>
        <w:tc>
          <w:tcPr>
            <w:tcW w:w="120" w:type="dxa"/>
            <w:vAlign w:val="bottom"/>
          </w:tcPr>
          <w:p>
            <w:pPr>
              <w:spacing w:after="0"/>
              <w:rPr>
                <w:sz w:val="15"/>
                <w:szCs w:val="15"/>
                <w:color w:val="auto"/>
              </w:rPr>
            </w:pPr>
          </w:p>
        </w:tc>
        <w:tc>
          <w:tcPr>
            <w:tcW w:w="86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Rates</w:t>
            </w:r>
          </w:p>
        </w:tc>
        <w:tc>
          <w:tcPr>
            <w:tcW w:w="100" w:type="dxa"/>
            <w:vAlign w:val="bottom"/>
          </w:tcPr>
          <w:p>
            <w:pPr>
              <w:spacing w:after="0"/>
              <w:rPr>
                <w:sz w:val="15"/>
                <w:szCs w:val="15"/>
                <w:color w:val="auto"/>
              </w:rPr>
            </w:pPr>
          </w:p>
        </w:tc>
        <w:tc>
          <w:tcPr>
            <w:tcW w:w="86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Fixed Rates</w:t>
            </w:r>
          </w:p>
        </w:tc>
        <w:tc>
          <w:tcPr>
            <w:tcW w:w="120" w:type="dxa"/>
            <w:vAlign w:val="bottom"/>
          </w:tcPr>
          <w:p>
            <w:pPr>
              <w:spacing w:after="0"/>
              <w:rPr>
                <w:sz w:val="15"/>
                <w:szCs w:val="15"/>
                <w:color w:val="auto"/>
              </w:rPr>
            </w:pPr>
          </w:p>
        </w:tc>
        <w:tc>
          <w:tcPr>
            <w:tcW w:w="86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6"/>
              </w:rPr>
              <w:t>Rates</w:t>
            </w:r>
          </w:p>
        </w:tc>
        <w:tc>
          <w:tcPr>
            <w:tcW w:w="100" w:type="dxa"/>
            <w:vAlign w:val="bottom"/>
          </w:tcPr>
          <w:p>
            <w:pPr>
              <w:spacing w:after="0"/>
              <w:rPr>
                <w:sz w:val="15"/>
                <w:szCs w:val="15"/>
                <w:color w:val="auto"/>
              </w:rPr>
            </w:pPr>
          </w:p>
        </w:tc>
        <w:tc>
          <w:tcPr>
            <w:tcW w:w="86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Fixed Rates</w:t>
            </w:r>
          </w:p>
        </w:tc>
        <w:tc>
          <w:tcPr>
            <w:tcW w:w="140" w:type="dxa"/>
            <w:vAlign w:val="bottom"/>
          </w:tcPr>
          <w:p>
            <w:pPr>
              <w:spacing w:after="0"/>
              <w:rPr>
                <w:sz w:val="15"/>
                <w:szCs w:val="15"/>
                <w:color w:val="auto"/>
              </w:rPr>
            </w:pPr>
          </w:p>
        </w:tc>
        <w:tc>
          <w:tcPr>
            <w:tcW w:w="86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6"/>
              </w:rPr>
              <w:t>Rates</w:t>
            </w:r>
          </w:p>
        </w:tc>
        <w:tc>
          <w:tcPr>
            <w:tcW w:w="200" w:type="dxa"/>
            <w:vAlign w:val="bottom"/>
          </w:tcPr>
          <w:p>
            <w:pPr>
              <w:spacing w:after="0"/>
              <w:rPr>
                <w:sz w:val="15"/>
                <w:szCs w:val="15"/>
                <w:color w:val="auto"/>
              </w:rPr>
            </w:pPr>
          </w:p>
        </w:tc>
        <w:tc>
          <w:tcPr>
            <w:tcW w:w="740" w:type="dxa"/>
            <w:vAlign w:val="bottom"/>
          </w:tcPr>
          <w:p>
            <w:pPr>
              <w:jc w:val="right"/>
              <w:ind w:right="269"/>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89"/>
        </w:trPr>
        <w:tc>
          <w:tcPr>
            <w:tcW w:w="25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Loans:</w:t>
            </w:r>
          </w:p>
        </w:tc>
        <w:tc>
          <w:tcPr>
            <w:tcW w:w="12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50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Commercial real estate</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170,318</w:t>
            </w:r>
          </w:p>
        </w:tc>
        <w:tc>
          <w:tcPr>
            <w:tcW w:w="1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91,571</w:t>
            </w:r>
          </w:p>
        </w:tc>
        <w:tc>
          <w:tcPr>
            <w:tcW w:w="8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971,122</w:t>
            </w:r>
          </w:p>
        </w:tc>
        <w:tc>
          <w:tcPr>
            <w:tcW w:w="1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220,500</w:t>
            </w:r>
          </w:p>
        </w:tc>
        <w:tc>
          <w:tcPr>
            <w:tcW w:w="10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380,129</w:t>
            </w:r>
          </w:p>
        </w:tc>
        <w:tc>
          <w:tcPr>
            <w:tcW w:w="8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380,139</w:t>
            </w:r>
          </w:p>
        </w:tc>
        <w:tc>
          <w:tcPr>
            <w:tcW w:w="10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12,078</w:t>
            </w:r>
          </w:p>
        </w:tc>
        <w:tc>
          <w:tcPr>
            <w:tcW w:w="8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317,811</w:t>
            </w:r>
          </w:p>
        </w:tc>
        <w:tc>
          <w:tcPr>
            <w:tcW w:w="100" w:type="dxa"/>
            <w:vAlign w:val="bottom"/>
          </w:tcPr>
          <w:p>
            <w:pPr>
              <w:spacing w:after="0"/>
              <w:rPr>
                <w:sz w:val="16"/>
                <w:szCs w:val="16"/>
                <w:color w:val="auto"/>
              </w:rPr>
            </w:pPr>
          </w:p>
        </w:tc>
        <w:tc>
          <w:tcPr>
            <w:tcW w:w="2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2,543,668</w:t>
            </w:r>
          </w:p>
        </w:tc>
        <w:tc>
          <w:tcPr>
            <w:tcW w:w="0" w:type="dxa"/>
            <w:vAlign w:val="bottom"/>
          </w:tcPr>
          <w:p>
            <w:pPr>
              <w:spacing w:after="0"/>
              <w:rPr>
                <w:sz w:val="1"/>
                <w:szCs w:val="1"/>
                <w:color w:val="auto"/>
              </w:rPr>
            </w:pPr>
          </w:p>
        </w:tc>
      </w:tr>
      <w:tr>
        <w:trPr>
          <w:trHeight w:val="142"/>
        </w:trPr>
        <w:tc>
          <w:tcPr>
            <w:tcW w:w="2500" w:type="dxa"/>
            <w:vAlign w:val="bottom"/>
            <w:shd w:val="clear" w:color="auto" w:fill="CCEEFF"/>
          </w:tcPr>
          <w:p>
            <w:pPr>
              <w:ind w:left="240"/>
              <w:spacing w:after="0" w:line="142" w:lineRule="exact"/>
              <w:rPr>
                <w:sz w:val="20"/>
                <w:szCs w:val="20"/>
                <w:color w:val="auto"/>
              </w:rPr>
            </w:pPr>
            <w:r>
              <w:rPr>
                <w:rFonts w:ascii="Times New Roman" w:cs="Times New Roman" w:eastAsia="Times New Roman" w:hAnsi="Times New Roman"/>
                <w:sz w:val="14"/>
                <w:szCs w:val="14"/>
                <w:color w:val="auto"/>
              </w:rPr>
              <w:t>Owner-occupied commercial real</w:t>
            </w:r>
          </w:p>
        </w:tc>
        <w:tc>
          <w:tcPr>
            <w:tcW w:w="12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35,489</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30,420</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134,344</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37,606</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110,053</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148,311</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16,911</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113,241</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626,375</w:t>
            </w:r>
          </w:p>
        </w:tc>
        <w:tc>
          <w:tcPr>
            <w:tcW w:w="0" w:type="dxa"/>
            <w:vAlign w:val="bottom"/>
          </w:tcPr>
          <w:p>
            <w:pPr>
              <w:spacing w:after="0"/>
              <w:rPr>
                <w:sz w:val="1"/>
                <w:szCs w:val="1"/>
                <w:color w:val="auto"/>
              </w:rPr>
            </w:pPr>
          </w:p>
        </w:tc>
      </w:tr>
      <w:tr>
        <w:trPr>
          <w:trHeight w:val="203"/>
        </w:trPr>
        <w:tc>
          <w:tcPr>
            <w:tcW w:w="250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estate</w:t>
            </w:r>
          </w:p>
        </w:tc>
        <w:tc>
          <w:tcPr>
            <w:tcW w:w="120" w:type="dxa"/>
            <w:vAlign w:val="bottom"/>
            <w:shd w:val="clear" w:color="auto" w:fill="CCEEFF"/>
          </w:tcPr>
          <w:p>
            <w:pPr>
              <w:spacing w:after="0"/>
              <w:rPr>
                <w:sz w:val="17"/>
                <w:szCs w:val="17"/>
                <w:color w:val="auto"/>
              </w:rPr>
            </w:pPr>
          </w:p>
        </w:tc>
        <w:tc>
          <w:tcPr>
            <w:tcW w:w="76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5"/>
        </w:trPr>
        <w:tc>
          <w:tcPr>
            <w:tcW w:w="2500" w:type="dxa"/>
            <w:vAlign w:val="bottom"/>
          </w:tcPr>
          <w:p>
            <w:pPr>
              <w:ind w:left="240"/>
              <w:spacing w:after="0" w:line="135" w:lineRule="exact"/>
              <w:rPr>
                <w:sz w:val="20"/>
                <w:szCs w:val="20"/>
                <w:color w:val="auto"/>
              </w:rPr>
            </w:pPr>
            <w:r>
              <w:rPr>
                <w:rFonts w:ascii="Times New Roman" w:cs="Times New Roman" w:eastAsia="Times New Roman" w:hAnsi="Times New Roman"/>
                <w:sz w:val="14"/>
                <w:szCs w:val="14"/>
                <w:color w:val="auto"/>
              </w:rPr>
              <w:t>Acquisition, construction &amp;</w:t>
            </w:r>
          </w:p>
        </w:tc>
        <w:tc>
          <w:tcPr>
            <w:tcW w:w="120" w:type="dxa"/>
            <w:vAlign w:val="bottom"/>
          </w:tcPr>
          <w:p>
            <w:pPr>
              <w:spacing w:after="0"/>
              <w:rPr>
                <w:sz w:val="11"/>
                <w:szCs w:val="11"/>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30,348</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96,049</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64,283</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123,809</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vMerge w:val="restart"/>
          </w:tcPr>
          <w:p>
            <w:pPr>
              <w:jc w:val="right"/>
              <w:ind w:right="10"/>
              <w:spacing w:after="0"/>
              <w:rPr>
                <w:sz w:val="20"/>
                <w:szCs w:val="20"/>
                <w:color w:val="auto"/>
              </w:rPr>
            </w:pPr>
            <w:r>
              <w:rPr>
                <w:rFonts w:ascii="Times New Roman" w:cs="Times New Roman" w:eastAsia="Times New Roman" w:hAnsi="Times New Roman"/>
                <w:sz w:val="14"/>
                <w:szCs w:val="14"/>
                <w:color w:val="auto"/>
              </w:rPr>
              <w:t>26,830</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21,913</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4,564</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112,141</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479,937</w:t>
            </w:r>
          </w:p>
        </w:tc>
        <w:tc>
          <w:tcPr>
            <w:tcW w:w="0" w:type="dxa"/>
            <w:vAlign w:val="bottom"/>
          </w:tcPr>
          <w:p>
            <w:pPr>
              <w:spacing w:after="0"/>
              <w:rPr>
                <w:sz w:val="1"/>
                <w:szCs w:val="1"/>
                <w:color w:val="auto"/>
              </w:rPr>
            </w:pPr>
          </w:p>
        </w:tc>
      </w:tr>
      <w:tr>
        <w:trPr>
          <w:trHeight w:val="195"/>
        </w:trPr>
        <w:tc>
          <w:tcPr>
            <w:tcW w:w="250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development</w:t>
            </w:r>
          </w:p>
        </w:tc>
        <w:tc>
          <w:tcPr>
            <w:tcW w:w="12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5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Commercial &amp; industrial</w:t>
            </w:r>
          </w:p>
        </w:tc>
        <w:tc>
          <w:tcPr>
            <w:tcW w:w="1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8,626</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124,100</w:t>
            </w: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108,248</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175,872</w:t>
            </w: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30,381</w:t>
            </w: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50,294</w:t>
            </w: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1,486</w:t>
            </w:r>
          </w:p>
        </w:tc>
        <w:tc>
          <w:tcPr>
            <w:tcW w:w="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885</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499,892</w:t>
            </w:r>
          </w:p>
        </w:tc>
        <w:tc>
          <w:tcPr>
            <w:tcW w:w="0" w:type="dxa"/>
            <w:vAlign w:val="bottom"/>
          </w:tcPr>
          <w:p>
            <w:pPr>
              <w:spacing w:after="0"/>
              <w:rPr>
                <w:sz w:val="1"/>
                <w:szCs w:val="1"/>
                <w:color w:val="auto"/>
              </w:rPr>
            </w:pPr>
          </w:p>
        </w:tc>
      </w:tr>
      <w:tr>
        <w:trPr>
          <w:trHeight w:val="189"/>
        </w:trPr>
        <w:tc>
          <w:tcPr>
            <w:tcW w:w="250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Total commercial loans</w:t>
            </w:r>
          </w:p>
        </w:tc>
        <w:tc>
          <w:tcPr>
            <w:tcW w:w="1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244,781</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342,140</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1,277,997</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557,787</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547,393</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600,657</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35,039</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544,078</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4,149,872</w:t>
            </w:r>
          </w:p>
        </w:tc>
        <w:tc>
          <w:tcPr>
            <w:tcW w:w="0" w:type="dxa"/>
            <w:vAlign w:val="bottom"/>
          </w:tcPr>
          <w:p>
            <w:pPr>
              <w:spacing w:after="0"/>
              <w:rPr>
                <w:sz w:val="1"/>
                <w:szCs w:val="1"/>
                <w:color w:val="auto"/>
              </w:rPr>
            </w:pPr>
          </w:p>
        </w:tc>
      </w:tr>
      <w:tr>
        <w:trPr>
          <w:trHeight w:val="210"/>
        </w:trPr>
        <w:tc>
          <w:tcPr>
            <w:tcW w:w="25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Single family residential (1-4 units)</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14,796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14,007</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40,582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18,448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103,257</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80,878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457,717</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490,299</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1,219,984</w:t>
            </w:r>
          </w:p>
        </w:tc>
        <w:tc>
          <w:tcPr>
            <w:tcW w:w="0" w:type="dxa"/>
            <w:vAlign w:val="bottom"/>
          </w:tcPr>
          <w:p>
            <w:pPr>
              <w:spacing w:after="0"/>
              <w:rPr>
                <w:sz w:val="1"/>
                <w:szCs w:val="1"/>
                <w:color w:val="auto"/>
              </w:rPr>
            </w:pPr>
          </w:p>
        </w:tc>
      </w:tr>
      <w:tr>
        <w:trPr>
          <w:trHeight w:val="196"/>
        </w:trPr>
        <w:tc>
          <w:tcPr>
            <w:tcW w:w="250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4"/>
                <w:szCs w:val="14"/>
                <w:color w:val="auto"/>
              </w:rPr>
              <w:t>Consumer non-real estate and other</w:t>
            </w:r>
          </w:p>
        </w:tc>
        <w:tc>
          <w:tcPr>
            <w:tcW w:w="1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10,866</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132,554</w:t>
            </w: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48,449</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1,194</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15,552</w:t>
            </w: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16,709</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4,107</w:t>
            </w:r>
          </w:p>
        </w:tc>
        <w:tc>
          <w:tcPr>
            <w:tcW w:w="8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17,437</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246,868</w:t>
            </w:r>
          </w:p>
        </w:tc>
        <w:tc>
          <w:tcPr>
            <w:tcW w:w="0" w:type="dxa"/>
            <w:vAlign w:val="bottom"/>
          </w:tcPr>
          <w:p>
            <w:pPr>
              <w:spacing w:after="0"/>
              <w:rPr>
                <w:sz w:val="1"/>
                <w:szCs w:val="1"/>
                <w:color w:val="auto"/>
              </w:rPr>
            </w:pPr>
          </w:p>
        </w:tc>
      </w:tr>
      <w:tr>
        <w:trPr>
          <w:trHeight w:val="196"/>
        </w:trPr>
        <w:tc>
          <w:tcPr>
            <w:tcW w:w="25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Total loans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270,443</w:t>
            </w: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488,701</w:t>
            </w:r>
          </w:p>
        </w:tc>
        <w:tc>
          <w:tcPr>
            <w:tcW w:w="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1,367,028</w:t>
            </w: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577,429</w:t>
            </w:r>
          </w:p>
        </w:tc>
        <w:tc>
          <w:tcPr>
            <w:tcW w:w="1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666,202</w:t>
            </w:r>
          </w:p>
        </w:tc>
        <w:tc>
          <w:tcPr>
            <w:tcW w:w="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698,244</w:t>
            </w:r>
          </w:p>
        </w:tc>
        <w:tc>
          <w:tcPr>
            <w:tcW w:w="1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496,863</w:t>
            </w:r>
          </w:p>
        </w:tc>
        <w:tc>
          <w:tcPr>
            <w:tcW w:w="8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1,051,814</w:t>
            </w: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5,616,724</w:t>
            </w:r>
          </w:p>
        </w:tc>
        <w:tc>
          <w:tcPr>
            <w:tcW w:w="0" w:type="dxa"/>
            <w:vAlign w:val="bottom"/>
          </w:tcPr>
          <w:p>
            <w:pPr>
              <w:spacing w:after="0"/>
              <w:rPr>
                <w:sz w:val="1"/>
                <w:szCs w:val="1"/>
                <w:color w:val="auto"/>
              </w:rPr>
            </w:pPr>
          </w:p>
        </w:tc>
      </w:tr>
    </w:tbl>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Asset Quality</w:t>
      </w:r>
    </w:p>
    <w:p>
      <w:pPr>
        <w:spacing w:after="0" w:line="175"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Company maintains policies and procedures to promote sound underwriting and mitigate credit risk. The Chief Credit Officer is responsible for establishing credit risk policies and procedures, including underwriting guidelines and credit approval authority, and monitoring credit exposure and performance of the Company’s lending-related transactions.</w:t>
      </w:r>
    </w:p>
    <w:p>
      <w:pPr>
        <w:spacing w:after="0" w:line="12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 loan is placed on non-accrual status when (i) the Company is advised by the borrower that scheduled principal or interest payments cannot be met, (ii) when management’s best judgment indicates that payment in full of principal and interest can no longer be expected, or (iii) when any such loan or obligation becomes delinquent for 90 days, unless it is both well-secured and in the process of collection.</w:t>
      </w:r>
    </w:p>
    <w:p>
      <w:pPr>
        <w:spacing w:after="0" w:line="12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asset quality remained stable through the second quarter of 2024, but the nonaccrual loan balance increased $29.0 million from December 31, 2023 due to the merger. The Company’s non-performing assets, which includes non-performing loans consisting of non-accrual loans, loans that are more than 90 days past due and still accruing, and other real estate owned as of June 30, 2024, totaled $36.2 million.</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Company’s non-performing assets as of June 30, 2024, and December 31, 2023 (in thousands):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80" w:type="dxa"/>
            <w:vAlign w:val="bottom"/>
            <w:gridSpan w:val="2"/>
          </w:tcPr>
          <w:p>
            <w:pPr>
              <w:ind w:left="180"/>
              <w:spacing w:after="0"/>
              <w:rPr>
                <w:sz w:val="20"/>
                <w:szCs w:val="20"/>
                <w:color w:val="auto"/>
              </w:rPr>
            </w:pPr>
            <w:r>
              <w:rPr>
                <w:rFonts w:ascii="Times New Roman" w:cs="Times New Roman" w:eastAsia="Times New Roman" w:hAnsi="Times New Roman"/>
                <w:sz w:val="16"/>
                <w:szCs w:val="16"/>
                <w:b w:val="1"/>
                <w:bCs w:val="1"/>
                <w:color w:val="auto"/>
              </w:rPr>
              <w:t>June 30, 2024</w:t>
            </w:r>
          </w:p>
        </w:tc>
        <w:tc>
          <w:tcPr>
            <w:tcW w:w="180" w:type="dxa"/>
            <w:vAlign w:val="bottom"/>
          </w:tcPr>
          <w:p>
            <w:pPr>
              <w:spacing w:after="0"/>
              <w:rPr>
                <w:sz w:val="18"/>
                <w:szCs w:val="18"/>
                <w:color w:val="auto"/>
              </w:rPr>
            </w:pPr>
          </w:p>
        </w:tc>
        <w:tc>
          <w:tcPr>
            <w:tcW w:w="1680" w:type="dxa"/>
            <w:vAlign w:val="bottom"/>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December 31, 2023</w:t>
            </w:r>
          </w:p>
        </w:tc>
      </w:tr>
      <w:tr>
        <w:trPr>
          <w:trHeight w:val="212"/>
        </w:trPr>
        <w:tc>
          <w:tcPr>
            <w:tcW w:w="74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Non-accrual loans</w:t>
            </w:r>
          </w:p>
        </w:tc>
        <w:tc>
          <w:tcPr>
            <w:tcW w:w="280" w:type="dxa"/>
            <w:vAlign w:val="bottom"/>
            <w:tcBorders>
              <w:top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32,726</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3,744</w:t>
            </w:r>
          </w:p>
        </w:tc>
      </w:tr>
      <w:tr>
        <w:trPr>
          <w:trHeight w:val="213"/>
        </w:trPr>
        <w:tc>
          <w:tcPr>
            <w:tcW w:w="74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90 days past due and still accruing</w:t>
            </w:r>
          </w:p>
        </w:tc>
        <w:tc>
          <w:tcPr>
            <w:tcW w:w="28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116</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2"/>
        </w:trPr>
        <w:tc>
          <w:tcPr>
            <w:tcW w:w="7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non-performing loans</w:t>
            </w:r>
          </w:p>
        </w:tc>
        <w:tc>
          <w:tcPr>
            <w:tcW w:w="28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32,842</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3,744</w:t>
            </w:r>
          </w:p>
        </w:tc>
      </w:tr>
      <w:tr>
        <w:trPr>
          <w:trHeight w:val="270"/>
        </w:trPr>
        <w:tc>
          <w:tcPr>
            <w:tcW w:w="74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680" w:type="dxa"/>
            <w:vAlign w:val="bottom"/>
          </w:tcPr>
          <w:p>
            <w:pPr>
              <w:spacing w:after="0"/>
              <w:rPr>
                <w:sz w:val="23"/>
                <w:szCs w:val="23"/>
                <w:color w:val="auto"/>
              </w:rPr>
            </w:pPr>
          </w:p>
        </w:tc>
      </w:tr>
      <w:tr>
        <w:trPr>
          <w:trHeight w:val="213"/>
        </w:trPr>
        <w:tc>
          <w:tcPr>
            <w:tcW w:w="7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real estate owned</w:t>
            </w:r>
          </w:p>
        </w:tc>
        <w:tc>
          <w:tcPr>
            <w:tcW w:w="280" w:type="dxa"/>
            <w:vAlign w:val="bottom"/>
            <w:tcBorders>
              <w:bottom w:val="single" w:sz="8" w:color="auto"/>
            </w:tcBorders>
            <w:shd w:val="clear" w:color="auto" w:fill="CCEEFF"/>
          </w:tcPr>
          <w:p>
            <w:pPr>
              <w:spacing w:after="0"/>
              <w:rPr>
                <w:sz w:val="18"/>
                <w:szCs w:val="18"/>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3,334</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53"/>
        </w:trPr>
        <w:tc>
          <w:tcPr>
            <w:tcW w:w="742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58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680" w:type="dxa"/>
            <w:vAlign w:val="bottom"/>
            <w:tcBorders>
              <w:bottom w:val="single" w:sz="8" w:color="auto"/>
            </w:tcBorders>
          </w:tcPr>
          <w:p>
            <w:pPr>
              <w:spacing w:after="0"/>
              <w:rPr>
                <w:sz w:val="21"/>
                <w:szCs w:val="21"/>
                <w:color w:val="auto"/>
              </w:rPr>
            </w:pPr>
          </w:p>
        </w:tc>
      </w:tr>
      <w:tr>
        <w:trPr>
          <w:trHeight w:val="207"/>
        </w:trPr>
        <w:tc>
          <w:tcPr>
            <w:tcW w:w="7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non-performing assets</w:t>
            </w: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36,176</w:t>
            </w: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3,744</w:t>
            </w: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Allowance for Credit Losses</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Refer to the discussion in </w:t>
      </w:r>
      <w:r>
        <w:rPr>
          <w:rFonts w:ascii="Times New Roman" w:cs="Times New Roman" w:eastAsia="Times New Roman" w:hAnsi="Times New Roman"/>
          <w:sz w:val="18"/>
          <w:szCs w:val="18"/>
          <w:u w:val="single" w:color="auto"/>
          <w:color w:val="0000FF"/>
        </w:rPr>
        <w:t>Note 1. Nature of Business Activities and Significant Accounting Policies</w:t>
      </w:r>
      <w:r>
        <w:rPr>
          <w:rFonts w:ascii="Times New Roman" w:cs="Times New Roman" w:eastAsia="Times New Roman" w:hAnsi="Times New Roman"/>
          <w:sz w:val="18"/>
          <w:szCs w:val="18"/>
          <w:color w:val="auto"/>
        </w:rPr>
        <w:t xml:space="preserve"> in Notes to Consolidated Financial Statements for management’s approach to estimating the ACL.</w:t>
      </w:r>
    </w:p>
    <w:p>
      <w:pPr>
        <w:spacing w:after="0" w:line="10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maintains the ACL at a level deemed adequate by management for expected credit losses. On January 1, 2023, the Company implemented CECL and increased the ACL, previously the allowance for loan losses, with a cumulative-effect adjustment to the ACL for credit losses of $4.4 million, which included a cumulative-effect adjustment to the ACL for off-balance sheet exposures of $274.8 thousand. The Company’s ACL is calculated quarterly with any adjustment recorded to the provision for credit losses in the consolidated Statement of Income. Management evaluates the adequacy of the ACL utilizing a defined methodology to determine if it properly addresses the current and expected risks in the loan portfolio, which considers the performance of borrowers and specific evaluation of individually evaluated loans, including historical loss experiences, trends in delinquencies, non-performing loans and other risk assets, and qualitative factors. Risk factors are continuously reviewed and adjusted, as needed, by management when conditions support a change. Management believes its approach properly addresses relevant accounting and bank regulatory guidance for loans both collectively and individually evaluated.</w:t>
      </w:r>
    </w:p>
    <w:p>
      <w:pPr>
        <w:spacing w:after="0" w:line="13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recorded a provision of $20.1 million and a provision of $310.0 thousand on loans for the three months ended June 30, 2024, and June 30, 2023, respectively, and a provision of $19.4 million and a provision of $0.8 million on loans for the six months ended June 30, 2024, and June 30, 2023, respectively. This additional provision expense was due to an increase in loans that were classified as non-PCD. The Company also recorded a $23.9 million provision to establish an allowance for acquired PCD loans for the quarter ended June 30, 2024.</w:t>
      </w:r>
    </w:p>
    <w:p>
      <w:pPr>
        <w:spacing w:after="0" w:line="12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Gross charged-off loans were $611.0 thousand and $104.0 thousand for the three months ended June 30, 2024, and June 30, 2023, respectively, and $641.0 thousand and $121.0 thousand for the six months ended June 30, 2024, and June 30, 2023, respectively. Gross recoveries totaled $12.0 thousand and $9.0 thousand for the three months ended June 30, 2024, and June 30, 2023, respectively, and $17.0 thousand and $43.0 thousand for the six months ended June 30, 2024, and June 30, 2023, respectively. The ACL as a percentage of gross loans, net of unearned income, was 1.21% and 1.30% as of June 30, 2024, and June 30, 2023,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changes in the Company’s credit loss experience by portfolio as of the three and six months ended June 30, 2024, and 2023 (dollars in thousands):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160" w:type="dxa"/>
            <w:vAlign w:val="bottom"/>
            <w:gridSpan w:val="5"/>
          </w:tcPr>
          <w:p>
            <w:pPr>
              <w:ind w:left="68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200" w:type="dxa"/>
            <w:vAlign w:val="bottom"/>
          </w:tcPr>
          <w:p>
            <w:pPr>
              <w:spacing w:after="0"/>
              <w:rPr>
                <w:sz w:val="18"/>
                <w:szCs w:val="18"/>
                <w:color w:val="auto"/>
              </w:rPr>
            </w:pPr>
          </w:p>
        </w:tc>
        <w:tc>
          <w:tcPr>
            <w:tcW w:w="3020" w:type="dxa"/>
            <w:vAlign w:val="bottom"/>
            <w:gridSpan w:val="4"/>
          </w:tcPr>
          <w:p>
            <w:pPr>
              <w:jc w:val="right"/>
              <w:ind w:right="918"/>
              <w:spacing w:after="0"/>
              <w:rPr>
                <w:sz w:val="20"/>
                <w:szCs w:val="20"/>
                <w:color w:val="auto"/>
              </w:rPr>
            </w:pPr>
            <w:r>
              <w:rPr>
                <w:rFonts w:ascii="Times New Roman" w:cs="Times New Roman" w:eastAsia="Times New Roman" w:hAnsi="Times New Roman"/>
                <w:sz w:val="16"/>
                <w:szCs w:val="16"/>
                <w:b w:val="1"/>
                <w:bCs w:val="1"/>
                <w:color w:val="auto"/>
              </w:rPr>
              <w:t>Six months ended</w:t>
            </w:r>
          </w:p>
        </w:tc>
        <w:tc>
          <w:tcPr>
            <w:tcW w:w="0" w:type="dxa"/>
            <w:vAlign w:val="bottom"/>
          </w:tcPr>
          <w:p>
            <w:pPr>
              <w:spacing w:after="0"/>
              <w:rPr>
                <w:sz w:val="1"/>
                <w:szCs w:val="1"/>
                <w:color w:val="auto"/>
              </w:rPr>
            </w:pPr>
          </w:p>
        </w:tc>
      </w:tr>
      <w:tr>
        <w:trPr>
          <w:trHeight w:val="219"/>
        </w:trPr>
        <w:tc>
          <w:tcPr>
            <w:tcW w:w="46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June 30, 2024</w:t>
            </w:r>
          </w:p>
        </w:tc>
        <w:tc>
          <w:tcPr>
            <w:tcW w:w="200" w:type="dxa"/>
            <w:vAlign w:val="bottom"/>
          </w:tcPr>
          <w:p>
            <w:pPr>
              <w:spacing w:after="0"/>
              <w:rPr>
                <w:sz w:val="19"/>
                <w:szCs w:val="19"/>
                <w:color w:val="auto"/>
              </w:rPr>
            </w:pPr>
          </w:p>
        </w:tc>
        <w:tc>
          <w:tcPr>
            <w:tcW w:w="152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June 30, 2023</w:t>
            </w:r>
          </w:p>
        </w:tc>
        <w:tc>
          <w:tcPr>
            <w:tcW w:w="200" w:type="dxa"/>
            <w:vAlign w:val="bottom"/>
          </w:tcPr>
          <w:p>
            <w:pPr>
              <w:spacing w:after="0"/>
              <w:rPr>
                <w:sz w:val="19"/>
                <w:szCs w:val="19"/>
                <w:color w:val="auto"/>
              </w:rPr>
            </w:pPr>
          </w:p>
        </w:tc>
        <w:tc>
          <w:tcPr>
            <w:tcW w:w="146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June 30, 2024</w:t>
            </w:r>
          </w:p>
        </w:tc>
        <w:tc>
          <w:tcPr>
            <w:tcW w:w="200" w:type="dxa"/>
            <w:vAlign w:val="bottom"/>
          </w:tcPr>
          <w:p>
            <w:pPr>
              <w:spacing w:after="0"/>
              <w:rPr>
                <w:sz w:val="19"/>
                <w:szCs w:val="19"/>
                <w:color w:val="auto"/>
              </w:rPr>
            </w:pPr>
          </w:p>
        </w:tc>
        <w:tc>
          <w:tcPr>
            <w:tcW w:w="1360" w:type="dxa"/>
            <w:vAlign w:val="bottom"/>
          </w:tcPr>
          <w:p>
            <w:pPr>
              <w:jc w:val="right"/>
              <w:ind w:right="238"/>
              <w:spacing w:after="0"/>
              <w:rPr>
                <w:sz w:val="20"/>
                <w:szCs w:val="20"/>
                <w:color w:val="auto"/>
              </w:rPr>
            </w:pPr>
            <w:r>
              <w:rPr>
                <w:rFonts w:ascii="Times New Roman" w:cs="Times New Roman" w:eastAsia="Times New Roman" w:hAnsi="Times New Roman"/>
                <w:sz w:val="16"/>
                <w:szCs w:val="16"/>
                <w:b w:val="1"/>
                <w:bCs w:val="1"/>
                <w:color w:val="auto"/>
              </w:rPr>
              <w:t>June 30, 2023</w:t>
            </w:r>
          </w:p>
        </w:tc>
        <w:tc>
          <w:tcPr>
            <w:tcW w:w="0" w:type="dxa"/>
            <w:vAlign w:val="bottom"/>
          </w:tcPr>
          <w:p>
            <w:pPr>
              <w:spacing w:after="0"/>
              <w:rPr>
                <w:sz w:val="1"/>
                <w:szCs w:val="1"/>
                <w:color w:val="auto"/>
              </w:rPr>
            </w:pPr>
          </w:p>
        </w:tc>
      </w:tr>
      <w:tr>
        <w:trPr>
          <w:trHeight w:val="213"/>
        </w:trPr>
        <w:tc>
          <w:tcPr>
            <w:tcW w:w="46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Loans outstanding at end of period</w:t>
            </w: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top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5,616,724</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top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2,000,969</w:t>
            </w:r>
          </w:p>
        </w:tc>
        <w:tc>
          <w:tcPr>
            <w:tcW w:w="1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top w:val="single" w:sz="8" w:color="auto"/>
            </w:tcBorders>
            <w:shd w:val="clear" w:color="auto" w:fill="CCEEFF"/>
          </w:tcPr>
          <w:p>
            <w:pPr>
              <w:jc w:val="right"/>
              <w:ind w:right="138"/>
              <w:spacing w:after="0"/>
              <w:rPr>
                <w:sz w:val="20"/>
                <w:szCs w:val="20"/>
                <w:color w:val="auto"/>
              </w:rPr>
            </w:pPr>
            <w:r>
              <w:rPr>
                <w:rFonts w:ascii="Times New Roman" w:cs="Times New Roman" w:eastAsia="Times New Roman" w:hAnsi="Times New Roman"/>
                <w:sz w:val="16"/>
                <w:szCs w:val="16"/>
                <w:color w:val="auto"/>
              </w:rPr>
              <w:t>5,616,724</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top w:val="single" w:sz="8" w:color="auto"/>
            </w:tcBorders>
            <w:shd w:val="clear" w:color="auto" w:fill="CCEEFF"/>
          </w:tcPr>
          <w:p>
            <w:pPr>
              <w:jc w:val="right"/>
              <w:ind w:right="138"/>
              <w:spacing w:after="0"/>
              <w:rPr>
                <w:sz w:val="20"/>
                <w:szCs w:val="20"/>
                <w:color w:val="auto"/>
              </w:rPr>
            </w:pPr>
            <w:r>
              <w:rPr>
                <w:rFonts w:ascii="Times New Roman" w:cs="Times New Roman" w:eastAsia="Times New Roman" w:hAnsi="Times New Roman"/>
                <w:sz w:val="16"/>
                <w:szCs w:val="16"/>
                <w:color w:val="auto"/>
              </w:rPr>
              <w:t>2,000,969</w:t>
            </w:r>
          </w:p>
        </w:tc>
        <w:tc>
          <w:tcPr>
            <w:tcW w:w="0" w:type="dxa"/>
            <w:vAlign w:val="bottom"/>
          </w:tcPr>
          <w:p>
            <w:pPr>
              <w:spacing w:after="0"/>
              <w:rPr>
                <w:sz w:val="1"/>
                <w:szCs w:val="1"/>
                <w:color w:val="auto"/>
              </w:rPr>
            </w:pPr>
          </w:p>
        </w:tc>
      </w:tr>
      <w:tr>
        <w:trPr>
          <w:trHeight w:val="213"/>
        </w:trPr>
        <w:tc>
          <w:tcPr>
            <w:tcW w:w="46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Balance of allowance at beginning of period</w:t>
            </w:r>
          </w:p>
        </w:tc>
        <w:tc>
          <w:tcPr>
            <w:tcW w:w="200" w:type="dxa"/>
            <w:vAlign w:val="bottom"/>
          </w:tcPr>
          <w:p>
            <w:pPr>
              <w:spacing w:after="0"/>
              <w:rPr>
                <w:sz w:val="18"/>
                <w:szCs w:val="18"/>
                <w:color w:val="auto"/>
              </w:rPr>
            </w:pPr>
          </w:p>
        </w:tc>
        <w:tc>
          <w:tcPr>
            <w:tcW w:w="13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(24,606)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(25,704)</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jc w:val="right"/>
              <w:ind w:right="98"/>
              <w:spacing w:after="0"/>
              <w:rPr>
                <w:sz w:val="20"/>
                <w:szCs w:val="20"/>
                <w:color w:val="auto"/>
              </w:rPr>
            </w:pPr>
            <w:r>
              <w:rPr>
                <w:rFonts w:ascii="Times New Roman" w:cs="Times New Roman" w:eastAsia="Times New Roman" w:hAnsi="Times New Roman"/>
                <w:sz w:val="16"/>
                <w:szCs w:val="16"/>
                <w:color w:val="auto"/>
              </w:rPr>
              <w:t>(25,301)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jc w:val="right"/>
              <w:ind w:right="98"/>
              <w:spacing w:after="0"/>
              <w:rPr>
                <w:sz w:val="20"/>
                <w:szCs w:val="20"/>
                <w:color w:val="auto"/>
              </w:rPr>
            </w:pPr>
            <w:r>
              <w:rPr>
                <w:rFonts w:ascii="Times New Roman" w:cs="Times New Roman" w:eastAsia="Times New Roman" w:hAnsi="Times New Roman"/>
                <w:sz w:val="16"/>
                <w:szCs w:val="16"/>
                <w:color w:val="auto"/>
              </w:rPr>
              <w:t>(21,039)</w:t>
            </w:r>
          </w:p>
        </w:tc>
        <w:tc>
          <w:tcPr>
            <w:tcW w:w="0" w:type="dxa"/>
            <w:vAlign w:val="bottom"/>
          </w:tcPr>
          <w:p>
            <w:pPr>
              <w:spacing w:after="0"/>
              <w:rPr>
                <w:sz w:val="1"/>
                <w:szCs w:val="1"/>
                <w:color w:val="auto"/>
              </w:rPr>
            </w:pPr>
          </w:p>
        </w:tc>
      </w:tr>
      <w:tr>
        <w:trPr>
          <w:trHeight w:val="219"/>
        </w:trPr>
        <w:tc>
          <w:tcPr>
            <w:tcW w:w="4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Impact of the adoption of CECL</w:t>
            </w:r>
          </w:p>
        </w:tc>
        <w:tc>
          <w:tcPr>
            <w:tcW w:w="20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98"/>
              <w:spacing w:after="0"/>
              <w:rPr>
                <w:sz w:val="20"/>
                <w:szCs w:val="20"/>
                <w:color w:val="auto"/>
              </w:rPr>
            </w:pPr>
            <w:r>
              <w:rPr>
                <w:rFonts w:ascii="Times New Roman" w:cs="Times New Roman" w:eastAsia="Times New Roman" w:hAnsi="Times New Roman"/>
                <w:sz w:val="16"/>
                <w:szCs w:val="16"/>
                <w:color w:val="auto"/>
              </w:rPr>
              <w:t>(4,125)</w:t>
            </w:r>
          </w:p>
        </w:tc>
        <w:tc>
          <w:tcPr>
            <w:tcW w:w="0" w:type="dxa"/>
            <w:vAlign w:val="bottom"/>
          </w:tcPr>
          <w:p>
            <w:pPr>
              <w:spacing w:after="0"/>
              <w:rPr>
                <w:sz w:val="1"/>
                <w:szCs w:val="1"/>
                <w:color w:val="auto"/>
              </w:rPr>
            </w:pPr>
          </w:p>
        </w:tc>
      </w:tr>
      <w:tr>
        <w:trPr>
          <w:trHeight w:val="213"/>
        </w:trPr>
        <w:tc>
          <w:tcPr>
            <w:tcW w:w="46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Allowance established for acquired PCD Loans</w:t>
            </w:r>
          </w:p>
        </w:tc>
        <w:tc>
          <w:tcPr>
            <w:tcW w:w="200" w:type="dxa"/>
            <w:vAlign w:val="bottom"/>
          </w:tcPr>
          <w:p>
            <w:pPr>
              <w:spacing w:after="0"/>
              <w:rPr>
                <w:sz w:val="18"/>
                <w:szCs w:val="18"/>
                <w:color w:val="auto"/>
              </w:rPr>
            </w:pPr>
          </w:p>
        </w:tc>
        <w:tc>
          <w:tcPr>
            <w:tcW w:w="13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(23,910)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20" w:type="dxa"/>
            <w:vAlign w:val="bottom"/>
            <w:gridSpan w:val="2"/>
          </w:tcPr>
          <w:p>
            <w:pPr>
              <w:jc w:val="right"/>
              <w:ind w:right="3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1360" w:type="dxa"/>
            <w:vAlign w:val="bottom"/>
          </w:tcPr>
          <w:p>
            <w:pPr>
              <w:jc w:val="right"/>
              <w:ind w:right="98"/>
              <w:spacing w:after="0"/>
              <w:rPr>
                <w:sz w:val="20"/>
                <w:szCs w:val="20"/>
                <w:color w:val="auto"/>
              </w:rPr>
            </w:pPr>
            <w:r>
              <w:rPr>
                <w:rFonts w:ascii="Times New Roman" w:cs="Times New Roman" w:eastAsia="Times New Roman" w:hAnsi="Times New Roman"/>
                <w:sz w:val="16"/>
                <w:szCs w:val="16"/>
                <w:color w:val="auto"/>
              </w:rPr>
              <w:t>(23,910)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jc w:val="right"/>
              <w:ind w:right="138"/>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4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Loans charged-off:</w:t>
            </w: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66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Commercial real estate</w:t>
            </w:r>
          </w:p>
        </w:tc>
        <w:tc>
          <w:tcPr>
            <w:tcW w:w="200" w:type="dxa"/>
            <w:vAlign w:val="bottom"/>
          </w:tcPr>
          <w:p>
            <w:pPr>
              <w:spacing w:after="0"/>
              <w:rPr>
                <w:sz w:val="18"/>
                <w:szCs w:val="18"/>
                <w:color w:val="auto"/>
              </w:rPr>
            </w:pPr>
          </w:p>
        </w:tc>
        <w:tc>
          <w:tcPr>
            <w:tcW w:w="13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210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20" w:type="dxa"/>
            <w:vAlign w:val="bottom"/>
            <w:gridSpan w:val="2"/>
          </w:tcPr>
          <w:p>
            <w:pPr>
              <w:jc w:val="right"/>
              <w:ind w:right="3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1360" w:type="dxa"/>
            <w:vAlign w:val="bottom"/>
          </w:tcPr>
          <w:p>
            <w:pPr>
              <w:jc w:val="right"/>
              <w:ind w:right="138"/>
              <w:spacing w:after="0"/>
              <w:rPr>
                <w:sz w:val="20"/>
                <w:szCs w:val="20"/>
                <w:color w:val="auto"/>
              </w:rPr>
            </w:pPr>
            <w:r>
              <w:rPr>
                <w:rFonts w:ascii="Times New Roman" w:cs="Times New Roman" w:eastAsia="Times New Roman" w:hAnsi="Times New Roman"/>
                <w:sz w:val="16"/>
                <w:szCs w:val="16"/>
                <w:color w:val="auto"/>
              </w:rPr>
              <w:t>210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jc w:val="right"/>
              <w:ind w:right="138"/>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46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Owner-occupied commercial real estate</w:t>
            </w:r>
          </w:p>
        </w:tc>
        <w:tc>
          <w:tcPr>
            <w:tcW w:w="20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38"/>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466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Acquisition, construction &amp; development</w:t>
            </w:r>
          </w:p>
        </w:tc>
        <w:tc>
          <w:tcPr>
            <w:tcW w:w="200" w:type="dxa"/>
            <w:vAlign w:val="bottom"/>
          </w:tcPr>
          <w:p>
            <w:pPr>
              <w:spacing w:after="0"/>
              <w:rPr>
                <w:sz w:val="18"/>
                <w:szCs w:val="18"/>
                <w:color w:val="auto"/>
              </w:rPr>
            </w:pPr>
          </w:p>
        </w:tc>
        <w:tc>
          <w:tcPr>
            <w:tcW w:w="144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1520" w:type="dxa"/>
            <w:vAlign w:val="bottom"/>
            <w:gridSpan w:val="2"/>
          </w:tcPr>
          <w:p>
            <w:pPr>
              <w:jc w:val="right"/>
              <w:ind w:right="3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146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1360" w:type="dxa"/>
            <w:vAlign w:val="bottom"/>
          </w:tcPr>
          <w:p>
            <w:pPr>
              <w:jc w:val="right"/>
              <w:ind w:right="138"/>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46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Commercial &amp; industrial</w:t>
            </w: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146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29</w:t>
            </w:r>
          </w:p>
        </w:tc>
        <w:tc>
          <w:tcPr>
            <w:tcW w:w="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38"/>
              <w:spacing w:after="0"/>
              <w:rPr>
                <w:sz w:val="20"/>
                <w:szCs w:val="20"/>
                <w:color w:val="auto"/>
              </w:rPr>
            </w:pPr>
            <w:r>
              <w:rPr>
                <w:rFonts w:ascii="Times New Roman" w:cs="Times New Roman" w:eastAsia="Times New Roman" w:hAnsi="Times New Roman"/>
                <w:sz w:val="16"/>
                <w:szCs w:val="16"/>
                <w:color w:val="auto"/>
              </w:rPr>
              <w:t>146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38"/>
              <w:spacing w:after="0"/>
              <w:rPr>
                <w:sz w:val="20"/>
                <w:szCs w:val="20"/>
                <w:color w:val="auto"/>
              </w:rPr>
            </w:pPr>
            <w:r>
              <w:rPr>
                <w:rFonts w:ascii="Times New Roman" w:cs="Times New Roman" w:eastAsia="Times New Roman" w:hAnsi="Times New Roman"/>
                <w:sz w:val="16"/>
                <w:szCs w:val="16"/>
                <w:color w:val="auto"/>
              </w:rPr>
              <w:t>29</w:t>
            </w:r>
          </w:p>
        </w:tc>
        <w:tc>
          <w:tcPr>
            <w:tcW w:w="0" w:type="dxa"/>
            <w:vAlign w:val="bottom"/>
          </w:tcPr>
          <w:p>
            <w:pPr>
              <w:spacing w:after="0"/>
              <w:rPr>
                <w:sz w:val="1"/>
                <w:szCs w:val="1"/>
                <w:color w:val="auto"/>
              </w:rPr>
            </w:pPr>
          </w:p>
        </w:tc>
      </w:tr>
      <w:tr>
        <w:trPr>
          <w:trHeight w:val="213"/>
        </w:trPr>
        <w:tc>
          <w:tcPr>
            <w:tcW w:w="466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Residential</w:t>
            </w:r>
          </w:p>
        </w:tc>
        <w:tc>
          <w:tcPr>
            <w:tcW w:w="200" w:type="dxa"/>
            <w:vAlign w:val="bottom"/>
          </w:tcPr>
          <w:p>
            <w:pPr>
              <w:spacing w:after="0"/>
              <w:rPr>
                <w:sz w:val="18"/>
                <w:szCs w:val="18"/>
                <w:color w:val="auto"/>
              </w:rPr>
            </w:pPr>
          </w:p>
        </w:tc>
        <w:tc>
          <w:tcPr>
            <w:tcW w:w="13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37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20" w:type="dxa"/>
            <w:vAlign w:val="bottom"/>
            <w:gridSpan w:val="2"/>
          </w:tcPr>
          <w:p>
            <w:pPr>
              <w:jc w:val="right"/>
              <w:ind w:right="3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1360" w:type="dxa"/>
            <w:vAlign w:val="bottom"/>
          </w:tcPr>
          <w:p>
            <w:pPr>
              <w:jc w:val="right"/>
              <w:ind w:right="138"/>
              <w:spacing w:after="0"/>
              <w:rPr>
                <w:sz w:val="20"/>
                <w:szCs w:val="20"/>
                <w:color w:val="auto"/>
              </w:rPr>
            </w:pPr>
            <w:r>
              <w:rPr>
                <w:rFonts w:ascii="Times New Roman" w:cs="Times New Roman" w:eastAsia="Times New Roman" w:hAnsi="Times New Roman"/>
                <w:sz w:val="16"/>
                <w:szCs w:val="16"/>
                <w:color w:val="auto"/>
              </w:rPr>
              <w:t>37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jc w:val="right"/>
              <w:ind w:right="138"/>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46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Consumer non-real estate and other</w:t>
            </w:r>
          </w:p>
        </w:tc>
        <w:tc>
          <w:tcPr>
            <w:tcW w:w="2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218</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75</w:t>
            </w:r>
          </w:p>
        </w:tc>
        <w:tc>
          <w:tcPr>
            <w:tcW w:w="16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ind w:right="138"/>
              <w:spacing w:after="0"/>
              <w:rPr>
                <w:sz w:val="20"/>
                <w:szCs w:val="20"/>
                <w:color w:val="auto"/>
              </w:rPr>
            </w:pPr>
            <w:r>
              <w:rPr>
                <w:rFonts w:ascii="Times New Roman" w:cs="Times New Roman" w:eastAsia="Times New Roman" w:hAnsi="Times New Roman"/>
                <w:sz w:val="16"/>
                <w:szCs w:val="16"/>
                <w:color w:val="auto"/>
              </w:rPr>
              <w:t>248</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ind w:right="138"/>
              <w:spacing w:after="0"/>
              <w:rPr>
                <w:sz w:val="20"/>
                <w:szCs w:val="20"/>
                <w:color w:val="auto"/>
              </w:rPr>
            </w:pPr>
            <w:r>
              <w:rPr>
                <w:rFonts w:ascii="Times New Roman" w:cs="Times New Roman" w:eastAsia="Times New Roman" w:hAnsi="Times New Roman"/>
                <w:sz w:val="16"/>
                <w:szCs w:val="16"/>
                <w:color w:val="auto"/>
              </w:rPr>
              <w:t>92</w:t>
            </w:r>
          </w:p>
        </w:tc>
        <w:tc>
          <w:tcPr>
            <w:tcW w:w="0" w:type="dxa"/>
            <w:vAlign w:val="bottom"/>
          </w:tcPr>
          <w:p>
            <w:pPr>
              <w:spacing w:after="0"/>
              <w:rPr>
                <w:sz w:val="1"/>
                <w:szCs w:val="1"/>
                <w:color w:val="auto"/>
              </w:rPr>
            </w:pPr>
          </w:p>
        </w:tc>
      </w:tr>
      <w:tr>
        <w:trPr>
          <w:trHeight w:val="207"/>
        </w:trPr>
        <w:tc>
          <w:tcPr>
            <w:tcW w:w="466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Total loans charged-off</w:t>
            </w:r>
          </w:p>
        </w:tc>
        <w:tc>
          <w:tcPr>
            <w:tcW w:w="200" w:type="dxa"/>
            <w:vAlign w:val="bottom"/>
          </w:tcPr>
          <w:p>
            <w:pPr>
              <w:spacing w:after="0"/>
              <w:rPr>
                <w:sz w:val="17"/>
                <w:szCs w:val="17"/>
                <w:color w:val="auto"/>
              </w:rPr>
            </w:pPr>
          </w:p>
        </w:tc>
        <w:tc>
          <w:tcPr>
            <w:tcW w:w="13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611</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6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104</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60" w:type="dxa"/>
            <w:vAlign w:val="bottom"/>
          </w:tcPr>
          <w:p>
            <w:pPr>
              <w:jc w:val="right"/>
              <w:ind w:right="138"/>
              <w:spacing w:after="0"/>
              <w:rPr>
                <w:sz w:val="20"/>
                <w:szCs w:val="20"/>
                <w:color w:val="auto"/>
              </w:rPr>
            </w:pPr>
            <w:r>
              <w:rPr>
                <w:rFonts w:ascii="Times New Roman" w:cs="Times New Roman" w:eastAsia="Times New Roman" w:hAnsi="Times New Roman"/>
                <w:sz w:val="16"/>
                <w:szCs w:val="16"/>
                <w:color w:val="auto"/>
              </w:rPr>
              <w:t>641</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60" w:type="dxa"/>
            <w:vAlign w:val="bottom"/>
          </w:tcPr>
          <w:p>
            <w:pPr>
              <w:jc w:val="right"/>
              <w:ind w:right="138"/>
              <w:spacing w:after="0"/>
              <w:rPr>
                <w:sz w:val="20"/>
                <w:szCs w:val="20"/>
                <w:color w:val="auto"/>
              </w:rPr>
            </w:pPr>
            <w:r>
              <w:rPr>
                <w:rFonts w:ascii="Times New Roman" w:cs="Times New Roman" w:eastAsia="Times New Roman" w:hAnsi="Times New Roman"/>
                <w:sz w:val="16"/>
                <w:szCs w:val="16"/>
                <w:color w:val="auto"/>
              </w:rPr>
              <w:t>121</w:t>
            </w:r>
          </w:p>
        </w:tc>
        <w:tc>
          <w:tcPr>
            <w:tcW w:w="0" w:type="dxa"/>
            <w:vAlign w:val="bottom"/>
          </w:tcPr>
          <w:p>
            <w:pPr>
              <w:spacing w:after="0"/>
              <w:rPr>
                <w:sz w:val="1"/>
                <w:szCs w:val="1"/>
                <w:color w:val="auto"/>
              </w:rPr>
            </w:pPr>
          </w:p>
        </w:tc>
      </w:tr>
      <w:tr>
        <w:trPr>
          <w:trHeight w:val="219"/>
        </w:trPr>
        <w:tc>
          <w:tcPr>
            <w:tcW w:w="4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Recoveries of loans charged-off:</w:t>
            </w: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66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Commercial real estate</w:t>
            </w:r>
          </w:p>
        </w:tc>
        <w:tc>
          <w:tcPr>
            <w:tcW w:w="200" w:type="dxa"/>
            <w:vAlign w:val="bottom"/>
          </w:tcPr>
          <w:p>
            <w:pPr>
              <w:spacing w:after="0"/>
              <w:rPr>
                <w:sz w:val="18"/>
                <w:szCs w:val="18"/>
                <w:color w:val="auto"/>
              </w:rPr>
            </w:pPr>
          </w:p>
        </w:tc>
        <w:tc>
          <w:tcPr>
            <w:tcW w:w="13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(3)</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jc w:val="right"/>
              <w:ind w:right="98"/>
              <w:spacing w:after="0"/>
              <w:rPr>
                <w:sz w:val="20"/>
                <w:szCs w:val="20"/>
                <w:color w:val="auto"/>
              </w:rPr>
            </w:pPr>
            <w:r>
              <w:rPr>
                <w:rFonts w:ascii="Times New Roman" w:cs="Times New Roman" w:eastAsia="Times New Roman" w:hAnsi="Times New Roman"/>
                <w:sz w:val="16"/>
                <w:szCs w:val="16"/>
                <w:color w:val="auto"/>
              </w:rPr>
              <w:t>(7)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jc w:val="right"/>
              <w:ind w:right="98"/>
              <w:spacing w:after="0"/>
              <w:rPr>
                <w:sz w:val="20"/>
                <w:szCs w:val="20"/>
                <w:color w:val="auto"/>
              </w:rPr>
            </w:pPr>
            <w:r>
              <w:rPr>
                <w:rFonts w:ascii="Times New Roman" w:cs="Times New Roman" w:eastAsia="Times New Roman" w:hAnsi="Times New Roman"/>
                <w:sz w:val="16"/>
                <w:szCs w:val="16"/>
                <w:color w:val="auto"/>
              </w:rPr>
              <w:t>(31)</w:t>
            </w:r>
          </w:p>
        </w:tc>
        <w:tc>
          <w:tcPr>
            <w:tcW w:w="0" w:type="dxa"/>
            <w:vAlign w:val="bottom"/>
          </w:tcPr>
          <w:p>
            <w:pPr>
              <w:spacing w:after="0"/>
              <w:rPr>
                <w:sz w:val="1"/>
                <w:szCs w:val="1"/>
                <w:color w:val="auto"/>
              </w:rPr>
            </w:pPr>
          </w:p>
        </w:tc>
      </w:tr>
      <w:tr>
        <w:trPr>
          <w:trHeight w:val="219"/>
        </w:trPr>
        <w:tc>
          <w:tcPr>
            <w:tcW w:w="46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Owner-occupied commercial real estate</w:t>
            </w:r>
          </w:p>
        </w:tc>
        <w:tc>
          <w:tcPr>
            <w:tcW w:w="20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38"/>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466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Acquisition, construction &amp; development</w:t>
            </w:r>
          </w:p>
        </w:tc>
        <w:tc>
          <w:tcPr>
            <w:tcW w:w="200" w:type="dxa"/>
            <w:vAlign w:val="bottom"/>
          </w:tcPr>
          <w:p>
            <w:pPr>
              <w:spacing w:after="0"/>
              <w:rPr>
                <w:sz w:val="18"/>
                <w:szCs w:val="18"/>
                <w:color w:val="auto"/>
              </w:rPr>
            </w:pPr>
          </w:p>
        </w:tc>
        <w:tc>
          <w:tcPr>
            <w:tcW w:w="144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1520" w:type="dxa"/>
            <w:vAlign w:val="bottom"/>
            <w:gridSpan w:val="2"/>
          </w:tcPr>
          <w:p>
            <w:pPr>
              <w:jc w:val="right"/>
              <w:ind w:right="3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146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1360" w:type="dxa"/>
            <w:vAlign w:val="bottom"/>
          </w:tcPr>
          <w:p>
            <w:pPr>
              <w:jc w:val="right"/>
              <w:ind w:right="138"/>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46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Commercial &amp; industrial</w:t>
            </w:r>
          </w:p>
        </w:tc>
        <w:tc>
          <w:tcPr>
            <w:tcW w:w="20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38"/>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466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Residential</w:t>
            </w:r>
          </w:p>
        </w:tc>
        <w:tc>
          <w:tcPr>
            <w:tcW w:w="200" w:type="dxa"/>
            <w:vAlign w:val="bottom"/>
          </w:tcPr>
          <w:p>
            <w:pPr>
              <w:spacing w:after="0"/>
              <w:rPr>
                <w:sz w:val="18"/>
                <w:szCs w:val="18"/>
                <w:color w:val="auto"/>
              </w:rPr>
            </w:pPr>
          </w:p>
        </w:tc>
        <w:tc>
          <w:tcPr>
            <w:tcW w:w="144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136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(3)</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jc w:val="right"/>
              <w:ind w:right="98"/>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jc w:val="right"/>
              <w:ind w:right="98"/>
              <w:spacing w:after="0"/>
              <w:rPr>
                <w:sz w:val="20"/>
                <w:szCs w:val="20"/>
                <w:color w:val="auto"/>
              </w:rPr>
            </w:pPr>
            <w:r>
              <w:rPr>
                <w:rFonts w:ascii="Times New Roman" w:cs="Times New Roman" w:eastAsia="Times New Roman" w:hAnsi="Times New Roman"/>
                <w:sz w:val="16"/>
                <w:szCs w:val="16"/>
                <w:color w:val="auto"/>
              </w:rPr>
              <w:t>(6)</w:t>
            </w:r>
          </w:p>
        </w:tc>
        <w:tc>
          <w:tcPr>
            <w:tcW w:w="0" w:type="dxa"/>
            <w:vAlign w:val="bottom"/>
          </w:tcPr>
          <w:p>
            <w:pPr>
              <w:spacing w:after="0"/>
              <w:rPr>
                <w:sz w:val="1"/>
                <w:szCs w:val="1"/>
                <w:color w:val="auto"/>
              </w:rPr>
            </w:pPr>
          </w:p>
        </w:tc>
      </w:tr>
      <w:tr>
        <w:trPr>
          <w:trHeight w:val="219"/>
        </w:trPr>
        <w:tc>
          <w:tcPr>
            <w:tcW w:w="46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Consumer non-real estate and other</w:t>
            </w:r>
          </w:p>
        </w:tc>
        <w:tc>
          <w:tcPr>
            <w:tcW w:w="2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(8)</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(3)</w:t>
            </w:r>
          </w:p>
        </w:tc>
        <w:tc>
          <w:tcPr>
            <w:tcW w:w="16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ind w:right="98"/>
              <w:spacing w:after="0"/>
              <w:rPr>
                <w:sz w:val="20"/>
                <w:szCs w:val="20"/>
                <w:color w:val="auto"/>
              </w:rPr>
            </w:pPr>
            <w:r>
              <w:rPr>
                <w:rFonts w:ascii="Times New Roman" w:cs="Times New Roman" w:eastAsia="Times New Roman" w:hAnsi="Times New Roman"/>
                <w:sz w:val="16"/>
                <w:szCs w:val="16"/>
                <w:color w:val="auto"/>
              </w:rPr>
              <w:t>(9)</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ind w:right="98"/>
              <w:spacing w:after="0"/>
              <w:rPr>
                <w:sz w:val="20"/>
                <w:szCs w:val="20"/>
                <w:color w:val="auto"/>
              </w:rPr>
            </w:pPr>
            <w:r>
              <w:rPr>
                <w:rFonts w:ascii="Times New Roman" w:cs="Times New Roman" w:eastAsia="Times New Roman" w:hAnsi="Times New Roman"/>
                <w:sz w:val="16"/>
                <w:szCs w:val="16"/>
                <w:color w:val="auto"/>
              </w:rPr>
              <w:t>(6)</w:t>
            </w:r>
          </w:p>
        </w:tc>
        <w:tc>
          <w:tcPr>
            <w:tcW w:w="0" w:type="dxa"/>
            <w:vAlign w:val="bottom"/>
          </w:tcPr>
          <w:p>
            <w:pPr>
              <w:spacing w:after="0"/>
              <w:rPr>
                <w:sz w:val="1"/>
                <w:szCs w:val="1"/>
                <w:color w:val="auto"/>
              </w:rPr>
            </w:pPr>
          </w:p>
        </w:tc>
      </w:tr>
      <w:tr>
        <w:trPr>
          <w:trHeight w:val="207"/>
        </w:trPr>
        <w:tc>
          <w:tcPr>
            <w:tcW w:w="466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6"/>
                <w:szCs w:val="16"/>
                <w:color w:val="auto"/>
              </w:rPr>
              <w:t>Total recoveries of loans charged-off</w:t>
            </w:r>
          </w:p>
        </w:tc>
        <w:tc>
          <w:tcPr>
            <w:tcW w:w="20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(12)</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(9)</w:t>
            </w:r>
          </w:p>
        </w:tc>
        <w:tc>
          <w:tcPr>
            <w:tcW w:w="16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98"/>
              <w:spacing w:after="0"/>
              <w:rPr>
                <w:sz w:val="20"/>
                <w:szCs w:val="20"/>
                <w:color w:val="auto"/>
              </w:rPr>
            </w:pPr>
            <w:r>
              <w:rPr>
                <w:rFonts w:ascii="Times New Roman" w:cs="Times New Roman" w:eastAsia="Times New Roman" w:hAnsi="Times New Roman"/>
                <w:sz w:val="16"/>
                <w:szCs w:val="16"/>
                <w:color w:val="auto"/>
              </w:rPr>
              <w:t>(17)</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98"/>
              <w:spacing w:after="0"/>
              <w:rPr>
                <w:sz w:val="20"/>
                <w:szCs w:val="20"/>
                <w:color w:val="auto"/>
              </w:rPr>
            </w:pPr>
            <w:r>
              <w:rPr>
                <w:rFonts w:ascii="Times New Roman" w:cs="Times New Roman" w:eastAsia="Times New Roman" w:hAnsi="Times New Roman"/>
                <w:sz w:val="16"/>
                <w:szCs w:val="16"/>
                <w:color w:val="auto"/>
              </w:rPr>
              <w:t>(43)</w:t>
            </w:r>
          </w:p>
        </w:tc>
        <w:tc>
          <w:tcPr>
            <w:tcW w:w="0" w:type="dxa"/>
            <w:vAlign w:val="bottom"/>
          </w:tcPr>
          <w:p>
            <w:pPr>
              <w:spacing w:after="0"/>
              <w:rPr>
                <w:sz w:val="1"/>
                <w:szCs w:val="1"/>
                <w:color w:val="auto"/>
              </w:rPr>
            </w:pPr>
          </w:p>
        </w:tc>
      </w:tr>
      <w:tr>
        <w:trPr>
          <w:trHeight w:val="212"/>
        </w:trPr>
        <w:tc>
          <w:tcPr>
            <w:tcW w:w="4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loan charge-offs (recoveries)</w:t>
            </w:r>
          </w:p>
        </w:tc>
        <w:tc>
          <w:tcPr>
            <w:tcW w:w="20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599</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95</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138"/>
              <w:spacing w:after="0"/>
              <w:rPr>
                <w:sz w:val="20"/>
                <w:szCs w:val="20"/>
                <w:color w:val="auto"/>
              </w:rPr>
            </w:pPr>
            <w:r>
              <w:rPr>
                <w:rFonts w:ascii="Times New Roman" w:cs="Times New Roman" w:eastAsia="Times New Roman" w:hAnsi="Times New Roman"/>
                <w:sz w:val="16"/>
                <w:szCs w:val="16"/>
                <w:color w:val="auto"/>
              </w:rPr>
              <w:t>624</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138"/>
              <w:spacing w:after="0"/>
              <w:rPr>
                <w:sz w:val="20"/>
                <w:szCs w:val="20"/>
                <w:color w:val="auto"/>
              </w:rPr>
            </w:pPr>
            <w:r>
              <w:rPr>
                <w:rFonts w:ascii="Times New Roman" w:cs="Times New Roman" w:eastAsia="Times New Roman" w:hAnsi="Times New Roman"/>
                <w:sz w:val="16"/>
                <w:szCs w:val="16"/>
                <w:color w:val="auto"/>
              </w:rPr>
              <w:t>78</w:t>
            </w:r>
          </w:p>
        </w:tc>
        <w:tc>
          <w:tcPr>
            <w:tcW w:w="0" w:type="dxa"/>
            <w:vAlign w:val="bottom"/>
          </w:tcPr>
          <w:p>
            <w:pPr>
              <w:spacing w:after="0"/>
              <w:rPr>
                <w:sz w:val="1"/>
                <w:szCs w:val="1"/>
                <w:color w:val="auto"/>
              </w:rPr>
            </w:pPr>
          </w:p>
        </w:tc>
      </w:tr>
      <w:tr>
        <w:trPr>
          <w:trHeight w:val="213"/>
        </w:trPr>
        <w:tc>
          <w:tcPr>
            <w:tcW w:w="46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Provision for (recapture of) credit losses for the period</w:t>
            </w:r>
          </w:p>
        </w:tc>
        <w:tc>
          <w:tcPr>
            <w:tcW w:w="2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20,100</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rPr>
              <w:t>310</w:t>
            </w:r>
          </w:p>
        </w:tc>
        <w:tc>
          <w:tcPr>
            <w:tcW w:w="1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138"/>
              <w:spacing w:after="0"/>
              <w:rPr>
                <w:sz w:val="20"/>
                <w:szCs w:val="20"/>
                <w:color w:val="auto"/>
              </w:rPr>
            </w:pPr>
            <w:r>
              <w:rPr>
                <w:rFonts w:ascii="Times New Roman" w:cs="Times New Roman" w:eastAsia="Times New Roman" w:hAnsi="Times New Roman"/>
                <w:sz w:val="16"/>
                <w:szCs w:val="16"/>
                <w:color w:val="auto"/>
              </w:rPr>
              <w:t>19,430</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138"/>
              <w:spacing w:after="0"/>
              <w:rPr>
                <w:sz w:val="20"/>
                <w:szCs w:val="20"/>
                <w:color w:val="auto"/>
              </w:rPr>
            </w:pPr>
            <w:r>
              <w:rPr>
                <w:rFonts w:ascii="Times New Roman" w:cs="Times New Roman" w:eastAsia="Times New Roman" w:hAnsi="Times New Roman"/>
                <w:sz w:val="16"/>
                <w:szCs w:val="16"/>
                <w:color w:val="auto"/>
              </w:rPr>
              <w:t>833</w:t>
            </w:r>
          </w:p>
        </w:tc>
        <w:tc>
          <w:tcPr>
            <w:tcW w:w="0" w:type="dxa"/>
            <w:vAlign w:val="bottom"/>
          </w:tcPr>
          <w:p>
            <w:pPr>
              <w:spacing w:after="0"/>
              <w:rPr>
                <w:sz w:val="1"/>
                <w:szCs w:val="1"/>
                <w:color w:val="auto"/>
              </w:rPr>
            </w:pPr>
          </w:p>
        </w:tc>
      </w:tr>
      <w:tr>
        <w:trPr>
          <w:trHeight w:val="210"/>
        </w:trPr>
        <w:tc>
          <w:tcPr>
            <w:tcW w:w="4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Ending allowance</w:t>
            </w: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(68,017)</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(25,919)</w:t>
            </w:r>
          </w:p>
        </w:tc>
        <w:tc>
          <w:tcPr>
            <w:tcW w:w="1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shd w:val="clear" w:color="auto" w:fill="CCEEFF"/>
          </w:tcPr>
          <w:p>
            <w:pPr>
              <w:jc w:val="right"/>
              <w:ind w:right="98"/>
              <w:spacing w:after="0"/>
              <w:rPr>
                <w:sz w:val="20"/>
                <w:szCs w:val="20"/>
                <w:color w:val="auto"/>
              </w:rPr>
            </w:pPr>
            <w:r>
              <w:rPr>
                <w:rFonts w:ascii="Times New Roman" w:cs="Times New Roman" w:eastAsia="Times New Roman" w:hAnsi="Times New Roman"/>
                <w:sz w:val="16"/>
                <w:szCs w:val="16"/>
                <w:color w:val="auto"/>
              </w:rPr>
              <w:t>(68,017)</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shd w:val="clear" w:color="auto" w:fill="CCEEFF"/>
          </w:tcPr>
          <w:p>
            <w:pPr>
              <w:jc w:val="right"/>
              <w:ind w:right="98"/>
              <w:spacing w:after="0"/>
              <w:rPr>
                <w:sz w:val="20"/>
                <w:szCs w:val="20"/>
                <w:color w:val="auto"/>
              </w:rPr>
            </w:pPr>
            <w:r>
              <w:rPr>
                <w:rFonts w:ascii="Times New Roman" w:cs="Times New Roman" w:eastAsia="Times New Roman" w:hAnsi="Times New Roman"/>
                <w:sz w:val="16"/>
                <w:szCs w:val="16"/>
                <w:color w:val="auto"/>
              </w:rPr>
              <w:t>(25,919)</w:t>
            </w:r>
          </w:p>
        </w:tc>
        <w:tc>
          <w:tcPr>
            <w:tcW w:w="0" w:type="dxa"/>
            <w:vAlign w:val="bottom"/>
          </w:tcPr>
          <w:p>
            <w:pPr>
              <w:spacing w:after="0"/>
              <w:rPr>
                <w:sz w:val="1"/>
                <w:szCs w:val="1"/>
                <w:color w:val="auto"/>
              </w:rPr>
            </w:pPr>
          </w:p>
        </w:tc>
      </w:tr>
      <w:tr>
        <w:trPr>
          <w:trHeight w:val="253"/>
        </w:trPr>
        <w:tc>
          <w:tcPr>
            <w:tcW w:w="46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4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Average loans outstanding during the period</w:t>
            </w: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4,481,993</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2,002,482</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shd w:val="clear" w:color="auto" w:fill="CCEEFF"/>
          </w:tcPr>
          <w:p>
            <w:pPr>
              <w:jc w:val="right"/>
              <w:ind w:right="138"/>
              <w:spacing w:after="0"/>
              <w:rPr>
                <w:sz w:val="20"/>
                <w:szCs w:val="20"/>
                <w:color w:val="auto"/>
              </w:rPr>
            </w:pPr>
            <w:r>
              <w:rPr>
                <w:rFonts w:ascii="Times New Roman" w:cs="Times New Roman" w:eastAsia="Times New Roman" w:hAnsi="Times New Roman"/>
                <w:sz w:val="16"/>
                <w:szCs w:val="16"/>
                <w:color w:val="auto"/>
              </w:rPr>
              <w:t>3,283,909</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shd w:val="clear" w:color="auto" w:fill="CCEEFF"/>
          </w:tcPr>
          <w:p>
            <w:pPr>
              <w:jc w:val="right"/>
              <w:ind w:right="138"/>
              <w:spacing w:after="0"/>
              <w:rPr>
                <w:sz w:val="20"/>
                <w:szCs w:val="20"/>
                <w:color w:val="auto"/>
              </w:rPr>
            </w:pPr>
            <w:r>
              <w:rPr>
                <w:rFonts w:ascii="Times New Roman" w:cs="Times New Roman" w:eastAsia="Times New Roman" w:hAnsi="Times New Roman"/>
                <w:sz w:val="16"/>
                <w:szCs w:val="16"/>
                <w:color w:val="auto"/>
              </w:rPr>
              <w:t>1,961,309</w:t>
            </w:r>
          </w:p>
        </w:tc>
        <w:tc>
          <w:tcPr>
            <w:tcW w:w="0" w:type="dxa"/>
            <w:vAlign w:val="bottom"/>
          </w:tcPr>
          <w:p>
            <w:pPr>
              <w:spacing w:after="0"/>
              <w:rPr>
                <w:sz w:val="1"/>
                <w:szCs w:val="1"/>
                <w:color w:val="auto"/>
              </w:rPr>
            </w:pPr>
          </w:p>
        </w:tc>
      </w:tr>
      <w:tr>
        <w:trPr>
          <w:trHeight w:val="230"/>
        </w:trPr>
        <w:tc>
          <w:tcPr>
            <w:tcW w:w="4660" w:type="dxa"/>
            <w:vAlign w:val="bottom"/>
          </w:tcPr>
          <w:p>
            <w:pPr>
              <w:ind w:left="20"/>
              <w:spacing w:after="0" w:line="230" w:lineRule="exact"/>
              <w:rPr>
                <w:sz w:val="20"/>
                <w:szCs w:val="20"/>
                <w:color w:val="auto"/>
              </w:rPr>
            </w:pPr>
            <w:r>
              <w:rPr>
                <w:rFonts w:ascii="Times New Roman" w:cs="Times New Roman" w:eastAsia="Times New Roman" w:hAnsi="Times New Roman"/>
                <w:sz w:val="16"/>
                <w:szCs w:val="16"/>
                <w:color w:val="auto"/>
              </w:rPr>
              <w:t xml:space="preserve">Allowance coverage ratio </w:t>
            </w:r>
            <w:r>
              <w:rPr>
                <w:rFonts w:ascii="Times New Roman" w:cs="Times New Roman" w:eastAsia="Times New Roman" w:hAnsi="Times New Roman"/>
                <w:sz w:val="21"/>
                <w:szCs w:val="21"/>
                <w:color w:val="auto"/>
                <w:vertAlign w:val="superscript"/>
              </w:rPr>
              <w:t>(1)</w:t>
            </w:r>
          </w:p>
        </w:tc>
        <w:tc>
          <w:tcPr>
            <w:tcW w:w="2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1.21 %</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1.30 %</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1.21 %</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1.30 %</w:t>
            </w:r>
          </w:p>
        </w:tc>
        <w:tc>
          <w:tcPr>
            <w:tcW w:w="0" w:type="dxa"/>
            <w:vAlign w:val="bottom"/>
          </w:tcPr>
          <w:p>
            <w:pPr>
              <w:spacing w:after="0"/>
              <w:rPr>
                <w:sz w:val="1"/>
                <w:szCs w:val="1"/>
                <w:color w:val="auto"/>
              </w:rPr>
            </w:pPr>
          </w:p>
        </w:tc>
      </w:tr>
      <w:tr>
        <w:trPr>
          <w:trHeight w:val="230"/>
        </w:trPr>
        <w:tc>
          <w:tcPr>
            <w:tcW w:w="466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6"/>
                <w:szCs w:val="16"/>
                <w:color w:val="auto"/>
              </w:rPr>
              <w:t xml:space="preserve">Net charge-offs to average outstanding loans during the period </w:t>
            </w:r>
            <w:r>
              <w:rPr>
                <w:rFonts w:ascii="Times New Roman" w:cs="Times New Roman" w:eastAsia="Times New Roman" w:hAnsi="Times New Roman"/>
                <w:sz w:val="21"/>
                <w:szCs w:val="21"/>
                <w:color w:val="auto"/>
                <w:vertAlign w:val="superscript"/>
              </w:rPr>
              <w:t>(2)</w:t>
            </w: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0.01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0.00</w:t>
            </w:r>
          </w:p>
        </w:tc>
        <w:tc>
          <w:tcPr>
            <w:tcW w:w="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38"/>
              <w:spacing w:after="0"/>
              <w:rPr>
                <w:sz w:val="20"/>
                <w:szCs w:val="20"/>
                <w:color w:val="auto"/>
              </w:rPr>
            </w:pPr>
            <w:r>
              <w:rPr>
                <w:rFonts w:ascii="Times New Roman" w:cs="Times New Roman" w:eastAsia="Times New Roman" w:hAnsi="Times New Roman"/>
                <w:sz w:val="18"/>
                <w:szCs w:val="18"/>
                <w:color w:val="auto"/>
              </w:rPr>
              <w:t>0.02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38"/>
              <w:spacing w:after="0"/>
              <w:rPr>
                <w:sz w:val="20"/>
                <w:szCs w:val="20"/>
                <w:color w:val="auto"/>
              </w:rPr>
            </w:pPr>
            <w:r>
              <w:rPr>
                <w:rFonts w:ascii="Times New Roman" w:cs="Times New Roman" w:eastAsia="Times New Roman" w:hAnsi="Times New Roman"/>
                <w:sz w:val="18"/>
                <w:szCs w:val="18"/>
                <w:color w:val="auto"/>
              </w:rPr>
              <w:t>0.00</w:t>
            </w:r>
          </w:p>
        </w:tc>
        <w:tc>
          <w:tcPr>
            <w:tcW w:w="0" w:type="dxa"/>
            <w:vAlign w:val="bottom"/>
          </w:tcPr>
          <w:p>
            <w:pPr>
              <w:spacing w:after="0"/>
              <w:rPr>
                <w:sz w:val="1"/>
                <w:szCs w:val="1"/>
                <w:color w:val="auto"/>
              </w:rPr>
            </w:pPr>
          </w:p>
        </w:tc>
      </w:tr>
      <w:tr>
        <w:trPr>
          <w:trHeight w:val="162"/>
        </w:trPr>
        <w:tc>
          <w:tcPr>
            <w:tcW w:w="466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Allowance for credit losses as a percentage of non-performing loans</w:t>
            </w:r>
          </w:p>
        </w:tc>
        <w:tc>
          <w:tcPr>
            <w:tcW w:w="200" w:type="dxa"/>
            <w:vAlign w:val="bottom"/>
          </w:tcPr>
          <w:p>
            <w:pPr>
              <w:spacing w:after="0"/>
              <w:rPr>
                <w:sz w:val="14"/>
                <w:szCs w:val="14"/>
                <w:color w:val="auto"/>
              </w:rPr>
            </w:pPr>
          </w:p>
        </w:tc>
        <w:tc>
          <w:tcPr>
            <w:tcW w:w="1340" w:type="dxa"/>
            <w:vAlign w:val="bottom"/>
            <w:vMerge w:val="restart"/>
          </w:tcPr>
          <w:p>
            <w:pPr>
              <w:jc w:val="right"/>
              <w:ind w:right="119"/>
              <w:spacing w:after="0"/>
              <w:rPr>
                <w:sz w:val="20"/>
                <w:szCs w:val="20"/>
                <w:color w:val="auto"/>
              </w:rPr>
            </w:pPr>
            <w:r>
              <w:rPr>
                <w:rFonts w:ascii="Times New Roman" w:cs="Times New Roman" w:eastAsia="Times New Roman" w:hAnsi="Times New Roman"/>
                <w:sz w:val="16"/>
                <w:szCs w:val="16"/>
                <w:color w:val="auto"/>
              </w:rPr>
              <w:t>207.10</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60" w:type="dxa"/>
            <w:vAlign w:val="bottom"/>
            <w:vMerge w:val="restart"/>
          </w:tcPr>
          <w:p>
            <w:pPr>
              <w:jc w:val="right"/>
              <w:ind w:right="139"/>
              <w:spacing w:after="0"/>
              <w:rPr>
                <w:sz w:val="20"/>
                <w:szCs w:val="20"/>
                <w:color w:val="auto"/>
              </w:rPr>
            </w:pPr>
            <w:r>
              <w:rPr>
                <w:rFonts w:ascii="Times New Roman" w:cs="Times New Roman" w:eastAsia="Times New Roman" w:hAnsi="Times New Roman"/>
                <w:sz w:val="16"/>
                <w:szCs w:val="16"/>
                <w:color w:val="auto"/>
              </w:rPr>
              <w:t>886.73</w:t>
            </w: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60" w:type="dxa"/>
            <w:vAlign w:val="bottom"/>
            <w:vMerge w:val="restart"/>
          </w:tcPr>
          <w:p>
            <w:pPr>
              <w:jc w:val="right"/>
              <w:ind w:right="138"/>
              <w:spacing w:after="0"/>
              <w:rPr>
                <w:sz w:val="20"/>
                <w:szCs w:val="20"/>
                <w:color w:val="auto"/>
              </w:rPr>
            </w:pPr>
            <w:r>
              <w:rPr>
                <w:rFonts w:ascii="Times New Roman" w:cs="Times New Roman" w:eastAsia="Times New Roman" w:hAnsi="Times New Roman"/>
                <w:sz w:val="18"/>
                <w:szCs w:val="18"/>
                <w:color w:val="auto"/>
              </w:rPr>
              <w:t>207.10</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60" w:type="dxa"/>
            <w:vAlign w:val="bottom"/>
            <w:vMerge w:val="restart"/>
          </w:tcPr>
          <w:p>
            <w:pPr>
              <w:jc w:val="right"/>
              <w:ind w:right="138"/>
              <w:spacing w:after="0"/>
              <w:rPr>
                <w:sz w:val="20"/>
                <w:szCs w:val="20"/>
                <w:color w:val="auto"/>
              </w:rPr>
            </w:pPr>
            <w:r>
              <w:rPr>
                <w:rFonts w:ascii="Times New Roman" w:cs="Times New Roman" w:eastAsia="Times New Roman" w:hAnsi="Times New Roman"/>
                <w:sz w:val="18"/>
                <w:szCs w:val="18"/>
                <w:color w:val="auto"/>
              </w:rPr>
              <w:t>886.73</w:t>
            </w:r>
          </w:p>
        </w:tc>
        <w:tc>
          <w:tcPr>
            <w:tcW w:w="0" w:type="dxa"/>
            <w:vAlign w:val="bottom"/>
          </w:tcPr>
          <w:p>
            <w:pPr>
              <w:spacing w:after="0"/>
              <w:rPr>
                <w:sz w:val="1"/>
                <w:szCs w:val="1"/>
                <w:color w:val="auto"/>
              </w:rPr>
            </w:pPr>
          </w:p>
        </w:tc>
      </w:tr>
      <w:tr>
        <w:trPr>
          <w:trHeight w:val="54"/>
        </w:trPr>
        <w:tc>
          <w:tcPr>
            <w:tcW w:w="4660" w:type="dxa"/>
            <w:vAlign w:val="bottom"/>
            <w:vMerge w:val="restart"/>
          </w:tcPr>
          <w:p>
            <w:pPr>
              <w:ind w:left="20"/>
              <w:spacing w:after="0"/>
              <w:rPr>
                <w:sz w:val="20"/>
                <w:szCs w:val="20"/>
                <w:color w:val="auto"/>
              </w:rPr>
            </w:pPr>
            <w:r>
              <w:rPr>
                <w:rFonts w:ascii="Times New Roman" w:cs="Times New Roman" w:eastAsia="Times New Roman" w:hAnsi="Times New Roman"/>
                <w:sz w:val="11"/>
                <w:szCs w:val="11"/>
                <w:color w:val="auto"/>
              </w:rPr>
              <w:t>(3)</w:t>
            </w:r>
          </w:p>
        </w:tc>
        <w:tc>
          <w:tcPr>
            <w:tcW w:w="200" w:type="dxa"/>
            <w:vAlign w:val="bottom"/>
          </w:tcPr>
          <w:p>
            <w:pPr>
              <w:spacing w:after="0"/>
              <w:rPr>
                <w:sz w:val="4"/>
                <w:szCs w:val="4"/>
                <w:color w:val="auto"/>
              </w:rPr>
            </w:pPr>
          </w:p>
        </w:tc>
        <w:tc>
          <w:tcPr>
            <w:tcW w:w="134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60" w:type="dxa"/>
            <w:vAlign w:val="bottom"/>
          </w:tcPr>
          <w:p>
            <w:pPr>
              <w:spacing w:after="0"/>
              <w:rPr>
                <w:sz w:val="4"/>
                <w:szCs w:val="4"/>
                <w:color w:val="auto"/>
              </w:rPr>
            </w:pPr>
          </w:p>
        </w:tc>
        <w:tc>
          <w:tcPr>
            <w:tcW w:w="20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84"/>
        </w:trPr>
        <w:tc>
          <w:tcPr>
            <w:tcW w:w="466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13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0" w:type="dxa"/>
            <w:vAlign w:val="bottom"/>
          </w:tcPr>
          <w:p>
            <w:pPr>
              <w:spacing w:after="0"/>
              <w:rPr>
                <w:sz w:val="7"/>
                <w:szCs w:val="7"/>
                <w:color w:val="auto"/>
              </w:rPr>
            </w:pPr>
          </w:p>
        </w:tc>
        <w:tc>
          <w:tcPr>
            <w:tcW w:w="1360" w:type="dxa"/>
            <w:vAlign w:val="bottom"/>
          </w:tcPr>
          <w:p>
            <w:pPr>
              <w:spacing w:after="0"/>
              <w:rPr>
                <w:sz w:val="7"/>
                <w:szCs w:val="7"/>
                <w:color w:val="auto"/>
              </w:rPr>
            </w:pPr>
          </w:p>
        </w:tc>
        <w:tc>
          <w:tcPr>
            <w:tcW w:w="160" w:type="dxa"/>
            <w:vAlign w:val="bottom"/>
          </w:tcPr>
          <w:p>
            <w:pPr>
              <w:spacing w:after="0"/>
              <w:rPr>
                <w:sz w:val="7"/>
                <w:szCs w:val="7"/>
                <w:color w:val="auto"/>
              </w:rPr>
            </w:pPr>
          </w:p>
        </w:tc>
        <w:tc>
          <w:tcPr>
            <w:tcW w:w="200" w:type="dxa"/>
            <w:vAlign w:val="bottom"/>
          </w:tcPr>
          <w:p>
            <w:pPr>
              <w:spacing w:after="0"/>
              <w:rPr>
                <w:sz w:val="7"/>
                <w:szCs w:val="7"/>
                <w:color w:val="auto"/>
              </w:rPr>
            </w:pPr>
          </w:p>
        </w:tc>
        <w:tc>
          <w:tcPr>
            <w:tcW w:w="136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0" w:type="dxa"/>
            <w:vAlign w:val="bottom"/>
          </w:tcPr>
          <w:p>
            <w:pPr>
              <w:spacing w:after="0"/>
              <w:rPr>
                <w:sz w:val="7"/>
                <w:szCs w:val="7"/>
                <w:color w:val="auto"/>
              </w:rPr>
            </w:pPr>
          </w:p>
        </w:tc>
        <w:tc>
          <w:tcPr>
            <w:tcW w:w="136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4" w:lineRule="exact"/>
        <w:rPr>
          <w:sz w:val="20"/>
          <w:szCs w:val="20"/>
          <w:color w:val="auto"/>
        </w:rPr>
      </w:pPr>
    </w:p>
    <w:p>
      <w:pPr>
        <w:ind w:left="640" w:hanging="308"/>
        <w:spacing w:after="0"/>
        <w:tabs>
          <w:tab w:leader="none" w:pos="64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allowance coverage ratio is calculated by dividing the ACL at the end of the period by gross loans, net of unearned income at the end of the period.</w:t>
      </w:r>
    </w:p>
    <w:p>
      <w:pPr>
        <w:spacing w:after="0" w:line="109" w:lineRule="exact"/>
        <w:rPr>
          <w:rFonts w:ascii="Times New Roman" w:cs="Times New Roman" w:eastAsia="Times New Roman" w:hAnsi="Times New Roman"/>
          <w:sz w:val="14"/>
          <w:szCs w:val="14"/>
          <w:color w:val="auto"/>
        </w:rPr>
      </w:pPr>
    </w:p>
    <w:p>
      <w:pPr>
        <w:ind w:left="660" w:hanging="328"/>
        <w:spacing w:after="0" w:line="302" w:lineRule="auto"/>
        <w:tabs>
          <w:tab w:leader="none" w:pos="652"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Net charge-offs to average outstanding loans during the period is calculated by dividing total net loan charge-offs (recoveries) during the year by average gross loans outstanding during the year.</w:t>
      </w:r>
    </w:p>
    <w:p>
      <w:pPr>
        <w:spacing w:after="0" w:line="53" w:lineRule="exact"/>
        <w:rPr>
          <w:rFonts w:ascii="Times New Roman" w:cs="Times New Roman" w:eastAsia="Times New Roman" w:hAnsi="Times New Roman"/>
          <w:sz w:val="14"/>
          <w:szCs w:val="14"/>
          <w:color w:val="auto"/>
        </w:rPr>
      </w:pPr>
    </w:p>
    <w:p>
      <w:pPr>
        <w:ind w:left="640" w:hanging="308"/>
        <w:spacing w:after="0"/>
        <w:tabs>
          <w:tab w:leader="none" w:pos="64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Allowance for credit losses as a percentage of non-performing loans ratio is calculated by dividing the ACL at the end of the period by non-accrual loans at the end of the period.</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ACL by portfolio with a comparison of the percentage composition in relation to total ACL and allowance for credit losses and total loans as of June 30, 2024, and December 31, 2023 (dollars in thousands).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June 30, 2024</w:t>
            </w:r>
          </w:p>
        </w:tc>
        <w:tc>
          <w:tcPr>
            <w:tcW w:w="16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9"/>
        </w:trPr>
        <w:tc>
          <w:tcPr>
            <w:tcW w:w="6100" w:type="dxa"/>
            <w:vAlign w:val="bottom"/>
          </w:tcPr>
          <w:p>
            <w:pPr>
              <w:spacing w:after="0"/>
              <w:rPr>
                <w:sz w:val="13"/>
                <w:szCs w:val="13"/>
                <w:color w:val="auto"/>
              </w:rPr>
            </w:pPr>
          </w:p>
        </w:tc>
        <w:tc>
          <w:tcPr>
            <w:tcW w:w="166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Allowance for credit</w:t>
            </w:r>
          </w:p>
        </w:tc>
        <w:tc>
          <w:tcPr>
            <w:tcW w:w="1800" w:type="dxa"/>
            <w:vAlign w:val="bottom"/>
            <w:gridSpan w:val="2"/>
          </w:tcPr>
          <w:p>
            <w:pPr>
              <w:jc w:val="center"/>
              <w:ind w:right="120"/>
              <w:spacing w:after="0" w:line="158" w:lineRule="exact"/>
              <w:rPr>
                <w:sz w:val="20"/>
                <w:szCs w:val="20"/>
                <w:color w:val="auto"/>
              </w:rPr>
            </w:pPr>
            <w:r>
              <w:rPr>
                <w:rFonts w:ascii="Times New Roman" w:cs="Times New Roman" w:eastAsia="Times New Roman" w:hAnsi="Times New Roman"/>
                <w:sz w:val="16"/>
                <w:szCs w:val="16"/>
                <w:b w:val="1"/>
                <w:bCs w:val="1"/>
                <w:color w:val="auto"/>
              </w:rPr>
              <w:t>Percent of Allowance in</w:t>
            </w:r>
          </w:p>
        </w:tc>
        <w:tc>
          <w:tcPr>
            <w:tcW w:w="1680" w:type="dxa"/>
            <w:vAlign w:val="bottom"/>
          </w:tcPr>
          <w:p>
            <w:pPr>
              <w:jc w:val="center"/>
              <w:spacing w:after="0" w:line="158" w:lineRule="exact"/>
              <w:rPr>
                <w:sz w:val="20"/>
                <w:szCs w:val="20"/>
                <w:color w:val="auto"/>
              </w:rPr>
            </w:pPr>
            <w:r>
              <w:rPr>
                <w:rFonts w:ascii="Times New Roman" w:cs="Times New Roman" w:eastAsia="Times New Roman" w:hAnsi="Times New Roman"/>
                <w:sz w:val="16"/>
                <w:szCs w:val="16"/>
                <w:b w:val="1"/>
                <w:bCs w:val="1"/>
                <w:color w:val="auto"/>
              </w:rPr>
              <w:t>Percent of Loans in</w:t>
            </w:r>
          </w:p>
        </w:tc>
        <w:tc>
          <w:tcPr>
            <w:tcW w:w="0" w:type="dxa"/>
            <w:vAlign w:val="bottom"/>
          </w:tcPr>
          <w:p>
            <w:pPr>
              <w:spacing w:after="0"/>
              <w:rPr>
                <w:sz w:val="1"/>
                <w:szCs w:val="1"/>
                <w:color w:val="auto"/>
              </w:rPr>
            </w:pPr>
          </w:p>
        </w:tc>
      </w:tr>
      <w:tr>
        <w:trPr>
          <w:trHeight w:val="162"/>
        </w:trPr>
        <w:tc>
          <w:tcPr>
            <w:tcW w:w="6100" w:type="dxa"/>
            <w:vAlign w:val="bottom"/>
          </w:tcPr>
          <w:p>
            <w:pPr>
              <w:spacing w:after="0"/>
              <w:rPr>
                <w:sz w:val="14"/>
                <w:szCs w:val="14"/>
                <w:color w:val="auto"/>
              </w:rPr>
            </w:pPr>
          </w:p>
        </w:tc>
        <w:tc>
          <w:tcPr>
            <w:tcW w:w="1660" w:type="dxa"/>
            <w:vAlign w:val="bottom"/>
            <w:gridSpan w:val="3"/>
            <w:vMerge w:val="continue"/>
          </w:tcPr>
          <w:p>
            <w:pPr>
              <w:spacing w:after="0"/>
              <w:rPr>
                <w:sz w:val="14"/>
                <w:szCs w:val="14"/>
                <w:color w:val="auto"/>
              </w:rPr>
            </w:pPr>
          </w:p>
        </w:tc>
        <w:tc>
          <w:tcPr>
            <w:tcW w:w="1800" w:type="dxa"/>
            <w:vAlign w:val="bottom"/>
            <w:gridSpan w:val="2"/>
          </w:tcPr>
          <w:p>
            <w:pPr>
              <w:jc w:val="center"/>
              <w:ind w:right="120"/>
              <w:spacing w:after="0" w:line="162" w:lineRule="exact"/>
              <w:rPr>
                <w:sz w:val="20"/>
                <w:szCs w:val="20"/>
                <w:color w:val="auto"/>
              </w:rPr>
            </w:pPr>
            <w:r>
              <w:rPr>
                <w:rFonts w:ascii="Times New Roman" w:cs="Times New Roman" w:eastAsia="Times New Roman" w:hAnsi="Times New Roman"/>
                <w:sz w:val="16"/>
                <w:szCs w:val="16"/>
                <w:b w:val="1"/>
                <w:bCs w:val="1"/>
                <w:color w:val="auto"/>
              </w:rPr>
              <w:t>Each Category to Total</w:t>
            </w:r>
          </w:p>
        </w:tc>
        <w:tc>
          <w:tcPr>
            <w:tcW w:w="168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Each Category to Total</w:t>
            </w:r>
          </w:p>
        </w:tc>
        <w:tc>
          <w:tcPr>
            <w:tcW w:w="0" w:type="dxa"/>
            <w:vAlign w:val="bottom"/>
          </w:tcPr>
          <w:p>
            <w:pPr>
              <w:spacing w:after="0"/>
              <w:rPr>
                <w:sz w:val="1"/>
                <w:szCs w:val="1"/>
                <w:color w:val="auto"/>
              </w:rPr>
            </w:pPr>
          </w:p>
        </w:tc>
      </w:tr>
      <w:tr>
        <w:trPr>
          <w:trHeight w:val="214"/>
        </w:trPr>
        <w:tc>
          <w:tcPr>
            <w:tcW w:w="6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20" w:type="dxa"/>
            <w:vAlign w:val="bottom"/>
            <w:gridSpan w:val="2"/>
          </w:tcPr>
          <w:p>
            <w:pPr>
              <w:jc w:val="center"/>
              <w:ind w:right="440"/>
              <w:spacing w:after="0"/>
              <w:rPr>
                <w:sz w:val="20"/>
                <w:szCs w:val="20"/>
                <w:color w:val="auto"/>
              </w:rPr>
            </w:pPr>
            <w:r>
              <w:rPr>
                <w:rFonts w:ascii="Times New Roman" w:cs="Times New Roman" w:eastAsia="Times New Roman" w:hAnsi="Times New Roman"/>
                <w:sz w:val="16"/>
                <w:szCs w:val="16"/>
                <w:b w:val="1"/>
                <w:bCs w:val="1"/>
                <w:color w:val="auto"/>
              </w:rPr>
              <w:t>losses</w:t>
            </w:r>
          </w:p>
        </w:tc>
        <w:tc>
          <w:tcPr>
            <w:tcW w:w="180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Allocated ACL</w:t>
            </w:r>
          </w:p>
        </w:tc>
        <w:tc>
          <w:tcPr>
            <w:tcW w:w="16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Loans</w:t>
            </w:r>
          </w:p>
        </w:tc>
        <w:tc>
          <w:tcPr>
            <w:tcW w:w="0" w:type="dxa"/>
            <w:vAlign w:val="bottom"/>
          </w:tcPr>
          <w:p>
            <w:pPr>
              <w:spacing w:after="0"/>
              <w:rPr>
                <w:sz w:val="1"/>
                <w:szCs w:val="1"/>
                <w:color w:val="auto"/>
              </w:rPr>
            </w:pPr>
          </w:p>
        </w:tc>
      </w:tr>
      <w:tr>
        <w:trPr>
          <w:trHeight w:val="211"/>
        </w:trPr>
        <w:tc>
          <w:tcPr>
            <w:tcW w:w="61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Commercial real estate</w:t>
            </w:r>
          </w:p>
        </w:tc>
        <w:tc>
          <w:tcPr>
            <w:tcW w:w="340" w:type="dxa"/>
            <w:vAlign w:val="bottom"/>
            <w:tcBorders>
              <w:top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27,304</w:t>
            </w:r>
          </w:p>
        </w:tc>
        <w:tc>
          <w:tcPr>
            <w:tcW w:w="100" w:type="dxa"/>
            <w:vAlign w:val="bottom"/>
            <w:tcBorders>
              <w:top w:val="single" w:sz="8" w:color="CCEEFF"/>
            </w:tcBorders>
            <w:shd w:val="clear" w:color="auto" w:fill="CCEEFF"/>
          </w:tcPr>
          <w:p>
            <w:pPr>
              <w:spacing w:after="0"/>
              <w:rPr>
                <w:sz w:val="18"/>
                <w:szCs w:val="18"/>
                <w:color w:val="auto"/>
              </w:rPr>
            </w:pPr>
          </w:p>
        </w:tc>
        <w:tc>
          <w:tcPr>
            <w:tcW w:w="1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40.14 %</w:t>
            </w:r>
          </w:p>
        </w:tc>
        <w:tc>
          <w:tcPr>
            <w:tcW w:w="100" w:type="dxa"/>
            <w:vAlign w:val="bottom"/>
            <w:tcBorders>
              <w:top w:val="single" w:sz="8" w:color="CCEEFF"/>
            </w:tcBorders>
            <w:shd w:val="clear" w:color="auto" w:fill="CCEEFF"/>
          </w:tcPr>
          <w:p>
            <w:pPr>
              <w:spacing w:after="0"/>
              <w:rPr>
                <w:sz w:val="18"/>
                <w:szCs w:val="18"/>
                <w:color w:val="auto"/>
              </w:rPr>
            </w:pPr>
          </w:p>
        </w:tc>
        <w:tc>
          <w:tcPr>
            <w:tcW w:w="1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45.29 %</w:t>
            </w:r>
          </w:p>
        </w:tc>
        <w:tc>
          <w:tcPr>
            <w:tcW w:w="0" w:type="dxa"/>
            <w:vAlign w:val="bottom"/>
          </w:tcPr>
          <w:p>
            <w:pPr>
              <w:spacing w:after="0"/>
              <w:rPr>
                <w:sz w:val="1"/>
                <w:szCs w:val="1"/>
                <w:color w:val="auto"/>
              </w:rPr>
            </w:pPr>
          </w:p>
        </w:tc>
      </w:tr>
      <w:tr>
        <w:trPr>
          <w:trHeight w:val="213"/>
        </w:trPr>
        <w:tc>
          <w:tcPr>
            <w:tcW w:w="6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Owner-occupied commercial real estate</w:t>
            </w:r>
          </w:p>
        </w:tc>
        <w:tc>
          <w:tcPr>
            <w:tcW w:w="3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5,040</w:t>
            </w:r>
          </w:p>
        </w:tc>
        <w:tc>
          <w:tcPr>
            <w:tcW w:w="100" w:type="dxa"/>
            <w:vAlign w:val="bottom"/>
          </w:tcPr>
          <w:p>
            <w:pPr>
              <w:spacing w:after="0"/>
              <w:rPr>
                <w:sz w:val="18"/>
                <w:szCs w:val="18"/>
                <w:color w:val="auto"/>
              </w:rPr>
            </w:pPr>
          </w:p>
        </w:tc>
        <w:tc>
          <w:tcPr>
            <w:tcW w:w="17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7.41</w:t>
            </w:r>
          </w:p>
        </w:tc>
        <w:tc>
          <w:tcPr>
            <w:tcW w:w="100" w:type="dxa"/>
            <w:vAlign w:val="bottom"/>
          </w:tcPr>
          <w:p>
            <w:pPr>
              <w:spacing w:after="0"/>
              <w:rPr>
                <w:sz w:val="18"/>
                <w:szCs w:val="18"/>
                <w:color w:val="auto"/>
              </w:rPr>
            </w:pPr>
          </w:p>
        </w:tc>
        <w:tc>
          <w:tcPr>
            <w:tcW w:w="16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11.15</w:t>
            </w:r>
          </w:p>
        </w:tc>
        <w:tc>
          <w:tcPr>
            <w:tcW w:w="0" w:type="dxa"/>
            <w:vAlign w:val="bottom"/>
          </w:tcPr>
          <w:p>
            <w:pPr>
              <w:spacing w:after="0"/>
              <w:rPr>
                <w:sz w:val="1"/>
                <w:szCs w:val="1"/>
                <w:color w:val="auto"/>
              </w:rPr>
            </w:pPr>
          </w:p>
        </w:tc>
      </w:tr>
      <w:tr>
        <w:trPr>
          <w:trHeight w:val="219"/>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Acquisition, construction &amp; development</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18,639</w:t>
            </w: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27.40</w:t>
            </w:r>
          </w:p>
        </w:tc>
        <w:tc>
          <w:tcPr>
            <w:tcW w:w="100" w:type="dxa"/>
            <w:vAlign w:val="bottom"/>
            <w:shd w:val="clear" w:color="auto" w:fill="CCEEFF"/>
          </w:tcPr>
          <w:p>
            <w:pPr>
              <w:spacing w:after="0"/>
              <w:rPr>
                <w:sz w:val="19"/>
                <w:szCs w:val="19"/>
                <w:color w:val="auto"/>
              </w:rPr>
            </w:pPr>
          </w:p>
        </w:tc>
        <w:tc>
          <w:tcPr>
            <w:tcW w:w="16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8.54</w:t>
            </w:r>
          </w:p>
        </w:tc>
        <w:tc>
          <w:tcPr>
            <w:tcW w:w="0" w:type="dxa"/>
            <w:vAlign w:val="bottom"/>
          </w:tcPr>
          <w:p>
            <w:pPr>
              <w:spacing w:after="0"/>
              <w:rPr>
                <w:sz w:val="1"/>
                <w:szCs w:val="1"/>
                <w:color w:val="auto"/>
              </w:rPr>
            </w:pPr>
          </w:p>
        </w:tc>
      </w:tr>
      <w:tr>
        <w:trPr>
          <w:trHeight w:val="213"/>
        </w:trPr>
        <w:tc>
          <w:tcPr>
            <w:tcW w:w="6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Commercial &amp; industrial</w:t>
            </w:r>
          </w:p>
        </w:tc>
        <w:tc>
          <w:tcPr>
            <w:tcW w:w="3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4,768</w:t>
            </w:r>
          </w:p>
        </w:tc>
        <w:tc>
          <w:tcPr>
            <w:tcW w:w="100" w:type="dxa"/>
            <w:vAlign w:val="bottom"/>
          </w:tcPr>
          <w:p>
            <w:pPr>
              <w:spacing w:after="0"/>
              <w:rPr>
                <w:sz w:val="18"/>
                <w:szCs w:val="18"/>
                <w:color w:val="auto"/>
              </w:rPr>
            </w:pPr>
          </w:p>
        </w:tc>
        <w:tc>
          <w:tcPr>
            <w:tcW w:w="17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7.01</w:t>
            </w:r>
          </w:p>
        </w:tc>
        <w:tc>
          <w:tcPr>
            <w:tcW w:w="100" w:type="dxa"/>
            <w:vAlign w:val="bottom"/>
          </w:tcPr>
          <w:p>
            <w:pPr>
              <w:spacing w:after="0"/>
              <w:rPr>
                <w:sz w:val="18"/>
                <w:szCs w:val="18"/>
                <w:color w:val="auto"/>
              </w:rPr>
            </w:pPr>
          </w:p>
        </w:tc>
        <w:tc>
          <w:tcPr>
            <w:tcW w:w="16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8.90</w:t>
            </w:r>
          </w:p>
        </w:tc>
        <w:tc>
          <w:tcPr>
            <w:tcW w:w="0" w:type="dxa"/>
            <w:vAlign w:val="bottom"/>
          </w:tcPr>
          <w:p>
            <w:pPr>
              <w:spacing w:after="0"/>
              <w:rPr>
                <w:sz w:val="1"/>
                <w:szCs w:val="1"/>
                <w:color w:val="auto"/>
              </w:rPr>
            </w:pPr>
          </w:p>
        </w:tc>
      </w:tr>
      <w:tr>
        <w:trPr>
          <w:trHeight w:val="219"/>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Residential</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11,648</w:t>
            </w: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17.13</w:t>
            </w:r>
          </w:p>
        </w:tc>
        <w:tc>
          <w:tcPr>
            <w:tcW w:w="100" w:type="dxa"/>
            <w:vAlign w:val="bottom"/>
            <w:shd w:val="clear" w:color="auto" w:fill="CCEEFF"/>
          </w:tcPr>
          <w:p>
            <w:pPr>
              <w:spacing w:after="0"/>
              <w:rPr>
                <w:sz w:val="19"/>
                <w:szCs w:val="19"/>
                <w:color w:val="auto"/>
              </w:rPr>
            </w:pPr>
          </w:p>
        </w:tc>
        <w:tc>
          <w:tcPr>
            <w:tcW w:w="16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21.72</w:t>
            </w:r>
          </w:p>
        </w:tc>
        <w:tc>
          <w:tcPr>
            <w:tcW w:w="0" w:type="dxa"/>
            <w:vAlign w:val="bottom"/>
          </w:tcPr>
          <w:p>
            <w:pPr>
              <w:spacing w:after="0"/>
              <w:rPr>
                <w:sz w:val="1"/>
                <w:szCs w:val="1"/>
                <w:color w:val="auto"/>
              </w:rPr>
            </w:pPr>
          </w:p>
        </w:tc>
      </w:tr>
      <w:tr>
        <w:trPr>
          <w:trHeight w:val="213"/>
        </w:trPr>
        <w:tc>
          <w:tcPr>
            <w:tcW w:w="6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Consumer non-real estate and other</w:t>
            </w:r>
          </w:p>
        </w:tc>
        <w:tc>
          <w:tcPr>
            <w:tcW w:w="3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618</w:t>
            </w:r>
          </w:p>
        </w:tc>
        <w:tc>
          <w:tcPr>
            <w:tcW w:w="100" w:type="dxa"/>
            <w:vAlign w:val="bottom"/>
            <w:tcBorders>
              <w:bottom w:val="single" w:sz="8" w:color="CCEEFF"/>
            </w:tcBorders>
          </w:tcPr>
          <w:p>
            <w:pPr>
              <w:spacing w:after="0"/>
              <w:rPr>
                <w:sz w:val="18"/>
                <w:szCs w:val="18"/>
                <w:color w:val="auto"/>
              </w:rPr>
            </w:pPr>
          </w:p>
        </w:tc>
        <w:tc>
          <w:tcPr>
            <w:tcW w:w="17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0.91</w:t>
            </w:r>
          </w:p>
        </w:tc>
        <w:tc>
          <w:tcPr>
            <w:tcW w:w="100" w:type="dxa"/>
            <w:vAlign w:val="bottom"/>
            <w:tcBorders>
              <w:bottom w:val="single" w:sz="8" w:color="CCEEFF"/>
            </w:tcBorders>
          </w:tcPr>
          <w:p>
            <w:pPr>
              <w:spacing w:after="0"/>
              <w:rPr>
                <w:sz w:val="18"/>
                <w:szCs w:val="18"/>
                <w:color w:val="auto"/>
              </w:rPr>
            </w:pPr>
          </w:p>
        </w:tc>
        <w:tc>
          <w:tcPr>
            <w:tcW w:w="168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4.40</w:t>
            </w:r>
          </w:p>
        </w:tc>
        <w:tc>
          <w:tcPr>
            <w:tcW w:w="0" w:type="dxa"/>
            <w:vAlign w:val="bottom"/>
          </w:tcPr>
          <w:p>
            <w:pPr>
              <w:spacing w:after="0"/>
              <w:rPr>
                <w:sz w:val="1"/>
                <w:szCs w:val="1"/>
                <w:color w:val="auto"/>
              </w:rPr>
            </w:pPr>
          </w:p>
        </w:tc>
      </w:tr>
      <w:tr>
        <w:trPr>
          <w:trHeight w:val="210"/>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68,017</w:t>
            </w:r>
          </w:p>
        </w:tc>
        <w:tc>
          <w:tcPr>
            <w:tcW w:w="100" w:type="dxa"/>
            <w:vAlign w:val="bottom"/>
            <w:shd w:val="clear" w:color="auto" w:fill="CCEEFF"/>
          </w:tcPr>
          <w:p>
            <w:pPr>
              <w:spacing w:after="0"/>
              <w:rPr>
                <w:sz w:val="18"/>
                <w:szCs w:val="18"/>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100.00 %</w:t>
            </w:r>
          </w:p>
        </w:tc>
        <w:tc>
          <w:tcPr>
            <w:tcW w:w="100" w:type="dxa"/>
            <w:vAlign w:val="bottom"/>
            <w:shd w:val="clear" w:color="auto" w:fill="CCEEFF"/>
          </w:tcPr>
          <w:p>
            <w:pPr>
              <w:spacing w:after="0"/>
              <w:rPr>
                <w:sz w:val="18"/>
                <w:szCs w:val="18"/>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100.00 %</w:t>
            </w:r>
          </w:p>
        </w:tc>
        <w:tc>
          <w:tcPr>
            <w:tcW w:w="0" w:type="dxa"/>
            <w:vAlign w:val="bottom"/>
          </w:tcPr>
          <w:p>
            <w:pPr>
              <w:spacing w:after="0"/>
              <w:rPr>
                <w:sz w:val="1"/>
                <w:szCs w:val="1"/>
                <w:color w:val="auto"/>
              </w:rPr>
            </w:pPr>
          </w:p>
        </w:tc>
      </w:tr>
      <w:tr>
        <w:trPr>
          <w:trHeight w:val="493"/>
        </w:trPr>
        <w:tc>
          <w:tcPr>
            <w:tcW w:w="610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December 31, 2023</w:t>
            </w:r>
          </w:p>
        </w:tc>
        <w:tc>
          <w:tcPr>
            <w:tcW w:w="16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8"/>
        </w:trPr>
        <w:tc>
          <w:tcPr>
            <w:tcW w:w="6100" w:type="dxa"/>
            <w:vAlign w:val="bottom"/>
          </w:tcPr>
          <w:p>
            <w:pPr>
              <w:spacing w:after="0"/>
              <w:rPr>
                <w:sz w:val="13"/>
                <w:szCs w:val="13"/>
                <w:color w:val="auto"/>
              </w:rPr>
            </w:pPr>
          </w:p>
        </w:tc>
        <w:tc>
          <w:tcPr>
            <w:tcW w:w="166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Allowance for credit</w:t>
            </w:r>
          </w:p>
        </w:tc>
        <w:tc>
          <w:tcPr>
            <w:tcW w:w="1800" w:type="dxa"/>
            <w:vAlign w:val="bottom"/>
            <w:gridSpan w:val="2"/>
          </w:tcPr>
          <w:p>
            <w:pPr>
              <w:jc w:val="center"/>
              <w:ind w:right="120"/>
              <w:spacing w:after="0" w:line="158" w:lineRule="exact"/>
              <w:rPr>
                <w:sz w:val="20"/>
                <w:szCs w:val="20"/>
                <w:color w:val="auto"/>
              </w:rPr>
            </w:pPr>
            <w:r>
              <w:rPr>
                <w:rFonts w:ascii="Times New Roman" w:cs="Times New Roman" w:eastAsia="Times New Roman" w:hAnsi="Times New Roman"/>
                <w:sz w:val="16"/>
                <w:szCs w:val="16"/>
                <w:b w:val="1"/>
                <w:bCs w:val="1"/>
                <w:color w:val="auto"/>
              </w:rPr>
              <w:t>Percent of Allowance in</w:t>
            </w:r>
          </w:p>
        </w:tc>
        <w:tc>
          <w:tcPr>
            <w:tcW w:w="1680" w:type="dxa"/>
            <w:vAlign w:val="bottom"/>
          </w:tcPr>
          <w:p>
            <w:pPr>
              <w:jc w:val="center"/>
              <w:spacing w:after="0" w:line="158" w:lineRule="exact"/>
              <w:rPr>
                <w:sz w:val="20"/>
                <w:szCs w:val="20"/>
                <w:color w:val="auto"/>
              </w:rPr>
            </w:pPr>
            <w:r>
              <w:rPr>
                <w:rFonts w:ascii="Times New Roman" w:cs="Times New Roman" w:eastAsia="Times New Roman" w:hAnsi="Times New Roman"/>
                <w:sz w:val="16"/>
                <w:szCs w:val="16"/>
                <w:b w:val="1"/>
                <w:bCs w:val="1"/>
                <w:color w:val="auto"/>
              </w:rPr>
              <w:t>Percent of Loans in</w:t>
            </w:r>
          </w:p>
        </w:tc>
        <w:tc>
          <w:tcPr>
            <w:tcW w:w="0" w:type="dxa"/>
            <w:vAlign w:val="bottom"/>
          </w:tcPr>
          <w:p>
            <w:pPr>
              <w:spacing w:after="0"/>
              <w:rPr>
                <w:sz w:val="1"/>
                <w:szCs w:val="1"/>
                <w:color w:val="auto"/>
              </w:rPr>
            </w:pPr>
          </w:p>
        </w:tc>
      </w:tr>
      <w:tr>
        <w:trPr>
          <w:trHeight w:val="162"/>
        </w:trPr>
        <w:tc>
          <w:tcPr>
            <w:tcW w:w="6100" w:type="dxa"/>
            <w:vAlign w:val="bottom"/>
          </w:tcPr>
          <w:p>
            <w:pPr>
              <w:spacing w:after="0"/>
              <w:rPr>
                <w:sz w:val="14"/>
                <w:szCs w:val="14"/>
                <w:color w:val="auto"/>
              </w:rPr>
            </w:pPr>
          </w:p>
        </w:tc>
        <w:tc>
          <w:tcPr>
            <w:tcW w:w="1660" w:type="dxa"/>
            <w:vAlign w:val="bottom"/>
            <w:gridSpan w:val="3"/>
            <w:vMerge w:val="continue"/>
          </w:tcPr>
          <w:p>
            <w:pPr>
              <w:spacing w:after="0"/>
              <w:rPr>
                <w:sz w:val="14"/>
                <w:szCs w:val="14"/>
                <w:color w:val="auto"/>
              </w:rPr>
            </w:pPr>
          </w:p>
        </w:tc>
        <w:tc>
          <w:tcPr>
            <w:tcW w:w="1800" w:type="dxa"/>
            <w:vAlign w:val="bottom"/>
            <w:gridSpan w:val="2"/>
          </w:tcPr>
          <w:p>
            <w:pPr>
              <w:jc w:val="center"/>
              <w:ind w:right="120"/>
              <w:spacing w:after="0" w:line="162" w:lineRule="exact"/>
              <w:rPr>
                <w:sz w:val="20"/>
                <w:szCs w:val="20"/>
                <w:color w:val="auto"/>
              </w:rPr>
            </w:pPr>
            <w:r>
              <w:rPr>
                <w:rFonts w:ascii="Times New Roman" w:cs="Times New Roman" w:eastAsia="Times New Roman" w:hAnsi="Times New Roman"/>
                <w:sz w:val="16"/>
                <w:szCs w:val="16"/>
                <w:b w:val="1"/>
                <w:bCs w:val="1"/>
                <w:color w:val="auto"/>
              </w:rPr>
              <w:t>Each Category to Total</w:t>
            </w:r>
          </w:p>
        </w:tc>
        <w:tc>
          <w:tcPr>
            <w:tcW w:w="168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Each Category to Total</w:t>
            </w:r>
          </w:p>
        </w:tc>
        <w:tc>
          <w:tcPr>
            <w:tcW w:w="0" w:type="dxa"/>
            <w:vAlign w:val="bottom"/>
          </w:tcPr>
          <w:p>
            <w:pPr>
              <w:spacing w:after="0"/>
              <w:rPr>
                <w:sz w:val="1"/>
                <w:szCs w:val="1"/>
                <w:color w:val="auto"/>
              </w:rPr>
            </w:pPr>
          </w:p>
        </w:tc>
      </w:tr>
      <w:tr>
        <w:trPr>
          <w:trHeight w:val="214"/>
        </w:trPr>
        <w:tc>
          <w:tcPr>
            <w:tcW w:w="6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20" w:type="dxa"/>
            <w:vAlign w:val="bottom"/>
            <w:gridSpan w:val="2"/>
          </w:tcPr>
          <w:p>
            <w:pPr>
              <w:jc w:val="center"/>
              <w:ind w:right="440"/>
              <w:spacing w:after="0"/>
              <w:rPr>
                <w:sz w:val="20"/>
                <w:szCs w:val="20"/>
                <w:color w:val="auto"/>
              </w:rPr>
            </w:pPr>
            <w:r>
              <w:rPr>
                <w:rFonts w:ascii="Times New Roman" w:cs="Times New Roman" w:eastAsia="Times New Roman" w:hAnsi="Times New Roman"/>
                <w:sz w:val="16"/>
                <w:szCs w:val="16"/>
                <w:b w:val="1"/>
                <w:bCs w:val="1"/>
                <w:color w:val="auto"/>
              </w:rPr>
              <w:t>losses</w:t>
            </w:r>
          </w:p>
        </w:tc>
        <w:tc>
          <w:tcPr>
            <w:tcW w:w="18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Allocated Allowance</w:t>
            </w:r>
          </w:p>
        </w:tc>
        <w:tc>
          <w:tcPr>
            <w:tcW w:w="16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Loans</w:t>
            </w:r>
          </w:p>
        </w:tc>
        <w:tc>
          <w:tcPr>
            <w:tcW w:w="0" w:type="dxa"/>
            <w:vAlign w:val="bottom"/>
          </w:tcPr>
          <w:p>
            <w:pPr>
              <w:spacing w:after="0"/>
              <w:rPr>
                <w:sz w:val="1"/>
                <w:szCs w:val="1"/>
                <w:color w:val="auto"/>
              </w:rPr>
            </w:pPr>
          </w:p>
        </w:tc>
      </w:tr>
      <w:tr>
        <w:trPr>
          <w:trHeight w:val="211"/>
        </w:trPr>
        <w:tc>
          <w:tcPr>
            <w:tcW w:w="61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Commercial real estate</w:t>
            </w:r>
          </w:p>
        </w:tc>
        <w:tc>
          <w:tcPr>
            <w:tcW w:w="340" w:type="dxa"/>
            <w:vAlign w:val="bottom"/>
            <w:tcBorders>
              <w:top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20,633</w:t>
            </w:r>
          </w:p>
        </w:tc>
        <w:tc>
          <w:tcPr>
            <w:tcW w:w="100" w:type="dxa"/>
            <w:vAlign w:val="bottom"/>
            <w:tcBorders>
              <w:top w:val="single" w:sz="8" w:color="CCEEFF"/>
            </w:tcBorders>
            <w:shd w:val="clear" w:color="auto" w:fill="CCEEFF"/>
          </w:tcPr>
          <w:p>
            <w:pPr>
              <w:spacing w:after="0"/>
              <w:rPr>
                <w:sz w:val="18"/>
                <w:szCs w:val="18"/>
                <w:color w:val="auto"/>
              </w:rPr>
            </w:pPr>
          </w:p>
        </w:tc>
        <w:tc>
          <w:tcPr>
            <w:tcW w:w="1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81.56 %</w:t>
            </w:r>
          </w:p>
        </w:tc>
        <w:tc>
          <w:tcPr>
            <w:tcW w:w="100" w:type="dxa"/>
            <w:vAlign w:val="bottom"/>
            <w:tcBorders>
              <w:top w:val="single" w:sz="8" w:color="CCEEFF"/>
            </w:tcBorders>
            <w:shd w:val="clear" w:color="auto" w:fill="CCEEFF"/>
          </w:tcPr>
          <w:p>
            <w:pPr>
              <w:spacing w:after="0"/>
              <w:rPr>
                <w:sz w:val="18"/>
                <w:szCs w:val="18"/>
                <w:color w:val="auto"/>
              </w:rPr>
            </w:pPr>
          </w:p>
        </w:tc>
        <w:tc>
          <w:tcPr>
            <w:tcW w:w="1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62.71 %</w:t>
            </w:r>
          </w:p>
        </w:tc>
        <w:tc>
          <w:tcPr>
            <w:tcW w:w="0" w:type="dxa"/>
            <w:vAlign w:val="bottom"/>
          </w:tcPr>
          <w:p>
            <w:pPr>
              <w:spacing w:after="0"/>
              <w:rPr>
                <w:sz w:val="1"/>
                <w:szCs w:val="1"/>
                <w:color w:val="auto"/>
              </w:rPr>
            </w:pPr>
          </w:p>
        </w:tc>
      </w:tr>
      <w:tr>
        <w:trPr>
          <w:trHeight w:val="213"/>
        </w:trPr>
        <w:tc>
          <w:tcPr>
            <w:tcW w:w="6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Owner-occupied commercial real estate</w:t>
            </w:r>
          </w:p>
        </w:tc>
        <w:tc>
          <w:tcPr>
            <w:tcW w:w="3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783</w:t>
            </w:r>
          </w:p>
        </w:tc>
        <w:tc>
          <w:tcPr>
            <w:tcW w:w="100" w:type="dxa"/>
            <w:vAlign w:val="bottom"/>
          </w:tcPr>
          <w:p>
            <w:pPr>
              <w:spacing w:after="0"/>
              <w:rPr>
                <w:sz w:val="18"/>
                <w:szCs w:val="18"/>
                <w:color w:val="auto"/>
              </w:rPr>
            </w:pPr>
          </w:p>
        </w:tc>
        <w:tc>
          <w:tcPr>
            <w:tcW w:w="17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3.09</w:t>
            </w:r>
          </w:p>
        </w:tc>
        <w:tc>
          <w:tcPr>
            <w:tcW w:w="100" w:type="dxa"/>
            <w:vAlign w:val="bottom"/>
          </w:tcPr>
          <w:p>
            <w:pPr>
              <w:spacing w:after="0"/>
              <w:rPr>
                <w:sz w:val="18"/>
                <w:szCs w:val="18"/>
                <w:color w:val="auto"/>
              </w:rPr>
            </w:pPr>
          </w:p>
        </w:tc>
        <w:tc>
          <w:tcPr>
            <w:tcW w:w="16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6.29</w:t>
            </w:r>
          </w:p>
        </w:tc>
        <w:tc>
          <w:tcPr>
            <w:tcW w:w="0" w:type="dxa"/>
            <w:vAlign w:val="bottom"/>
          </w:tcPr>
          <w:p>
            <w:pPr>
              <w:spacing w:after="0"/>
              <w:rPr>
                <w:sz w:val="1"/>
                <w:szCs w:val="1"/>
                <w:color w:val="auto"/>
              </w:rPr>
            </w:pPr>
          </w:p>
        </w:tc>
      </w:tr>
      <w:tr>
        <w:trPr>
          <w:trHeight w:val="219"/>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Acquisition, construction &amp; development</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368</w:t>
            </w: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1.45</w:t>
            </w:r>
          </w:p>
        </w:tc>
        <w:tc>
          <w:tcPr>
            <w:tcW w:w="100" w:type="dxa"/>
            <w:vAlign w:val="bottom"/>
            <w:shd w:val="clear" w:color="auto" w:fill="CCEEFF"/>
          </w:tcPr>
          <w:p>
            <w:pPr>
              <w:spacing w:after="0"/>
              <w:rPr>
                <w:sz w:val="19"/>
                <w:szCs w:val="19"/>
                <w:color w:val="auto"/>
              </w:rPr>
            </w:pPr>
          </w:p>
        </w:tc>
        <w:tc>
          <w:tcPr>
            <w:tcW w:w="16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2.35</w:t>
            </w:r>
          </w:p>
        </w:tc>
        <w:tc>
          <w:tcPr>
            <w:tcW w:w="0" w:type="dxa"/>
            <w:vAlign w:val="bottom"/>
          </w:tcPr>
          <w:p>
            <w:pPr>
              <w:spacing w:after="0"/>
              <w:rPr>
                <w:sz w:val="1"/>
                <w:szCs w:val="1"/>
                <w:color w:val="auto"/>
              </w:rPr>
            </w:pPr>
          </w:p>
        </w:tc>
      </w:tr>
      <w:tr>
        <w:trPr>
          <w:trHeight w:val="213"/>
        </w:trPr>
        <w:tc>
          <w:tcPr>
            <w:tcW w:w="6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Commercial &amp; industrial</w:t>
            </w:r>
          </w:p>
        </w:tc>
        <w:tc>
          <w:tcPr>
            <w:tcW w:w="3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645</w:t>
            </w:r>
          </w:p>
        </w:tc>
        <w:tc>
          <w:tcPr>
            <w:tcW w:w="100" w:type="dxa"/>
            <w:vAlign w:val="bottom"/>
          </w:tcPr>
          <w:p>
            <w:pPr>
              <w:spacing w:after="0"/>
              <w:rPr>
                <w:sz w:val="18"/>
                <w:szCs w:val="18"/>
                <w:color w:val="auto"/>
              </w:rPr>
            </w:pPr>
          </w:p>
        </w:tc>
        <w:tc>
          <w:tcPr>
            <w:tcW w:w="17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2.55</w:t>
            </w:r>
          </w:p>
        </w:tc>
        <w:tc>
          <w:tcPr>
            <w:tcW w:w="100" w:type="dxa"/>
            <w:vAlign w:val="bottom"/>
          </w:tcPr>
          <w:p>
            <w:pPr>
              <w:spacing w:after="0"/>
              <w:rPr>
                <w:sz w:val="18"/>
                <w:szCs w:val="18"/>
                <w:color w:val="auto"/>
              </w:rPr>
            </w:pPr>
          </w:p>
        </w:tc>
        <w:tc>
          <w:tcPr>
            <w:tcW w:w="16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3.25</w:t>
            </w:r>
          </w:p>
        </w:tc>
        <w:tc>
          <w:tcPr>
            <w:tcW w:w="0" w:type="dxa"/>
            <w:vAlign w:val="bottom"/>
          </w:tcPr>
          <w:p>
            <w:pPr>
              <w:spacing w:after="0"/>
              <w:rPr>
                <w:sz w:val="1"/>
                <w:szCs w:val="1"/>
                <w:color w:val="auto"/>
              </w:rPr>
            </w:pPr>
          </w:p>
        </w:tc>
      </w:tr>
      <w:tr>
        <w:trPr>
          <w:trHeight w:val="219"/>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Residential</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2,797</w:t>
            </w: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11.05</w:t>
            </w:r>
          </w:p>
        </w:tc>
        <w:tc>
          <w:tcPr>
            <w:tcW w:w="100" w:type="dxa"/>
            <w:vAlign w:val="bottom"/>
            <w:shd w:val="clear" w:color="auto" w:fill="CCEEFF"/>
          </w:tcPr>
          <w:p>
            <w:pPr>
              <w:spacing w:after="0"/>
              <w:rPr>
                <w:sz w:val="19"/>
                <w:szCs w:val="19"/>
                <w:color w:val="auto"/>
              </w:rPr>
            </w:pPr>
          </w:p>
        </w:tc>
        <w:tc>
          <w:tcPr>
            <w:tcW w:w="16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25.29</w:t>
            </w:r>
          </w:p>
        </w:tc>
        <w:tc>
          <w:tcPr>
            <w:tcW w:w="0" w:type="dxa"/>
            <w:vAlign w:val="bottom"/>
          </w:tcPr>
          <w:p>
            <w:pPr>
              <w:spacing w:after="0"/>
              <w:rPr>
                <w:sz w:val="1"/>
                <w:szCs w:val="1"/>
                <w:color w:val="auto"/>
              </w:rPr>
            </w:pPr>
          </w:p>
        </w:tc>
      </w:tr>
      <w:tr>
        <w:trPr>
          <w:trHeight w:val="213"/>
        </w:trPr>
        <w:tc>
          <w:tcPr>
            <w:tcW w:w="6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Consumer non-real estate and other</w:t>
            </w:r>
          </w:p>
        </w:tc>
        <w:tc>
          <w:tcPr>
            <w:tcW w:w="3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75</w:t>
            </w:r>
          </w:p>
        </w:tc>
        <w:tc>
          <w:tcPr>
            <w:tcW w:w="100" w:type="dxa"/>
            <w:vAlign w:val="bottom"/>
            <w:tcBorders>
              <w:bottom w:val="single" w:sz="8" w:color="CCEEFF"/>
            </w:tcBorders>
          </w:tcPr>
          <w:p>
            <w:pPr>
              <w:spacing w:after="0"/>
              <w:rPr>
                <w:sz w:val="18"/>
                <w:szCs w:val="18"/>
                <w:color w:val="auto"/>
              </w:rPr>
            </w:pPr>
          </w:p>
        </w:tc>
        <w:tc>
          <w:tcPr>
            <w:tcW w:w="17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0.30</w:t>
            </w:r>
          </w:p>
        </w:tc>
        <w:tc>
          <w:tcPr>
            <w:tcW w:w="100" w:type="dxa"/>
            <w:vAlign w:val="bottom"/>
            <w:tcBorders>
              <w:bottom w:val="single" w:sz="8" w:color="CCEEFF"/>
            </w:tcBorders>
          </w:tcPr>
          <w:p>
            <w:pPr>
              <w:spacing w:after="0"/>
              <w:rPr>
                <w:sz w:val="18"/>
                <w:szCs w:val="18"/>
                <w:color w:val="auto"/>
              </w:rPr>
            </w:pPr>
          </w:p>
        </w:tc>
        <w:tc>
          <w:tcPr>
            <w:tcW w:w="168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0.11</w:t>
            </w:r>
          </w:p>
        </w:tc>
        <w:tc>
          <w:tcPr>
            <w:tcW w:w="0" w:type="dxa"/>
            <w:vAlign w:val="bottom"/>
          </w:tcPr>
          <w:p>
            <w:pPr>
              <w:spacing w:after="0"/>
              <w:rPr>
                <w:sz w:val="1"/>
                <w:szCs w:val="1"/>
                <w:color w:val="auto"/>
              </w:rPr>
            </w:pPr>
          </w:p>
        </w:tc>
      </w:tr>
      <w:tr>
        <w:trPr>
          <w:trHeight w:val="210"/>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25,301</w:t>
            </w:r>
          </w:p>
        </w:tc>
        <w:tc>
          <w:tcPr>
            <w:tcW w:w="100" w:type="dxa"/>
            <w:vAlign w:val="bottom"/>
            <w:shd w:val="clear" w:color="auto" w:fill="CCEEFF"/>
          </w:tcPr>
          <w:p>
            <w:pPr>
              <w:spacing w:after="0"/>
              <w:rPr>
                <w:sz w:val="18"/>
                <w:szCs w:val="18"/>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100.00 %</w:t>
            </w:r>
          </w:p>
        </w:tc>
        <w:tc>
          <w:tcPr>
            <w:tcW w:w="100" w:type="dxa"/>
            <w:vAlign w:val="bottom"/>
            <w:shd w:val="clear" w:color="auto" w:fill="CCEEFF"/>
          </w:tcPr>
          <w:p>
            <w:pPr>
              <w:spacing w:after="0"/>
              <w:rPr>
                <w:sz w:val="18"/>
                <w:szCs w:val="18"/>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100.00 %</w:t>
            </w:r>
          </w:p>
        </w:tc>
        <w:tc>
          <w:tcPr>
            <w:tcW w:w="0" w:type="dxa"/>
            <w:vAlign w:val="bottom"/>
          </w:tcPr>
          <w:p>
            <w:pPr>
              <w:spacing w:after="0"/>
              <w:rPr>
                <w:sz w:val="1"/>
                <w:szCs w:val="1"/>
                <w:color w:val="auto"/>
              </w:rPr>
            </w:pPr>
          </w:p>
        </w:tc>
      </w:tr>
    </w:tbl>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Derivative Financial Instruments</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The Company utilizes interest rate swap agreements as part of its asset/liability management strategy to help manage its interest rate risk position. The Company recognizes derivative financial instruments at fair value as either other assets or other liabilities on the Consolidated Balance Sheets. The Company’s use of derivative financial instruments is described more fully in </w:t>
      </w:r>
      <w:r>
        <w:rPr>
          <w:rFonts w:ascii="Times New Roman" w:cs="Times New Roman" w:eastAsia="Times New Roman" w:hAnsi="Times New Roman"/>
          <w:sz w:val="18"/>
          <w:szCs w:val="18"/>
          <w:u w:val="single" w:color="auto"/>
          <w:color w:val="0000FF"/>
        </w:rPr>
        <w:t>Note 9 — Derivatives</w:t>
      </w:r>
      <w:r>
        <w:rPr>
          <w:rFonts w:ascii="Times New Roman" w:cs="Times New Roman" w:eastAsia="Times New Roman" w:hAnsi="Times New Roman"/>
          <w:sz w:val="18"/>
          <w:szCs w:val="18"/>
          <w:color w:val="auto"/>
        </w:rPr>
        <w:t xml:space="preserve"> in Notes to Consolidated Financial Statements.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Off-Balance Sheet Arrangements</w:t>
      </w:r>
    </w:p>
    <w:p>
      <w:pPr>
        <w:spacing w:after="0" w:line="17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The Company enters into certain off-balance sheet arrangements in the normal course of business to meet the financing needs of its customers. These off-balance sheet arrangements include commitments to extend credit, standby letters of credit, and financial guarantees which would impact the Company’s liquidity and capital resources to the extent customers accept and/or use these commitments. See </w:t>
      </w:r>
      <w:r>
        <w:rPr>
          <w:rFonts w:ascii="Times New Roman" w:cs="Times New Roman" w:eastAsia="Times New Roman" w:hAnsi="Times New Roman"/>
          <w:sz w:val="18"/>
          <w:szCs w:val="18"/>
          <w:u w:val="single" w:color="auto"/>
          <w:color w:val="0000FF"/>
        </w:rPr>
        <w:t>Note 10 — Commitments and Contingencies</w:t>
      </w:r>
      <w:r>
        <w:rPr>
          <w:rFonts w:ascii="Times New Roman" w:cs="Times New Roman" w:eastAsia="Times New Roman" w:hAnsi="Times New Roman"/>
          <w:sz w:val="18"/>
          <w:szCs w:val="18"/>
          <w:color w:val="auto"/>
        </w:rPr>
        <w:t xml:space="preserve"> in Notes to Consolidated Financial Statements for a discussion of credit extension commitments. These instruments involve, to varying degrees, elements of credit and interest rate risk in excess of the amount recognized in the balance sheet. With the exception of these off-balance sheet arrangements, the Company has no off-balance sheet arrangements that have, or are reasonably likely to have, a current or future effect on the Company’s financial condition, changes in financial condition, revenues or expenses, results of operations, liquidity, capital expenditures, or capital resources.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Funding Activities</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Company’s funding activities are monitored and governed through the Company’s asset/liability management process. Deposits are the primary source of funds for lending and investing activities; however, the Company will use borrowings to meet liquidity needs and for temporary funding. The Company has available secured lines of credit with the Federal Reserve Bank of Richmond, such as the Borrower-In-Custody program, the FHLB of Atlanta, and unsecured federal funds</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lines of credit from correspondent banking relationships. The Company also utilizes brokered time deposits. For more discussion of brokered time deposits, see the Deposits heading below this section.</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June 30, 2024, the Company has available unused borrowing capacity of $2.2 billion through its available lines of credit with the FHLB of Atlanta, the Federal Reserve Borrower-In-Custody Program line, and unsecured federal fund lines of credit from correspondent banking relationships. Advances on credit lines are secured by both securities and loans.</w:t>
      </w:r>
    </w:p>
    <w:p>
      <w:pPr>
        <w:spacing w:after="0" w:line="12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following table shows certain information regarding short-term borrowings as of the three months ended June 30, 2024, and December 31, 2023, respectively (dollars in thousands):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5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end of period</w:t>
            </w:r>
          </w:p>
        </w:tc>
        <w:tc>
          <w:tcPr>
            <w:tcW w:w="220" w:type="dxa"/>
            <w:vAlign w:val="bottom"/>
          </w:tcPr>
          <w:p>
            <w:pPr>
              <w:spacing w:after="0"/>
              <w:rPr>
                <w:sz w:val="18"/>
                <w:szCs w:val="18"/>
                <w:color w:val="auto"/>
              </w:rPr>
            </w:pPr>
          </w:p>
        </w:tc>
        <w:tc>
          <w:tcPr>
            <w:tcW w:w="170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June 30, 2024</w:t>
            </w:r>
          </w:p>
        </w:tc>
        <w:tc>
          <w:tcPr>
            <w:tcW w:w="120" w:type="dxa"/>
            <w:vAlign w:val="bottom"/>
          </w:tcPr>
          <w:p>
            <w:pPr>
              <w:spacing w:after="0"/>
              <w:rPr>
                <w:sz w:val="18"/>
                <w:szCs w:val="18"/>
                <w:color w:val="auto"/>
              </w:rPr>
            </w:pPr>
          </w:p>
        </w:tc>
        <w:tc>
          <w:tcPr>
            <w:tcW w:w="168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December 31, 2023</w:t>
            </w:r>
          </w:p>
        </w:tc>
      </w:tr>
      <w:tr>
        <w:trPr>
          <w:trHeight w:val="213"/>
        </w:trPr>
        <w:tc>
          <w:tcPr>
            <w:tcW w:w="75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Short-term borrowings</w:t>
            </w: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tcBorders>
              <w:top w:val="single" w:sz="8" w:color="auto"/>
            </w:tcBorders>
            <w:shd w:val="clear" w:color="auto" w:fill="CCEEFF"/>
          </w:tcPr>
          <w:p>
            <w:pPr>
              <w:ind w:left="1000"/>
              <w:spacing w:after="0"/>
              <w:rPr>
                <w:sz w:val="20"/>
                <w:szCs w:val="20"/>
                <w:color w:val="auto"/>
              </w:rPr>
            </w:pPr>
            <w:r>
              <w:rPr>
                <w:rFonts w:ascii="Times New Roman" w:cs="Times New Roman" w:eastAsia="Times New Roman" w:hAnsi="Times New Roman"/>
                <w:sz w:val="16"/>
                <w:szCs w:val="16"/>
                <w:color w:val="auto"/>
              </w:rPr>
              <w:t>285,161</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80" w:type="dxa"/>
            <w:vAlign w:val="bottom"/>
            <w:tcBorders>
              <w:top w:val="single" w:sz="8" w:color="auto"/>
            </w:tcBorders>
            <w:shd w:val="clear" w:color="auto" w:fill="CCEEFF"/>
          </w:tcPr>
          <w:p>
            <w:pPr>
              <w:ind w:left="1080"/>
              <w:spacing w:after="0"/>
              <w:rPr>
                <w:sz w:val="20"/>
                <w:szCs w:val="20"/>
                <w:color w:val="auto"/>
              </w:rPr>
            </w:pPr>
            <w:r>
              <w:rPr>
                <w:rFonts w:ascii="Times New Roman" w:cs="Times New Roman" w:eastAsia="Times New Roman" w:hAnsi="Times New Roman"/>
                <w:sz w:val="16"/>
                <w:szCs w:val="16"/>
                <w:color w:val="auto"/>
              </w:rPr>
              <w:t>272,000</w:t>
            </w:r>
          </w:p>
        </w:tc>
      </w:tr>
      <w:tr>
        <w:trPr>
          <w:trHeight w:val="210"/>
        </w:trPr>
        <w:tc>
          <w:tcPr>
            <w:tcW w:w="75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Weighted average interest yield at end of period</w:t>
            </w:r>
          </w:p>
        </w:tc>
        <w:tc>
          <w:tcPr>
            <w:tcW w:w="220" w:type="dxa"/>
            <w:vAlign w:val="bottom"/>
          </w:tcPr>
          <w:p>
            <w:pPr>
              <w:spacing w:after="0"/>
              <w:rPr>
                <w:sz w:val="18"/>
                <w:szCs w:val="18"/>
                <w:color w:val="auto"/>
              </w:rPr>
            </w:pPr>
          </w:p>
        </w:tc>
        <w:tc>
          <w:tcPr>
            <w:tcW w:w="1600" w:type="dxa"/>
            <w:vAlign w:val="bottom"/>
          </w:tcPr>
          <w:p>
            <w:pPr>
              <w:ind w:left="1000"/>
              <w:spacing w:after="0"/>
              <w:rPr>
                <w:sz w:val="20"/>
                <w:szCs w:val="20"/>
                <w:color w:val="auto"/>
              </w:rPr>
            </w:pPr>
            <w:r>
              <w:rPr>
                <w:rFonts w:ascii="Times New Roman" w:cs="Times New Roman" w:eastAsia="Times New Roman" w:hAnsi="Times New Roman"/>
                <w:sz w:val="16"/>
                <w:szCs w:val="16"/>
                <w:color w:val="auto"/>
              </w:rPr>
              <w:t>4.38%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ind w:left="1080"/>
              <w:spacing w:after="0"/>
              <w:rPr>
                <w:sz w:val="20"/>
                <w:szCs w:val="20"/>
                <w:color w:val="auto"/>
              </w:rPr>
            </w:pPr>
            <w:r>
              <w:rPr>
                <w:rFonts w:ascii="Times New Roman" w:cs="Times New Roman" w:eastAsia="Times New Roman" w:hAnsi="Times New Roman"/>
                <w:sz w:val="16"/>
                <w:szCs w:val="16"/>
                <w:color w:val="auto"/>
              </w:rPr>
              <w:t>4.75%</w:t>
            </w:r>
          </w:p>
        </w:tc>
      </w:tr>
    </w:tbl>
    <w:p>
      <w:pPr>
        <w:spacing w:after="0" w:line="24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following table shows certain information regarding long-term debt as of the three months ended June 30, 2024, and December 31, 2023, respectively (dollars in thousands):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4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end of period</w:t>
            </w:r>
          </w:p>
        </w:tc>
        <w:tc>
          <w:tcPr>
            <w:tcW w:w="380" w:type="dxa"/>
            <w:vAlign w:val="bottom"/>
          </w:tcPr>
          <w:p>
            <w:pPr>
              <w:spacing w:after="0"/>
              <w:rPr>
                <w:sz w:val="18"/>
                <w:szCs w:val="18"/>
                <w:color w:val="auto"/>
              </w:rPr>
            </w:pPr>
          </w:p>
        </w:tc>
        <w:tc>
          <w:tcPr>
            <w:tcW w:w="1620" w:type="dxa"/>
            <w:vAlign w:val="bottom"/>
            <w:gridSpan w:val="2"/>
          </w:tcPr>
          <w:p>
            <w:pPr>
              <w:jc w:val="right"/>
              <w:ind w:right="380"/>
              <w:spacing w:after="0"/>
              <w:rPr>
                <w:sz w:val="20"/>
                <w:szCs w:val="20"/>
                <w:color w:val="auto"/>
              </w:rPr>
            </w:pPr>
            <w:r>
              <w:rPr>
                <w:rFonts w:ascii="Times New Roman" w:cs="Times New Roman" w:eastAsia="Times New Roman" w:hAnsi="Times New Roman"/>
                <w:sz w:val="16"/>
                <w:szCs w:val="16"/>
                <w:b w:val="1"/>
                <w:bCs w:val="1"/>
                <w:color w:val="auto"/>
              </w:rPr>
              <w:t>June 30, 2024</w:t>
            </w:r>
          </w:p>
        </w:tc>
        <w:tc>
          <w:tcPr>
            <w:tcW w:w="200" w:type="dxa"/>
            <w:vAlign w:val="bottom"/>
          </w:tcPr>
          <w:p>
            <w:pPr>
              <w:spacing w:after="0"/>
              <w:rPr>
                <w:sz w:val="18"/>
                <w:szCs w:val="18"/>
                <w:color w:val="auto"/>
              </w:rPr>
            </w:pPr>
          </w:p>
        </w:tc>
        <w:tc>
          <w:tcPr>
            <w:tcW w:w="1600" w:type="dxa"/>
            <w:vAlign w:val="bottom"/>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December 31, 2023</w:t>
            </w:r>
          </w:p>
        </w:tc>
      </w:tr>
      <w:tr>
        <w:trPr>
          <w:trHeight w:val="212"/>
        </w:trPr>
        <w:tc>
          <w:tcPr>
            <w:tcW w:w="74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Subordinated debentures, net</w:t>
            </w:r>
          </w:p>
        </w:tc>
        <w:tc>
          <w:tcPr>
            <w:tcW w:w="380" w:type="dxa"/>
            <w:vAlign w:val="bottom"/>
            <w:tcBorders>
              <w:top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92,178</w:t>
            </w:r>
          </w:p>
        </w:tc>
        <w:tc>
          <w:tcPr>
            <w:tcW w:w="2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tcBorders>
              <w:top w:val="single" w:sz="8" w:color="auto"/>
            </w:tcBorders>
            <w:shd w:val="clear" w:color="auto" w:fill="CCEEFF"/>
          </w:tcPr>
          <w:p>
            <w:pPr>
              <w:ind w:left="1380"/>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74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Subordinated debentures owed to unconsolidated subsidiary trusts</w:t>
            </w:r>
          </w:p>
        </w:tc>
        <w:tc>
          <w:tcPr>
            <w:tcW w:w="38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16,886</w:t>
            </w:r>
          </w:p>
        </w:tc>
        <w:tc>
          <w:tcPr>
            <w:tcW w:w="2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ind w:left="1380"/>
              <w:spacing w:after="0"/>
              <w:rPr>
                <w:sz w:val="20"/>
                <w:szCs w:val="20"/>
                <w:color w:val="auto"/>
              </w:rPr>
            </w:pPr>
            <w:r>
              <w:rPr>
                <w:rFonts w:ascii="Times New Roman" w:cs="Times New Roman" w:eastAsia="Times New Roman" w:hAnsi="Times New Roman"/>
                <w:sz w:val="16"/>
                <w:szCs w:val="16"/>
                <w:color w:val="auto"/>
              </w:rPr>
              <w:t>—</w:t>
            </w:r>
          </w:p>
        </w:tc>
      </w:tr>
      <w:tr>
        <w:trPr>
          <w:trHeight w:val="209"/>
        </w:trPr>
        <w:tc>
          <w:tcPr>
            <w:tcW w:w="7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long-term debt</w:t>
            </w: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109,064</w:t>
            </w:r>
          </w:p>
        </w:tc>
        <w:tc>
          <w:tcPr>
            <w:tcW w:w="2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tcBorders>
              <w:bottom w:val="single" w:sz="8" w:color="auto"/>
            </w:tcBorders>
            <w:shd w:val="clear" w:color="auto" w:fill="CCEEFF"/>
          </w:tcPr>
          <w:p>
            <w:pPr>
              <w:ind w:left="1380"/>
              <w:spacing w:after="0"/>
              <w:rPr>
                <w:sz w:val="20"/>
                <w:szCs w:val="20"/>
                <w:color w:val="auto"/>
              </w:rPr>
            </w:pPr>
            <w:r>
              <w:rPr>
                <w:rFonts w:ascii="Times New Roman" w:cs="Times New Roman" w:eastAsia="Times New Roman" w:hAnsi="Times New Roman"/>
                <w:sz w:val="16"/>
                <w:szCs w:val="16"/>
                <w:color w:val="auto"/>
              </w:rPr>
              <w:t>—</w:t>
            </w:r>
          </w:p>
        </w:tc>
      </w:tr>
      <w:tr>
        <w:trPr>
          <w:trHeight w:val="253"/>
        </w:trPr>
        <w:tc>
          <w:tcPr>
            <w:tcW w:w="74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00" w:type="dxa"/>
            <w:vAlign w:val="bottom"/>
          </w:tcPr>
          <w:p>
            <w:pPr>
              <w:spacing w:after="0"/>
              <w:rPr>
                <w:sz w:val="21"/>
                <w:szCs w:val="21"/>
                <w:color w:val="auto"/>
              </w:rPr>
            </w:pPr>
          </w:p>
        </w:tc>
      </w:tr>
      <w:tr>
        <w:trPr>
          <w:trHeight w:val="216"/>
        </w:trPr>
        <w:tc>
          <w:tcPr>
            <w:tcW w:w="7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Weighted average interest yield at end of period</w:t>
            </w:r>
          </w:p>
        </w:tc>
        <w:tc>
          <w:tcPr>
            <w:tcW w:w="38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10.30%</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N/A</w:t>
            </w:r>
          </w:p>
        </w:tc>
      </w:tr>
    </w:tbl>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Deposits</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Total deposits increased by $3.6 billion from December 31, 2023, to June 30, 2024, primarily due to the completion of the Merger with Summit. The Company has brokered time deposits that amounted to $403.7 million as of June 30, 2024, and $389.0 million at December 31, 2023. The following table sets forth the balance of each category of deposits as of the dates indicated (in thousands):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80" w:type="dxa"/>
            <w:vAlign w:val="bottom"/>
            <w:gridSpan w:val="2"/>
          </w:tcPr>
          <w:p>
            <w:pPr>
              <w:ind w:left="180"/>
              <w:spacing w:after="0"/>
              <w:rPr>
                <w:sz w:val="20"/>
                <w:szCs w:val="20"/>
                <w:color w:val="auto"/>
              </w:rPr>
            </w:pPr>
            <w:r>
              <w:rPr>
                <w:rFonts w:ascii="Times New Roman" w:cs="Times New Roman" w:eastAsia="Times New Roman" w:hAnsi="Times New Roman"/>
                <w:sz w:val="16"/>
                <w:szCs w:val="16"/>
                <w:b w:val="1"/>
                <w:bCs w:val="1"/>
                <w:color w:val="auto"/>
              </w:rPr>
              <w:t>June 30, 2024</w:t>
            </w:r>
          </w:p>
        </w:tc>
        <w:tc>
          <w:tcPr>
            <w:tcW w:w="200" w:type="dxa"/>
            <w:vAlign w:val="bottom"/>
          </w:tcPr>
          <w:p>
            <w:pPr>
              <w:spacing w:after="0"/>
              <w:rPr>
                <w:sz w:val="18"/>
                <w:szCs w:val="18"/>
                <w:color w:val="auto"/>
              </w:rPr>
            </w:pPr>
          </w:p>
        </w:tc>
        <w:tc>
          <w:tcPr>
            <w:tcW w:w="1700" w:type="dxa"/>
            <w:vAlign w:val="bottom"/>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December 31, 2023</w:t>
            </w:r>
          </w:p>
        </w:tc>
      </w:tr>
      <w:tr>
        <w:trPr>
          <w:trHeight w:val="211"/>
        </w:trPr>
        <w:tc>
          <w:tcPr>
            <w:tcW w:w="736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600" w:type="dxa"/>
            <w:vAlign w:val="bottom"/>
            <w:tcBorders>
              <w:top w:val="single" w:sz="8" w:color="auto"/>
              <w:bottom w:val="single" w:sz="8" w:color="auto"/>
            </w:tcBorders>
          </w:tcPr>
          <w:p>
            <w:pPr>
              <w:jc w:val="right"/>
              <w:ind w:right="599"/>
              <w:spacing w:after="0"/>
              <w:rPr>
                <w:sz w:val="20"/>
                <w:szCs w:val="20"/>
                <w:color w:val="auto"/>
              </w:rPr>
            </w:pPr>
            <w:r>
              <w:rPr>
                <w:rFonts w:ascii="Times New Roman" w:cs="Times New Roman" w:eastAsia="Times New Roman" w:hAnsi="Times New Roman"/>
                <w:sz w:val="16"/>
                <w:szCs w:val="16"/>
                <w:b w:val="1"/>
                <w:bCs w:val="1"/>
                <w:color w:val="auto"/>
              </w:rPr>
              <w:t>Balance</w:t>
            </w:r>
          </w:p>
        </w:tc>
        <w:tc>
          <w:tcPr>
            <w:tcW w:w="8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700" w:type="dxa"/>
            <w:vAlign w:val="bottom"/>
            <w:tcBorders>
              <w:top w:val="single" w:sz="8" w:color="auto"/>
              <w:bottom w:val="single" w:sz="8" w:color="auto"/>
            </w:tcBorders>
          </w:tcPr>
          <w:p>
            <w:pPr>
              <w:jc w:val="right"/>
              <w:ind w:right="599"/>
              <w:spacing w:after="0"/>
              <w:rPr>
                <w:sz w:val="20"/>
                <w:szCs w:val="20"/>
                <w:color w:val="auto"/>
              </w:rPr>
            </w:pPr>
            <w:r>
              <w:rPr>
                <w:rFonts w:ascii="Times New Roman" w:cs="Times New Roman" w:eastAsia="Times New Roman" w:hAnsi="Times New Roman"/>
                <w:sz w:val="16"/>
                <w:szCs w:val="16"/>
                <w:b w:val="1"/>
                <w:bCs w:val="1"/>
                <w:color w:val="auto"/>
              </w:rPr>
              <w:t>Balance</w:t>
            </w:r>
          </w:p>
        </w:tc>
      </w:tr>
      <w:tr>
        <w:trPr>
          <w:trHeight w:val="211"/>
        </w:trPr>
        <w:tc>
          <w:tcPr>
            <w:tcW w:w="7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Demand, non-interest-bearing</w:t>
            </w: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1,397,030</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830,320</w:t>
            </w:r>
          </w:p>
        </w:tc>
      </w:tr>
      <w:tr>
        <w:trPr>
          <w:trHeight w:val="213"/>
        </w:trPr>
        <w:tc>
          <w:tcPr>
            <w:tcW w:w="7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Demand, interest-bearing</w:t>
            </w:r>
          </w:p>
        </w:tc>
        <w:tc>
          <w:tcPr>
            <w:tcW w:w="30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2,507,259</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509,646</w:t>
            </w:r>
          </w:p>
        </w:tc>
      </w:tr>
      <w:tr>
        <w:trPr>
          <w:trHeight w:val="219"/>
        </w:trPr>
        <w:tc>
          <w:tcPr>
            <w:tcW w:w="7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Money market and savings</w:t>
            </w:r>
          </w:p>
        </w:tc>
        <w:tc>
          <w:tcPr>
            <w:tcW w:w="3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1,396,839</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925,853</w:t>
            </w:r>
          </w:p>
        </w:tc>
      </w:tr>
      <w:tr>
        <w:trPr>
          <w:trHeight w:val="213"/>
        </w:trPr>
        <w:tc>
          <w:tcPr>
            <w:tcW w:w="7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Brokered deposits</w:t>
            </w:r>
          </w:p>
        </w:tc>
        <w:tc>
          <w:tcPr>
            <w:tcW w:w="30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403,668</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389,011</w:t>
            </w:r>
          </w:p>
        </w:tc>
      </w:tr>
      <w:tr>
        <w:trPr>
          <w:trHeight w:val="219"/>
        </w:trPr>
        <w:tc>
          <w:tcPr>
            <w:tcW w:w="7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Time deposits, other</w:t>
            </w:r>
          </w:p>
        </w:tc>
        <w:tc>
          <w:tcPr>
            <w:tcW w:w="30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934,775</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347,051</w:t>
            </w:r>
          </w:p>
        </w:tc>
      </w:tr>
      <w:tr>
        <w:trPr>
          <w:trHeight w:val="207"/>
        </w:trPr>
        <w:tc>
          <w:tcPr>
            <w:tcW w:w="7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Total interest-bearing</w:t>
            </w:r>
          </w:p>
        </w:tc>
        <w:tc>
          <w:tcPr>
            <w:tcW w:w="30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5,242,541</w:t>
            </w:r>
          </w:p>
        </w:tc>
        <w:tc>
          <w:tcPr>
            <w:tcW w:w="8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2,171,561</w:t>
            </w:r>
          </w:p>
        </w:tc>
      </w:tr>
      <w:tr>
        <w:trPr>
          <w:trHeight w:val="210"/>
        </w:trPr>
        <w:tc>
          <w:tcPr>
            <w:tcW w:w="7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deposits</w:t>
            </w: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6,639,571</w:t>
            </w:r>
          </w:p>
        </w:tc>
        <w:tc>
          <w:tcPr>
            <w:tcW w:w="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3,001,881</w:t>
            </w:r>
          </w:p>
        </w:tc>
      </w:tr>
    </w:tbl>
    <w:p>
      <w:pPr>
        <w:spacing w:after="0" w:line="23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continues to seek organic growth in both interest-bearing and non-interest-bearing deposits consistent with our relationship-based strategy. Management evaluates its utilization of brokered deposits, taking into consideration the interest rate curve and regulatory views on non-core funding sources, and balances this funding source with its funding needs based on growth initiatives.</w:t>
      </w:r>
    </w:p>
    <w:p>
      <w:pPr>
        <w:spacing w:after="0" w:line="12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has deposits that meet or exceed the FDIC insurance limit of $250,000 in the amounts of $1.9 billion and $677.3 million at June 30, 2024, and December 31, 2023, respectively, with the increase being primarily attributable to the Merger.</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maturity ranges of time deposits as of June 30, 2024, that meet or exceed the FDIC insurance limit (in thousands).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924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June 30, 2024</w:t>
            </w:r>
          </w:p>
        </w:tc>
      </w:tr>
      <w:tr>
        <w:trPr>
          <w:trHeight w:val="212"/>
        </w:trPr>
        <w:tc>
          <w:tcPr>
            <w:tcW w:w="9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Due within 3 months or less</w:t>
            </w: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100,355</w:t>
            </w:r>
          </w:p>
        </w:tc>
      </w:tr>
      <w:tr>
        <w:trPr>
          <w:trHeight w:val="213"/>
        </w:trPr>
        <w:tc>
          <w:tcPr>
            <w:tcW w:w="9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Due after 3 months and within 6 months</w:t>
            </w:r>
          </w:p>
        </w:tc>
        <w:tc>
          <w:tcPr>
            <w:tcW w:w="32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97,881</w:t>
            </w:r>
          </w:p>
        </w:tc>
      </w:tr>
      <w:tr>
        <w:trPr>
          <w:trHeight w:val="219"/>
        </w:trPr>
        <w:tc>
          <w:tcPr>
            <w:tcW w:w="9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Due after 6 months and within 12 months</w:t>
            </w:r>
          </w:p>
        </w:tc>
        <w:tc>
          <w:tcPr>
            <w:tcW w:w="32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32,755</w:t>
            </w:r>
          </w:p>
        </w:tc>
      </w:tr>
      <w:tr>
        <w:trPr>
          <w:trHeight w:val="213"/>
        </w:trPr>
        <w:tc>
          <w:tcPr>
            <w:tcW w:w="9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Due after 12 months</w:t>
            </w:r>
          </w:p>
        </w:tc>
        <w:tc>
          <w:tcPr>
            <w:tcW w:w="32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16,128</w:t>
            </w:r>
          </w:p>
        </w:tc>
      </w:tr>
      <w:tr>
        <w:trPr>
          <w:trHeight w:val="209"/>
        </w:trPr>
        <w:tc>
          <w:tcPr>
            <w:tcW w:w="9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uninsured, time deposits</w:t>
            </w: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247,119</w:t>
            </w: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Shareholders’ Equity</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Total shareholders’ equity at June 30, 2024, was $693.1 million, compared to $314.8 million at December 31, 2023. Shareholders’ equity increased by $378.4 million mostly due to the Merger since December 31, 2023. Accumulated other comprehensive income/(loss) decreased $3.1 million from December 31, 2023, to June 30, 2024, from $(103.5) million to $(100.4) million.</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3.</w:t>
        <w:tab/>
        <w:t>Quantitative and Qualitative Disclosures About Market Risk</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Market Risk</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Market risk is the risk of loss from adverse changes in market prices and rates. Our market risk arises primarily from interest rate risk inherent in lending, investment, and deposit-taking activities. To that end, management actively monitors and manages its interest rate risk exposure, and on at least a quarterly basis, in conjunction with the Company’s Asset/Liability meetings, reports its findings to the ALCO and to the Board. From time to time, management may change the frequency of such testing or update certain inputs as a result of abnormal market conditions. Our profitability is affected by fluctuations in interest rates; a sudden and substantial change in interest rates may adversely impact our earnings to the extent that the interest rates borne by assets and liabilities do not change at the same speed, to the same extent, or on the same basis. We monitor the impact of changes in interest rates on net interest income using several tools. See </w:t>
      </w:r>
      <w:r>
        <w:rPr>
          <w:rFonts w:ascii="Times New Roman" w:cs="Times New Roman" w:eastAsia="Times New Roman" w:hAnsi="Times New Roman"/>
          <w:sz w:val="18"/>
          <w:szCs w:val="18"/>
          <w:u w:val="single" w:color="auto"/>
          <w:color w:val="0000FF"/>
        </w:rPr>
        <w:t>Item 2. Management’s Discussion and Analysis of Financial Condition and Results of Operations</w:t>
      </w:r>
      <w:r>
        <w:rPr>
          <w:rFonts w:ascii="Times New Roman" w:cs="Times New Roman" w:eastAsia="Times New Roman" w:hAnsi="Times New Roman"/>
          <w:sz w:val="18"/>
          <w:szCs w:val="18"/>
          <w:color w:val="auto"/>
        </w:rPr>
        <w:t>, Recent Events in the Financial Services Industry.</w:t>
      </w:r>
    </w:p>
    <w:p>
      <w:pPr>
        <w:spacing w:after="0" w:line="2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primary objective in managing interest rate risk is to minimize the adverse impact of changes in interest rates on our net interest income and capital, while configuring our asset-liability structure to obtain the maximum yield-cost spread on that structure. We rely primarily on our asset-liability structure to control interest rate risk.</w:t>
      </w:r>
    </w:p>
    <w:p>
      <w:pPr>
        <w:spacing w:after="0" w:line="12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the Company’s Asset/Liability policy provides for a subcommittee of the ALCO, comprised of executive and senior management that, upon the determination that abnormal market risks are occurring or may be forthcoming, will convene with the responsibility of making all decisions related to mitigation of potential negative impacts to the Company. This subcommittee acts as a clearinghouse for information on Company earnings, credit risk, lending and deposit activities, and liquidity management necessary for internal communications, including to the Board, and external communications.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Rate Sensitivity</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Interest rate risk is the risk to earnings and fair value arising from changes in market interest rates. Interest rate risk arises from timing differences in the repricing and maturities of interest-earning assets and interest-bearing liabilities (repricing risk), changes in the expected maturities of assets and liabilities arising from embedded options, such as borrowers’ ability to prepay home mortgage loans at any time, depositors’ ability to redeem certificates of deposit before maturity (option risk), changes in the shape of the yield curve, where interest rates increase or decrease in a non-parallel fashion (yield curve risk), and changes in spread relationships between different yield curves, such as U.S. Treasuries and SOFR (basis risk).</w:t>
      </w:r>
    </w:p>
    <w:p>
      <w:pPr>
        <w:spacing w:after="0" w:line="1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rates on some interest-bearing financial instruments may adjust promptly with changes in market rates, while others adjust only periodically or are fixed for a predefined term. Such instances can cause a mismatch between the sensitivity and behavior of financial assets and liabilities. Interest rate fluctuations and economic factors, coupled with repricing mismatches and embedded options inherent in these financial assets and liabilities, may impact the Company’s interest expense, interest income, and the value of certain financial assets and liabilities. Through the ALCO, we attempt to manage the balance sheet in a manner that increases the benefit or reduces the negative impacts from such events.</w:t>
      </w:r>
    </w:p>
    <w:p>
      <w:pPr>
        <w:spacing w:after="0" w:line="1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The overall impact of changes in interest rates, including, but not limited to, the impact to our net interest income and to our securities portfolio, can be enhanced or diluted depending on the variability of interest rates. From time to time, the Company may hedge its interest rate risk position, which can impact earnings. We generally do not hedge all of our interest rate risk, nor can we guarantee that any attempts to do so will be successful. See </w:t>
      </w:r>
      <w:r>
        <w:rPr>
          <w:rFonts w:ascii="Times New Roman" w:cs="Times New Roman" w:eastAsia="Times New Roman" w:hAnsi="Times New Roman"/>
          <w:sz w:val="18"/>
          <w:szCs w:val="18"/>
          <w:u w:val="single" w:color="auto"/>
          <w:color w:val="0000FF"/>
        </w:rPr>
        <w:t>Note 9 -</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Derivatives</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in Notes to Consolidated Financial Statements for a discussion of our hedging activity.</w:t>
      </w:r>
    </w:p>
    <w:p>
      <w:pPr>
        <w:spacing w:after="0" w:line="12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actively manages its interest rate sensitivity position. The objectives of interest rate risk management are to control exposure of net interest income to risks associated with interest rate movements and to achieve sustainable growth in net interest income. The ALCO, using policies and procedures approved by the Company’s Board, is responsible for the management of the Company’s interest rate sensitivity position. The Company manages interest rate sensitivity by changing the mix, pricing and re-pricing characteristics of its assets and liabilities, through the management of its investment portfolio, its offerings of loan and selected deposit terms, and through wholesale funding. Wholesale funding consists of, but is not limited to, borrowings with the FHLB, federal funds purchased, and brokered time deposits.</w:t>
      </w:r>
    </w:p>
    <w:p>
      <w:pPr>
        <w:spacing w:after="0" w:line="13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uses several tools to manage its interest rate risk, including interest rate sensitivity analysis, or gap analysis, market value of portfolio equity analysis, interest rate simulations under various rate scenarios, and net interest margin</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reports. The results of these reports are compared to limits established by the Company’s ALCO policies, and appropriate adjustments are made if the results are outside the established limits.</w:t>
      </w:r>
    </w:p>
    <w:p>
      <w:pPr>
        <w:spacing w:after="0" w:line="10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There are an infinite number of potential interest rate scenarios, each of which can be accompanied by differing economic/political/regulatory climates; can generate multiple differing behavior patterns by markets, borrowers, depositors, etc.; and, can last for varying degrees of time. Therefore, by definition, interest rate risk sensitivity cannot be predicted with certainty. Accordingly, the Company’s interest rate risk measurement philosophy focuses on maintaining an appropriate balance between theoretical and practical scenarios; especially given the primary objective of the Company’s overall asset/liability management process, which is to facilitate meaningful strategy development and implementation.</w:t>
      </w:r>
    </w:p>
    <w:p>
      <w:pPr>
        <w:spacing w:after="0" w:line="1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Therefore, we model a set of interest rate scenarios capturing the financial effects of a range of plausible rate scenarios; the collective impact of which will enable the Company to clearly understand the nature and extent of its sensitivity to interest rate changes. Doing so necessitates an assessment of rate changes over varying time horizons and of varying/sufficient degrees such that the impact of embedded options within the balance sheet are sufficiently examined.</w:t>
      </w:r>
    </w:p>
    <w:p>
      <w:pPr>
        <w:spacing w:after="0" w:line="12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tables demonstrate the annualized result of an interest rate simulation and the estimated effect that a parallel interest rate shift, or “shock”, in the yield curve and subjective adjustments in deposit pricing might have on the Company’s projected income over the next 12 months. This simulation assumes that there is no growth in interest-earning assets or interest-bearing liabilities over the next 12 months.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As of June 30, 2024</w:t>
            </w:r>
          </w:p>
        </w:tc>
        <w:tc>
          <w:tcPr>
            <w:tcW w:w="3740" w:type="dxa"/>
            <w:vAlign w:val="bottom"/>
          </w:tcPr>
          <w:p>
            <w:pPr>
              <w:jc w:val="right"/>
              <w:ind w:right="1035"/>
              <w:spacing w:after="0"/>
              <w:rPr>
                <w:sz w:val="20"/>
                <w:szCs w:val="20"/>
                <w:color w:val="auto"/>
              </w:rPr>
            </w:pPr>
            <w:r>
              <w:rPr>
                <w:rFonts w:ascii="Times New Roman" w:cs="Times New Roman" w:eastAsia="Times New Roman" w:hAnsi="Times New Roman"/>
                <w:sz w:val="14"/>
                <w:szCs w:val="14"/>
                <w:b w:val="1"/>
                <w:bCs w:val="1"/>
                <w:color w:val="auto"/>
              </w:rPr>
              <w:t>As of December 31, 2023</w:t>
            </w:r>
          </w:p>
        </w:tc>
      </w:tr>
      <w:tr>
        <w:trPr>
          <w:trHeight w:val="203"/>
        </w:trPr>
        <w:tc>
          <w:tcPr>
            <w:tcW w:w="3660" w:type="dxa"/>
            <w:vAlign w:val="bottom"/>
            <w:gridSpan w:val="2"/>
          </w:tcPr>
          <w:p>
            <w:pPr>
              <w:ind w:left="500"/>
              <w:spacing w:after="0"/>
              <w:rPr>
                <w:sz w:val="20"/>
                <w:szCs w:val="20"/>
                <w:color w:val="auto"/>
              </w:rPr>
            </w:pPr>
            <w:r>
              <w:rPr>
                <w:rFonts w:ascii="Times New Roman" w:cs="Times New Roman" w:eastAsia="Times New Roman" w:hAnsi="Times New Roman"/>
                <w:sz w:val="14"/>
                <w:szCs w:val="14"/>
                <w:b w:val="1"/>
                <w:bCs w:val="1"/>
                <w:color w:val="auto"/>
              </w:rPr>
              <w:t>Change in Interest Rates (in Basis Points)</w:t>
            </w:r>
          </w:p>
        </w:tc>
        <w:tc>
          <w:tcPr>
            <w:tcW w:w="38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Percentage Change in Earnings</w:t>
            </w:r>
          </w:p>
        </w:tc>
        <w:tc>
          <w:tcPr>
            <w:tcW w:w="3740" w:type="dxa"/>
            <w:vAlign w:val="bottom"/>
          </w:tcPr>
          <w:p>
            <w:pPr>
              <w:jc w:val="right"/>
              <w:ind w:right="815"/>
              <w:spacing w:after="0"/>
              <w:rPr>
                <w:sz w:val="20"/>
                <w:szCs w:val="20"/>
                <w:color w:val="auto"/>
              </w:rPr>
            </w:pPr>
            <w:r>
              <w:rPr>
                <w:rFonts w:ascii="Times New Roman" w:cs="Times New Roman" w:eastAsia="Times New Roman" w:hAnsi="Times New Roman"/>
                <w:sz w:val="14"/>
                <w:szCs w:val="14"/>
                <w:b w:val="1"/>
                <w:bCs w:val="1"/>
                <w:color w:val="auto"/>
              </w:rPr>
              <w:t>Percentage Change in Earnings</w:t>
            </w:r>
          </w:p>
        </w:tc>
      </w:tr>
      <w:tr>
        <w:trPr>
          <w:trHeight w:val="23"/>
        </w:trPr>
        <w:tc>
          <w:tcPr>
            <w:tcW w:w="3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740" w:type="dxa"/>
            <w:vAlign w:val="bottom"/>
            <w:tcBorders>
              <w:bottom w:val="single" w:sz="8" w:color="auto"/>
            </w:tcBorders>
          </w:tcPr>
          <w:p>
            <w:pPr>
              <w:spacing w:after="0"/>
              <w:rPr>
                <w:sz w:val="2"/>
                <w:szCs w:val="2"/>
                <w:color w:val="auto"/>
              </w:rPr>
            </w:pPr>
          </w:p>
        </w:tc>
      </w:tr>
      <w:tr>
        <w:trPr>
          <w:trHeight w:val="223"/>
        </w:trPr>
        <w:tc>
          <w:tcPr>
            <w:tcW w:w="3560" w:type="dxa"/>
            <w:vAlign w:val="bottom"/>
            <w:shd w:val="clear" w:color="auto" w:fill="CCEEFF"/>
          </w:tcPr>
          <w:p>
            <w:pPr>
              <w:jc w:val="center"/>
              <w:ind w:left="3053"/>
              <w:spacing w:after="0"/>
              <w:rPr>
                <w:sz w:val="20"/>
                <w:szCs w:val="20"/>
                <w:color w:val="auto"/>
              </w:rPr>
            </w:pPr>
            <w:r>
              <w:rPr>
                <w:rFonts w:ascii="Times New Roman" w:cs="Times New Roman" w:eastAsia="Times New Roman" w:hAnsi="Times New Roman"/>
                <w:sz w:val="18"/>
                <w:szCs w:val="18"/>
                <w:color w:val="auto"/>
                <w:w w:val="96"/>
              </w:rPr>
              <w:t>200</w:t>
            </w:r>
          </w:p>
        </w:tc>
        <w:tc>
          <w:tcPr>
            <w:tcW w:w="100" w:type="dxa"/>
            <w:vAlign w:val="bottom"/>
            <w:shd w:val="clear" w:color="auto" w:fill="CCEEFF"/>
          </w:tcPr>
          <w:p>
            <w:pPr>
              <w:spacing w:after="0"/>
              <w:rPr>
                <w:sz w:val="19"/>
                <w:szCs w:val="19"/>
                <w:color w:val="auto"/>
              </w:rPr>
            </w:pPr>
          </w:p>
        </w:tc>
        <w:tc>
          <w:tcPr>
            <w:tcW w:w="3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00" w:type="dxa"/>
            <w:vAlign w:val="bottom"/>
            <w:shd w:val="clear" w:color="auto" w:fill="CCEEFF"/>
          </w:tcPr>
          <w:p>
            <w:pPr>
              <w:spacing w:after="0"/>
              <w:rPr>
                <w:sz w:val="19"/>
                <w:szCs w:val="19"/>
                <w:color w:val="auto"/>
              </w:rPr>
            </w:pPr>
          </w:p>
        </w:tc>
        <w:tc>
          <w:tcPr>
            <w:tcW w:w="3740" w:type="dxa"/>
            <w:vAlign w:val="bottom"/>
            <w:shd w:val="clear" w:color="auto" w:fill="CCEEFF"/>
          </w:tcPr>
          <w:p>
            <w:pPr>
              <w:ind w:left="3280"/>
              <w:spacing w:after="0"/>
              <w:rPr>
                <w:sz w:val="20"/>
                <w:szCs w:val="20"/>
                <w:color w:val="auto"/>
              </w:rPr>
            </w:pPr>
            <w:r>
              <w:rPr>
                <w:rFonts w:ascii="Times New Roman" w:cs="Times New Roman" w:eastAsia="Times New Roman" w:hAnsi="Times New Roman"/>
                <w:sz w:val="18"/>
                <w:szCs w:val="18"/>
                <w:color w:val="auto"/>
              </w:rPr>
              <w:t>0.9 %</w:t>
            </w:r>
          </w:p>
        </w:tc>
      </w:tr>
      <w:tr>
        <w:trPr>
          <w:trHeight w:val="229"/>
        </w:trPr>
        <w:tc>
          <w:tcPr>
            <w:tcW w:w="3560" w:type="dxa"/>
            <w:vAlign w:val="bottom"/>
          </w:tcPr>
          <w:p>
            <w:pPr>
              <w:jc w:val="center"/>
              <w:ind w:left="3053"/>
              <w:spacing w:after="0"/>
              <w:rPr>
                <w:sz w:val="20"/>
                <w:szCs w:val="20"/>
                <w:color w:val="auto"/>
              </w:rPr>
            </w:pPr>
            <w:r>
              <w:rPr>
                <w:rFonts w:ascii="Times New Roman" w:cs="Times New Roman" w:eastAsia="Times New Roman" w:hAnsi="Times New Roman"/>
                <w:sz w:val="18"/>
                <w:szCs w:val="18"/>
                <w:color w:val="auto"/>
                <w:w w:val="96"/>
              </w:rPr>
              <w:t>100</w:t>
            </w:r>
          </w:p>
        </w:tc>
        <w:tc>
          <w:tcPr>
            <w:tcW w:w="100" w:type="dxa"/>
            <w:vAlign w:val="bottom"/>
          </w:tcPr>
          <w:p>
            <w:pPr>
              <w:spacing w:after="0"/>
              <w:rPr>
                <w:sz w:val="19"/>
                <w:szCs w:val="19"/>
                <w:color w:val="auto"/>
              </w:rPr>
            </w:pPr>
          </w:p>
        </w:tc>
        <w:tc>
          <w:tcPr>
            <w:tcW w:w="372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Pr>
          <w:p>
            <w:pPr>
              <w:spacing w:after="0"/>
              <w:rPr>
                <w:sz w:val="19"/>
                <w:szCs w:val="19"/>
                <w:color w:val="auto"/>
              </w:rPr>
            </w:pPr>
          </w:p>
        </w:tc>
        <w:tc>
          <w:tcPr>
            <w:tcW w:w="3740" w:type="dxa"/>
            <w:vAlign w:val="bottom"/>
          </w:tcPr>
          <w:p>
            <w:pPr>
              <w:ind w:left="3280"/>
              <w:spacing w:after="0"/>
              <w:rPr>
                <w:sz w:val="20"/>
                <w:szCs w:val="20"/>
                <w:color w:val="auto"/>
              </w:rPr>
            </w:pPr>
            <w:r>
              <w:rPr>
                <w:rFonts w:ascii="Times New Roman" w:cs="Times New Roman" w:eastAsia="Times New Roman" w:hAnsi="Times New Roman"/>
                <w:sz w:val="18"/>
                <w:szCs w:val="18"/>
                <w:color w:val="auto"/>
              </w:rPr>
              <w:t>1.2</w:t>
            </w:r>
          </w:p>
        </w:tc>
      </w:tr>
      <w:tr>
        <w:trPr>
          <w:trHeight w:val="230"/>
        </w:trPr>
        <w:tc>
          <w:tcPr>
            <w:tcW w:w="3560" w:type="dxa"/>
            <w:vAlign w:val="bottom"/>
            <w:shd w:val="clear" w:color="auto" w:fill="CCEEFF"/>
          </w:tcPr>
          <w:p>
            <w:pPr>
              <w:jc w:val="center"/>
              <w:ind w:left="3033"/>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shd w:val="clear" w:color="auto" w:fill="CCEEFF"/>
          </w:tcPr>
          <w:p>
            <w:pPr>
              <w:spacing w:after="0"/>
              <w:rPr>
                <w:sz w:val="19"/>
                <w:szCs w:val="19"/>
                <w:color w:val="auto"/>
              </w:rPr>
            </w:pPr>
          </w:p>
        </w:tc>
        <w:tc>
          <w:tcPr>
            <w:tcW w:w="372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shd w:val="clear" w:color="auto" w:fill="CCEEFF"/>
          </w:tcPr>
          <w:p>
            <w:pPr>
              <w:spacing w:after="0"/>
              <w:rPr>
                <w:sz w:val="19"/>
                <w:szCs w:val="19"/>
                <w:color w:val="auto"/>
              </w:rPr>
            </w:pPr>
          </w:p>
        </w:tc>
        <w:tc>
          <w:tcPr>
            <w:tcW w:w="374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8"/>
                <w:szCs w:val="18"/>
                <w:color w:val="auto"/>
              </w:rPr>
              <w:t>(1.0)</w:t>
            </w:r>
          </w:p>
        </w:tc>
      </w:tr>
      <w:tr>
        <w:trPr>
          <w:trHeight w:val="229"/>
        </w:trPr>
        <w:tc>
          <w:tcPr>
            <w:tcW w:w="3560" w:type="dxa"/>
            <w:vAlign w:val="bottom"/>
          </w:tcPr>
          <w:p>
            <w:pPr>
              <w:jc w:val="center"/>
              <w:ind w:left="3033"/>
              <w:spacing w:after="0"/>
              <w:rPr>
                <w:sz w:val="20"/>
                <w:szCs w:val="20"/>
                <w:color w:val="auto"/>
              </w:rPr>
            </w:pPr>
            <w:r>
              <w:rPr>
                <w:rFonts w:ascii="Times New Roman" w:cs="Times New Roman" w:eastAsia="Times New Roman" w:hAnsi="Times New Roman"/>
                <w:sz w:val="18"/>
                <w:szCs w:val="18"/>
                <w:color w:val="auto"/>
              </w:rPr>
              <w:t>(200)</w:t>
            </w:r>
          </w:p>
        </w:tc>
        <w:tc>
          <w:tcPr>
            <w:tcW w:w="100" w:type="dxa"/>
            <w:vAlign w:val="bottom"/>
          </w:tcPr>
          <w:p>
            <w:pPr>
              <w:spacing w:after="0"/>
              <w:rPr>
                <w:sz w:val="19"/>
                <w:szCs w:val="19"/>
                <w:color w:val="auto"/>
              </w:rPr>
            </w:pPr>
          </w:p>
        </w:tc>
        <w:tc>
          <w:tcPr>
            <w:tcW w:w="372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Pr>
          <w:p>
            <w:pPr>
              <w:spacing w:after="0"/>
              <w:rPr>
                <w:sz w:val="19"/>
                <w:szCs w:val="19"/>
                <w:color w:val="auto"/>
              </w:rPr>
            </w:pPr>
          </w:p>
        </w:tc>
        <w:tc>
          <w:tcPr>
            <w:tcW w:w="3740" w:type="dxa"/>
            <w:vAlign w:val="bottom"/>
          </w:tcPr>
          <w:p>
            <w:pPr>
              <w:jc w:val="right"/>
              <w:ind w:right="95"/>
              <w:spacing w:after="0"/>
              <w:rPr>
                <w:sz w:val="20"/>
                <w:szCs w:val="20"/>
                <w:color w:val="auto"/>
              </w:rPr>
            </w:pPr>
            <w:r>
              <w:rPr>
                <w:rFonts w:ascii="Times New Roman" w:cs="Times New Roman" w:eastAsia="Times New Roman" w:hAnsi="Times New Roman"/>
                <w:sz w:val="18"/>
                <w:szCs w:val="18"/>
                <w:color w:val="auto"/>
              </w:rPr>
              <w:t>(0.8)</w:t>
            </w:r>
          </w:p>
        </w:tc>
      </w:tr>
      <w:tr>
        <w:trPr>
          <w:trHeight w:val="230"/>
        </w:trPr>
        <w:tc>
          <w:tcPr>
            <w:tcW w:w="3560" w:type="dxa"/>
            <w:vAlign w:val="bottom"/>
            <w:shd w:val="clear" w:color="auto" w:fill="CCEEFF"/>
          </w:tcPr>
          <w:p>
            <w:pPr>
              <w:jc w:val="center"/>
              <w:ind w:left="3033"/>
              <w:spacing w:after="0"/>
              <w:rPr>
                <w:sz w:val="20"/>
                <w:szCs w:val="20"/>
                <w:color w:val="auto"/>
              </w:rPr>
            </w:pPr>
            <w:r>
              <w:rPr>
                <w:rFonts w:ascii="Times New Roman" w:cs="Times New Roman" w:eastAsia="Times New Roman" w:hAnsi="Times New Roman"/>
                <w:sz w:val="18"/>
                <w:szCs w:val="18"/>
                <w:color w:val="auto"/>
              </w:rPr>
              <w:t>(300)</w:t>
            </w:r>
          </w:p>
        </w:tc>
        <w:tc>
          <w:tcPr>
            <w:tcW w:w="100" w:type="dxa"/>
            <w:vAlign w:val="bottom"/>
            <w:shd w:val="clear" w:color="auto" w:fill="CCEEFF"/>
          </w:tcPr>
          <w:p>
            <w:pPr>
              <w:spacing w:after="0"/>
              <w:rPr>
                <w:sz w:val="19"/>
                <w:szCs w:val="19"/>
                <w:color w:val="auto"/>
              </w:rPr>
            </w:pPr>
          </w:p>
        </w:tc>
        <w:tc>
          <w:tcPr>
            <w:tcW w:w="372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shd w:val="clear" w:color="auto" w:fill="CCEEFF"/>
          </w:tcPr>
          <w:p>
            <w:pPr>
              <w:spacing w:after="0"/>
              <w:rPr>
                <w:sz w:val="19"/>
                <w:szCs w:val="19"/>
                <w:color w:val="auto"/>
              </w:rPr>
            </w:pPr>
          </w:p>
        </w:tc>
        <w:tc>
          <w:tcPr>
            <w:tcW w:w="374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8"/>
                <w:szCs w:val="18"/>
                <w:color w:val="auto"/>
              </w:rPr>
              <w:t>(0.3)</w:t>
            </w:r>
          </w:p>
        </w:tc>
      </w:tr>
    </w:tbl>
    <w:p>
      <w:pPr>
        <w:spacing w:after="0" w:line="234"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Economic Value of Equity Analysis (“EVE”). </w:t>
      </w:r>
      <w:r>
        <w:rPr>
          <w:rFonts w:ascii="Times New Roman" w:cs="Times New Roman" w:eastAsia="Times New Roman" w:hAnsi="Times New Roman"/>
          <w:sz w:val="18"/>
          <w:szCs w:val="18"/>
          <w:color w:val="auto"/>
        </w:rPr>
        <w:t>We analyze the sensitivity of our financial condition to changes in interest rates through our economic</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value of equity model. This analysis measures the difference between predicted changes in the fair value of our assets and predicted changes in the present value of our liabilities, assuming various changes in current interest rates. The table below represents an analysis of our interest rate risk as measured by the estimated changes in our economic value of equity, resulting from an instantaneous and sustained parallel shift in the yield curve at June 30, 2024, and December 31, 2023.</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As of June 30, 2024</w:t>
            </w:r>
          </w:p>
        </w:tc>
        <w:tc>
          <w:tcPr>
            <w:tcW w:w="376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As of December 31, 2023</w:t>
            </w:r>
          </w:p>
        </w:tc>
      </w:tr>
      <w:tr>
        <w:trPr>
          <w:trHeight w:val="203"/>
        </w:trPr>
        <w:tc>
          <w:tcPr>
            <w:tcW w:w="3660" w:type="dxa"/>
            <w:vAlign w:val="bottom"/>
            <w:gridSpan w:val="2"/>
          </w:tcPr>
          <w:p>
            <w:pPr>
              <w:ind w:left="500"/>
              <w:spacing w:after="0"/>
              <w:rPr>
                <w:sz w:val="20"/>
                <w:szCs w:val="20"/>
                <w:color w:val="auto"/>
              </w:rPr>
            </w:pPr>
            <w:r>
              <w:rPr>
                <w:rFonts w:ascii="Times New Roman" w:cs="Times New Roman" w:eastAsia="Times New Roman" w:hAnsi="Times New Roman"/>
                <w:sz w:val="14"/>
                <w:szCs w:val="14"/>
                <w:b w:val="1"/>
                <w:bCs w:val="1"/>
                <w:color w:val="auto"/>
              </w:rPr>
              <w:t>Change in Interest Rates (in Basis Points)</w:t>
            </w:r>
          </w:p>
        </w:tc>
        <w:tc>
          <w:tcPr>
            <w:tcW w:w="38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Percentage Change in EVE</w:t>
            </w:r>
          </w:p>
        </w:tc>
        <w:tc>
          <w:tcPr>
            <w:tcW w:w="376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Percentage Change in EVE</w:t>
            </w:r>
          </w:p>
        </w:tc>
      </w:tr>
      <w:tr>
        <w:trPr>
          <w:trHeight w:val="23"/>
        </w:trPr>
        <w:tc>
          <w:tcPr>
            <w:tcW w:w="3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7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23"/>
        </w:trPr>
        <w:tc>
          <w:tcPr>
            <w:tcW w:w="3560" w:type="dxa"/>
            <w:vAlign w:val="bottom"/>
            <w:shd w:val="clear" w:color="auto" w:fill="CCEEFF"/>
          </w:tcPr>
          <w:p>
            <w:pPr>
              <w:jc w:val="center"/>
              <w:ind w:left="3053"/>
              <w:spacing w:after="0"/>
              <w:rPr>
                <w:sz w:val="20"/>
                <w:szCs w:val="20"/>
                <w:color w:val="auto"/>
              </w:rPr>
            </w:pPr>
            <w:r>
              <w:rPr>
                <w:rFonts w:ascii="Times New Roman" w:cs="Times New Roman" w:eastAsia="Times New Roman" w:hAnsi="Times New Roman"/>
                <w:sz w:val="18"/>
                <w:szCs w:val="18"/>
                <w:color w:val="auto"/>
                <w:w w:val="96"/>
              </w:rPr>
              <w:t>200</w:t>
            </w:r>
          </w:p>
        </w:tc>
        <w:tc>
          <w:tcPr>
            <w:tcW w:w="100" w:type="dxa"/>
            <w:vAlign w:val="bottom"/>
            <w:shd w:val="clear" w:color="auto" w:fill="CCEEFF"/>
          </w:tcPr>
          <w:p>
            <w:pPr>
              <w:spacing w:after="0"/>
              <w:rPr>
                <w:sz w:val="19"/>
                <w:szCs w:val="19"/>
                <w:color w:val="auto"/>
              </w:rPr>
            </w:pPr>
          </w:p>
        </w:tc>
        <w:tc>
          <w:tcPr>
            <w:tcW w:w="3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shd w:val="clear" w:color="auto" w:fill="CCEEFF"/>
          </w:tcPr>
          <w:p>
            <w:pPr>
              <w:spacing w:after="0"/>
              <w:rPr>
                <w:sz w:val="19"/>
                <w:szCs w:val="19"/>
                <w:color w:val="auto"/>
              </w:rPr>
            </w:pPr>
          </w:p>
        </w:tc>
        <w:tc>
          <w:tcPr>
            <w:tcW w:w="3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20" w:type="dxa"/>
            <w:vAlign w:val="bottom"/>
          </w:tcPr>
          <w:p>
            <w:pPr>
              <w:spacing w:after="0"/>
              <w:rPr>
                <w:sz w:val="19"/>
                <w:szCs w:val="19"/>
                <w:color w:val="auto"/>
              </w:rPr>
            </w:pPr>
          </w:p>
        </w:tc>
      </w:tr>
      <w:tr>
        <w:trPr>
          <w:trHeight w:val="230"/>
        </w:trPr>
        <w:tc>
          <w:tcPr>
            <w:tcW w:w="3560" w:type="dxa"/>
            <w:vAlign w:val="bottom"/>
          </w:tcPr>
          <w:p>
            <w:pPr>
              <w:jc w:val="center"/>
              <w:ind w:left="3053"/>
              <w:spacing w:after="0"/>
              <w:rPr>
                <w:sz w:val="20"/>
                <w:szCs w:val="20"/>
                <w:color w:val="auto"/>
              </w:rPr>
            </w:pPr>
            <w:r>
              <w:rPr>
                <w:rFonts w:ascii="Times New Roman" w:cs="Times New Roman" w:eastAsia="Times New Roman" w:hAnsi="Times New Roman"/>
                <w:sz w:val="18"/>
                <w:szCs w:val="18"/>
                <w:color w:val="auto"/>
                <w:w w:val="96"/>
              </w:rPr>
              <w:t>100</w:t>
            </w:r>
          </w:p>
        </w:tc>
        <w:tc>
          <w:tcPr>
            <w:tcW w:w="100" w:type="dxa"/>
            <w:vAlign w:val="bottom"/>
          </w:tcPr>
          <w:p>
            <w:pPr>
              <w:spacing w:after="0"/>
              <w:rPr>
                <w:sz w:val="19"/>
                <w:szCs w:val="19"/>
                <w:color w:val="auto"/>
              </w:rPr>
            </w:pPr>
          </w:p>
        </w:tc>
        <w:tc>
          <w:tcPr>
            <w:tcW w:w="3720" w:type="dxa"/>
            <w:vAlign w:val="bottom"/>
          </w:tcPr>
          <w:p>
            <w:pPr>
              <w:jc w:val="right"/>
              <w:ind w:right="95"/>
              <w:spacing w:after="0"/>
              <w:rPr>
                <w:sz w:val="20"/>
                <w:szCs w:val="20"/>
                <w:color w:val="auto"/>
              </w:rPr>
            </w:pPr>
            <w:r>
              <w:rPr>
                <w:rFonts w:ascii="Times New Roman" w:cs="Times New Roman" w:eastAsia="Times New Roman" w:hAnsi="Times New Roman"/>
                <w:sz w:val="18"/>
                <w:szCs w:val="18"/>
                <w:color w:val="auto"/>
              </w:rPr>
              <w:t>(0.8)</w:t>
            </w:r>
          </w:p>
        </w:tc>
        <w:tc>
          <w:tcPr>
            <w:tcW w:w="100" w:type="dxa"/>
            <w:vAlign w:val="bottom"/>
          </w:tcPr>
          <w:p>
            <w:pPr>
              <w:spacing w:after="0"/>
              <w:rPr>
                <w:sz w:val="19"/>
                <w:szCs w:val="19"/>
                <w:color w:val="auto"/>
              </w:rPr>
            </w:pPr>
          </w:p>
        </w:tc>
        <w:tc>
          <w:tcPr>
            <w:tcW w:w="3740" w:type="dxa"/>
            <w:vAlign w:val="bottom"/>
          </w:tcPr>
          <w:p>
            <w:pPr>
              <w:jc w:val="right"/>
              <w:ind w:right="95"/>
              <w:spacing w:after="0"/>
              <w:rPr>
                <w:sz w:val="20"/>
                <w:szCs w:val="20"/>
                <w:color w:val="auto"/>
              </w:rPr>
            </w:pPr>
            <w:r>
              <w:rPr>
                <w:rFonts w:ascii="Times New Roman" w:cs="Times New Roman" w:eastAsia="Times New Roman" w:hAnsi="Times New Roman"/>
                <w:sz w:val="18"/>
                <w:szCs w:val="18"/>
                <w:color w:val="auto"/>
              </w:rPr>
              <w:t>(5.8)</w:t>
            </w:r>
          </w:p>
        </w:tc>
        <w:tc>
          <w:tcPr>
            <w:tcW w:w="20" w:type="dxa"/>
            <w:vAlign w:val="bottom"/>
          </w:tcPr>
          <w:p>
            <w:pPr>
              <w:spacing w:after="0"/>
              <w:rPr>
                <w:sz w:val="19"/>
                <w:szCs w:val="19"/>
                <w:color w:val="auto"/>
              </w:rPr>
            </w:pPr>
          </w:p>
        </w:tc>
      </w:tr>
      <w:tr>
        <w:trPr>
          <w:trHeight w:val="229"/>
        </w:trPr>
        <w:tc>
          <w:tcPr>
            <w:tcW w:w="3560" w:type="dxa"/>
            <w:vAlign w:val="bottom"/>
            <w:shd w:val="clear" w:color="auto" w:fill="CCEEFF"/>
          </w:tcPr>
          <w:p>
            <w:pPr>
              <w:jc w:val="center"/>
              <w:ind w:left="3033"/>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shd w:val="clear" w:color="auto" w:fill="CCEEFF"/>
          </w:tcPr>
          <w:p>
            <w:pPr>
              <w:spacing w:after="0"/>
              <w:rPr>
                <w:sz w:val="19"/>
                <w:szCs w:val="19"/>
                <w:color w:val="auto"/>
              </w:rPr>
            </w:pPr>
          </w:p>
        </w:tc>
        <w:tc>
          <w:tcPr>
            <w:tcW w:w="372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shd w:val="clear" w:color="auto" w:fill="CCEEFF"/>
          </w:tcPr>
          <w:p>
            <w:pPr>
              <w:spacing w:after="0"/>
              <w:rPr>
                <w:sz w:val="19"/>
                <w:szCs w:val="19"/>
                <w:color w:val="auto"/>
              </w:rPr>
            </w:pPr>
          </w:p>
        </w:tc>
        <w:tc>
          <w:tcPr>
            <w:tcW w:w="374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2.3</w:t>
            </w:r>
          </w:p>
        </w:tc>
        <w:tc>
          <w:tcPr>
            <w:tcW w:w="20" w:type="dxa"/>
            <w:vAlign w:val="bottom"/>
          </w:tcPr>
          <w:p>
            <w:pPr>
              <w:spacing w:after="0"/>
              <w:rPr>
                <w:sz w:val="19"/>
                <w:szCs w:val="19"/>
                <w:color w:val="auto"/>
              </w:rPr>
            </w:pPr>
          </w:p>
        </w:tc>
      </w:tr>
      <w:tr>
        <w:trPr>
          <w:trHeight w:val="230"/>
        </w:trPr>
        <w:tc>
          <w:tcPr>
            <w:tcW w:w="3560" w:type="dxa"/>
            <w:vAlign w:val="bottom"/>
          </w:tcPr>
          <w:p>
            <w:pPr>
              <w:jc w:val="center"/>
              <w:ind w:left="3033"/>
              <w:spacing w:after="0"/>
              <w:rPr>
                <w:sz w:val="20"/>
                <w:szCs w:val="20"/>
                <w:color w:val="auto"/>
              </w:rPr>
            </w:pPr>
            <w:r>
              <w:rPr>
                <w:rFonts w:ascii="Times New Roman" w:cs="Times New Roman" w:eastAsia="Times New Roman" w:hAnsi="Times New Roman"/>
                <w:sz w:val="18"/>
                <w:szCs w:val="18"/>
                <w:color w:val="auto"/>
              </w:rPr>
              <w:t>(200)</w:t>
            </w:r>
          </w:p>
        </w:tc>
        <w:tc>
          <w:tcPr>
            <w:tcW w:w="100" w:type="dxa"/>
            <w:vAlign w:val="bottom"/>
          </w:tcPr>
          <w:p>
            <w:pPr>
              <w:spacing w:after="0"/>
              <w:rPr>
                <w:sz w:val="19"/>
                <w:szCs w:val="19"/>
                <w:color w:val="auto"/>
              </w:rPr>
            </w:pPr>
          </w:p>
        </w:tc>
        <w:tc>
          <w:tcPr>
            <w:tcW w:w="3720" w:type="dxa"/>
            <w:vAlign w:val="bottom"/>
          </w:tcPr>
          <w:p>
            <w:pPr>
              <w:jc w:val="right"/>
              <w:ind w:right="95"/>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tcPr>
          <w:p>
            <w:pPr>
              <w:spacing w:after="0"/>
              <w:rPr>
                <w:sz w:val="19"/>
                <w:szCs w:val="19"/>
                <w:color w:val="auto"/>
              </w:rPr>
            </w:pPr>
          </w:p>
        </w:tc>
        <w:tc>
          <w:tcPr>
            <w:tcW w:w="374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1.7</w:t>
            </w:r>
          </w:p>
        </w:tc>
        <w:tc>
          <w:tcPr>
            <w:tcW w:w="20" w:type="dxa"/>
            <w:vAlign w:val="bottom"/>
          </w:tcPr>
          <w:p>
            <w:pPr>
              <w:spacing w:after="0"/>
              <w:rPr>
                <w:sz w:val="19"/>
                <w:szCs w:val="19"/>
                <w:color w:val="auto"/>
              </w:rPr>
            </w:pPr>
          </w:p>
        </w:tc>
      </w:tr>
      <w:tr>
        <w:trPr>
          <w:trHeight w:val="230"/>
        </w:trPr>
        <w:tc>
          <w:tcPr>
            <w:tcW w:w="3560" w:type="dxa"/>
            <w:vAlign w:val="bottom"/>
            <w:shd w:val="clear" w:color="auto" w:fill="CCEEFF"/>
          </w:tcPr>
          <w:p>
            <w:pPr>
              <w:jc w:val="center"/>
              <w:ind w:left="3033"/>
              <w:spacing w:after="0"/>
              <w:rPr>
                <w:sz w:val="20"/>
                <w:szCs w:val="20"/>
                <w:color w:val="auto"/>
              </w:rPr>
            </w:pPr>
            <w:r>
              <w:rPr>
                <w:rFonts w:ascii="Times New Roman" w:cs="Times New Roman" w:eastAsia="Times New Roman" w:hAnsi="Times New Roman"/>
                <w:sz w:val="18"/>
                <w:szCs w:val="18"/>
                <w:color w:val="auto"/>
              </w:rPr>
              <w:t>(300)</w:t>
            </w:r>
          </w:p>
        </w:tc>
        <w:tc>
          <w:tcPr>
            <w:tcW w:w="100" w:type="dxa"/>
            <w:vAlign w:val="bottom"/>
            <w:shd w:val="clear" w:color="auto" w:fill="CCEEFF"/>
          </w:tcPr>
          <w:p>
            <w:pPr>
              <w:spacing w:after="0"/>
              <w:rPr>
                <w:sz w:val="19"/>
                <w:szCs w:val="19"/>
                <w:color w:val="auto"/>
              </w:rPr>
            </w:pPr>
          </w:p>
        </w:tc>
        <w:tc>
          <w:tcPr>
            <w:tcW w:w="372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8"/>
                <w:szCs w:val="18"/>
                <w:color w:val="auto"/>
              </w:rPr>
              <w:t>(10.3)</w:t>
            </w:r>
          </w:p>
        </w:tc>
        <w:tc>
          <w:tcPr>
            <w:tcW w:w="100" w:type="dxa"/>
            <w:vAlign w:val="bottom"/>
            <w:shd w:val="clear" w:color="auto" w:fill="CCEEFF"/>
          </w:tcPr>
          <w:p>
            <w:pPr>
              <w:spacing w:after="0"/>
              <w:rPr>
                <w:sz w:val="19"/>
                <w:szCs w:val="19"/>
                <w:color w:val="auto"/>
              </w:rPr>
            </w:pPr>
          </w:p>
        </w:tc>
        <w:tc>
          <w:tcPr>
            <w:tcW w:w="374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8"/>
                <w:szCs w:val="18"/>
                <w:color w:val="auto"/>
              </w:rPr>
              <w:t>(1.8)</w:t>
            </w:r>
          </w:p>
        </w:tc>
        <w:tc>
          <w:tcPr>
            <w:tcW w:w="20" w:type="dxa"/>
            <w:vAlign w:val="bottom"/>
          </w:tcPr>
          <w:p>
            <w:pPr>
              <w:spacing w:after="0"/>
              <w:rPr>
                <w:sz w:val="19"/>
                <w:szCs w:val="19"/>
                <w:color w:val="auto"/>
              </w:rPr>
            </w:pPr>
          </w:p>
        </w:tc>
      </w:tr>
      <w:tr>
        <w:trPr>
          <w:trHeight w:val="891"/>
        </w:trPr>
        <w:tc>
          <w:tcPr>
            <w:tcW w:w="3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720" w:type="dxa"/>
            <w:vAlign w:val="bottom"/>
          </w:tcPr>
          <w:p>
            <w:pPr>
              <w:jc w:val="right"/>
              <w:ind w:right="1575"/>
              <w:spacing w:after="0"/>
              <w:rPr>
                <w:sz w:val="20"/>
                <w:szCs w:val="20"/>
                <w:color w:val="auto"/>
              </w:rPr>
            </w:pPr>
            <w:r>
              <w:rPr>
                <w:rFonts w:ascii="Times New Roman" w:cs="Times New Roman" w:eastAsia="Times New Roman" w:hAnsi="Times New Roman"/>
                <w:sz w:val="18"/>
                <w:szCs w:val="18"/>
                <w:color w:val="auto"/>
              </w:rPr>
              <w:t>78</w:t>
            </w:r>
          </w:p>
        </w:tc>
        <w:tc>
          <w:tcPr>
            <w:tcW w:w="10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77"/>
        </w:trPr>
        <w:tc>
          <w:tcPr>
            <w:tcW w:w="35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7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7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Controls and Procedures</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management, with the participation of our Chief Executive Officer and Chief Financial Officer, evaluated the effectiveness of our disclosure controls and procedures (as defined in Rules 13a-15(e) and 15d-15(e) under the Securities Exchange Act of 1934, as amended (the “Exchange Act”)) as of June 30, 2024. Based on their evaluation of the Company’s disclosure controls and procedures, the Company’s Chief Executive Officer and Chief Financial Officer have concluded that our disclosure controls and procedures are designed to ensure that information required to be disclosed by the Company in reports that it files or submits under the Exchange Act is recorded, processed, summarized and reported within the time periods specified in the SEC rules and regulations are designed and operating in an effective manner.</w:t>
      </w:r>
    </w:p>
    <w:p>
      <w:pPr>
        <w:spacing w:after="0" w:line="13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Effective on May 3, 2024, Burke &amp; Herbert completed its Merger with Summit. During the second quarter of 2024, management commenced an evaluation of the design and operating effectiveness of internal controls over financial reporting related to the Summit acquired business. The evaluation of changes to processes, technology systems, and other components of internal control over financial reporting related to the Summit acquired business is ongoing. Except for the changes made in connection with the Merger, there were no changes in our internal control over financial reporting that occurred during the quarter ended June 30, 2024,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171"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Legal Proceedings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Legal Proceedings</w:t>
      </w:r>
    </w:p>
    <w:p>
      <w:pPr>
        <w:spacing w:after="0" w:line="17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In the ordinary course of our operations, and from time to time, the Company and its subsidiary are parties to various legal claims, lawsuits and proceedings incidental to the ordinary nature of the Company’s business. Currently, we are not party to any material legal proceedings, and no such proceedings are, to management’s knowledge, threatened against us. Although the ultimate outcome of any pending legal proceedings cannot be ascertained at this time, it is the opinion of management that the liabilities (if any) resulting from such legal proceedings will not have a material adverse effect on the Company’s business, including its consolidated financial position, results of operations, or cash flows, or otherwise require disclosure under the federal securities laws.</w:t>
      </w:r>
    </w:p>
    <w:p>
      <w:pPr>
        <w:spacing w:after="0" w:line="346"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Item 1A.</w:t>
        <w:tab/>
        <w:t>Risk Factors</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 have been no material changes in the risk factors that were disclosed in Item 1A, under the caption “Risk Factors” in our Form 10-K for the year ended December 31, 2023.</w:t>
      </w:r>
    </w:p>
    <w:p>
      <w:pPr>
        <w:spacing w:after="0" w:line="104"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Unregistered Sales of Equity Securities and Use of Proceeds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67"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3.</w:t>
        <w:tab/>
        <w:t>Defaults Upon Senior Securities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67"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Mine Safety Disclosures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167"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5.</w:t>
        <w:tab/>
        <w:t>Other Information</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 Insider Trading Arrangements</w:t>
      </w:r>
    </w:p>
    <w:p>
      <w:pPr>
        <w:spacing w:after="0" w:line="25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three months ended June 30, 2024, none of our directors or officers (as defined in Rule 16a-1(f) of the Exchange Act) adopted or terminated a Rule 10b5-1 trading arrangement or non-Rule 10b5-1 trading arrangement (as such terms are defined in Item 408 of Regulation S-K of the Securities Act of 1933, as amended).</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7"/>
          <w:szCs w:val="17"/>
          <w:b w:val="1"/>
          <w:bCs w:val="1"/>
          <w:color w:val="auto"/>
        </w:rPr>
        <w:t>Exhibits</w:t>
      </w:r>
    </w:p>
    <w:p>
      <w:pPr>
        <w:spacing w:after="0" w:line="209" w:lineRule="exact"/>
        <w:rPr>
          <w:sz w:val="20"/>
          <w:szCs w:val="20"/>
          <w:color w:val="auto"/>
        </w:rPr>
      </w:pPr>
    </w:p>
    <w:tbl>
      <w:tblPr>
        <w:tblLayout w:type="fixed"/>
        <w:tblInd w:w="100" w:type="dxa"/>
        <w:tblCellMar>
          <w:top w:w="0" w:type="dxa"/>
          <w:left w:w="0" w:type="dxa"/>
          <w:bottom w:w="0" w:type="dxa"/>
          <w:right w:w="0" w:type="dxa"/>
        </w:tblCellMar>
      </w:tblPr>
      <w:tr>
        <w:trPr>
          <w:trHeight w:val="190"/>
        </w:trPr>
        <w:tc>
          <w:tcPr>
            <w:tcW w:w="11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10000" w:type="dxa"/>
            <w:vAlign w:val="bottom"/>
            <w:gridSpan w:val="24"/>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23"/>
        </w:trPr>
        <w:tc>
          <w:tcPr>
            <w:tcW w:w="1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500" w:type="dxa"/>
            <w:vAlign w:val="bottom"/>
          </w:tcPr>
          <w:p>
            <w:pPr>
              <w:spacing w:after="0"/>
              <w:rPr>
                <w:sz w:val="2"/>
                <w:szCs w:val="2"/>
                <w:color w:val="auto"/>
              </w:rPr>
            </w:pPr>
          </w:p>
        </w:tc>
        <w:tc>
          <w:tcPr>
            <w:tcW w:w="880" w:type="dxa"/>
            <w:vAlign w:val="bottom"/>
          </w:tcPr>
          <w:p>
            <w:pPr>
              <w:spacing w:after="0"/>
              <w:rPr>
                <w:sz w:val="2"/>
                <w:szCs w:val="2"/>
                <w:color w:val="auto"/>
              </w:rPr>
            </w:pPr>
          </w:p>
        </w:tc>
        <w:tc>
          <w:tcPr>
            <w:tcW w:w="29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60" w:type="dxa"/>
            <w:vAlign w:val="bottom"/>
          </w:tcPr>
          <w:p>
            <w:pPr>
              <w:spacing w:after="0"/>
              <w:rPr>
                <w:sz w:val="2"/>
                <w:szCs w:val="2"/>
                <w:color w:val="auto"/>
              </w:rPr>
            </w:pPr>
          </w:p>
        </w:tc>
        <w:tc>
          <w:tcPr>
            <w:tcW w:w="5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112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2.1*</w:t>
            </w:r>
          </w:p>
        </w:tc>
        <w:tc>
          <w:tcPr>
            <w:tcW w:w="10000" w:type="dxa"/>
            <w:vAlign w:val="bottom"/>
            <w:gridSpan w:val="24"/>
            <w:shd w:val="clear" w:color="auto" w:fill="CCEEFF"/>
          </w:tcPr>
          <w:p>
            <w:pPr>
              <w:spacing w:after="0" w:line="189" w:lineRule="exact"/>
              <w:rPr>
                <w:rFonts w:ascii="Times New Roman" w:cs="Times New Roman" w:eastAsia="Times New Roman" w:hAnsi="Times New Roman"/>
                <w:sz w:val="18"/>
                <w:szCs w:val="18"/>
                <w:color w:val="0000FF"/>
              </w:rPr>
            </w:pPr>
            <w:hyperlink r:id="rId117">
              <w:r>
                <w:rPr>
                  <w:rFonts w:ascii="Times New Roman" w:cs="Times New Roman" w:eastAsia="Times New Roman" w:hAnsi="Times New Roman"/>
                  <w:sz w:val="18"/>
                  <w:szCs w:val="18"/>
                  <w:color w:val="0000FF"/>
                </w:rPr>
                <w:t>Agreement and Plan of Reorganization between Burke &amp; Herbert Financial Services Corp. and Summit Financial Group, Inc., dated as of</w:t>
              </w:r>
            </w:hyperlink>
          </w:p>
        </w:tc>
      </w:tr>
      <w:tr>
        <w:trPr>
          <w:trHeight w:val="189"/>
        </w:trPr>
        <w:tc>
          <w:tcPr>
            <w:tcW w:w="1120" w:type="dxa"/>
            <w:vAlign w:val="bottom"/>
            <w:tcBorders>
              <w:top w:val="single" w:sz="8" w:color="CCEEFF"/>
              <w:bottom w:val="single" w:sz="8" w:color="CCEEFF"/>
            </w:tcBorders>
            <w:shd w:val="clear" w:color="auto" w:fill="CCEEFF"/>
          </w:tcPr>
          <w:p>
            <w:pPr>
              <w:spacing w:after="0"/>
              <w:rPr>
                <w:sz w:val="16"/>
                <w:szCs w:val="16"/>
                <w:color w:val="auto"/>
              </w:rPr>
            </w:pPr>
          </w:p>
        </w:tc>
        <w:tc>
          <w:tcPr>
            <w:tcW w:w="9820" w:type="dxa"/>
            <w:vAlign w:val="bottom"/>
            <w:tcBorders>
              <w:top w:val="single" w:sz="8" w:color="0000FF"/>
              <w:bottom w:val="single" w:sz="8" w:color="0000FF"/>
            </w:tcBorders>
            <w:gridSpan w:val="17"/>
            <w:shd w:val="clear" w:color="auto" w:fill="CCEEFF"/>
          </w:tcPr>
          <w:p>
            <w:pPr>
              <w:spacing w:after="0" w:line="156" w:lineRule="exact"/>
              <w:rPr>
                <w:rFonts w:ascii="Times New Roman" w:cs="Times New Roman" w:eastAsia="Times New Roman" w:hAnsi="Times New Roman"/>
                <w:sz w:val="18"/>
                <w:szCs w:val="18"/>
                <w:color w:val="0000FF"/>
                <w:w w:val="99"/>
              </w:rPr>
            </w:pPr>
            <w:hyperlink r:id="rId117">
              <w:r>
                <w:rPr>
                  <w:rFonts w:ascii="Times New Roman" w:cs="Times New Roman" w:eastAsia="Times New Roman" w:hAnsi="Times New Roman"/>
                  <w:sz w:val="18"/>
                  <w:szCs w:val="18"/>
                  <w:color w:val="0000FF"/>
                  <w:w w:val="99"/>
                </w:rPr>
                <w:t>August 24, 2023 (incorporated by reference to Exhibit 2.1 to the Registrant’s Registration Statement on Form S-4 filed October 2, 2023)</w:t>
              </w:r>
            </w:hyperlink>
          </w:p>
        </w:tc>
        <w:tc>
          <w:tcPr>
            <w:tcW w:w="140" w:type="dxa"/>
            <w:vAlign w:val="bottom"/>
            <w:tcBorders>
              <w:top w:val="single" w:sz="8" w:color="0000FF"/>
              <w:bottom w:val="single" w:sz="8" w:color="CCEEFF"/>
            </w:tcBorders>
            <w:gridSpan w:val="5"/>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r>
      <w:tr>
        <w:trPr>
          <w:trHeight w:val="189"/>
        </w:trPr>
        <w:tc>
          <w:tcPr>
            <w:tcW w:w="112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3.1#</w:t>
            </w:r>
          </w:p>
        </w:tc>
        <w:tc>
          <w:tcPr>
            <w:tcW w:w="10000" w:type="dxa"/>
            <w:vAlign w:val="bottom"/>
            <w:gridSpan w:val="24"/>
          </w:tcPr>
          <w:p>
            <w:pPr>
              <w:spacing w:after="0" w:line="189" w:lineRule="exact"/>
              <w:rPr>
                <w:sz w:val="20"/>
                <w:szCs w:val="20"/>
                <w:color w:val="auto"/>
              </w:rPr>
            </w:pPr>
            <w:r>
              <w:rPr>
                <w:rFonts w:ascii="Times New Roman" w:cs="Times New Roman" w:eastAsia="Times New Roman" w:hAnsi="Times New Roman"/>
                <w:sz w:val="18"/>
                <w:szCs w:val="18"/>
                <w:color w:val="0000FF"/>
              </w:rPr>
              <w:t>Articles of Incorporation Burke &amp; Herbert Financial Services Corp. as amended</w:t>
            </w:r>
          </w:p>
        </w:tc>
      </w:tr>
      <w:tr>
        <w:trPr>
          <w:trHeight w:val="21"/>
        </w:trPr>
        <w:tc>
          <w:tcPr>
            <w:tcW w:w="1120" w:type="dxa"/>
            <w:vAlign w:val="bottom"/>
          </w:tcPr>
          <w:p>
            <w:pPr>
              <w:spacing w:after="0" w:line="20" w:lineRule="exact"/>
              <w:rPr>
                <w:sz w:val="1"/>
                <w:szCs w:val="1"/>
                <w:color w:val="auto"/>
              </w:rPr>
            </w:pPr>
          </w:p>
        </w:tc>
        <w:tc>
          <w:tcPr>
            <w:tcW w:w="580" w:type="dxa"/>
            <w:vAlign w:val="bottom"/>
            <w:tcBorders>
              <w:top w:val="single" w:sz="8" w:color="0000FF"/>
            </w:tcBorders>
          </w:tcPr>
          <w:p>
            <w:pPr>
              <w:spacing w:after="0" w:line="20" w:lineRule="exact"/>
              <w:rPr>
                <w:sz w:val="1"/>
                <w:szCs w:val="1"/>
                <w:color w:val="auto"/>
              </w:rPr>
            </w:pPr>
          </w:p>
        </w:tc>
        <w:tc>
          <w:tcPr>
            <w:tcW w:w="62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880" w:type="dxa"/>
            <w:vAlign w:val="bottom"/>
            <w:tcBorders>
              <w:top w:val="single" w:sz="8" w:color="0000FF"/>
            </w:tcBorders>
          </w:tcPr>
          <w:p>
            <w:pPr>
              <w:spacing w:after="0" w:line="20" w:lineRule="exact"/>
              <w:rPr>
                <w:sz w:val="1"/>
                <w:szCs w:val="1"/>
                <w:color w:val="auto"/>
              </w:rPr>
            </w:pPr>
          </w:p>
        </w:tc>
        <w:tc>
          <w:tcPr>
            <w:tcW w:w="2940" w:type="dxa"/>
            <w:vAlign w:val="bottom"/>
            <w:tcBorders>
              <w:top w:val="single" w:sz="8" w:color="0000FF"/>
            </w:tcBorders>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112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3.2*</w:t>
            </w:r>
          </w:p>
        </w:tc>
        <w:tc>
          <w:tcPr>
            <w:tcW w:w="10000" w:type="dxa"/>
            <w:vAlign w:val="bottom"/>
            <w:gridSpan w:val="24"/>
            <w:shd w:val="clear" w:color="auto" w:fill="CCEEFF"/>
          </w:tcPr>
          <w:p>
            <w:pPr>
              <w:spacing w:after="0" w:line="189" w:lineRule="exact"/>
              <w:rPr>
                <w:rFonts w:ascii="Times New Roman" w:cs="Times New Roman" w:eastAsia="Times New Roman" w:hAnsi="Times New Roman"/>
                <w:sz w:val="18"/>
                <w:szCs w:val="18"/>
                <w:color w:val="0000FF"/>
              </w:rPr>
            </w:pPr>
            <w:hyperlink r:id="rId118">
              <w:r>
                <w:rPr>
                  <w:rFonts w:ascii="Times New Roman" w:cs="Times New Roman" w:eastAsia="Times New Roman" w:hAnsi="Times New Roman"/>
                  <w:sz w:val="18"/>
                  <w:szCs w:val="18"/>
                  <w:color w:val="0000FF"/>
                </w:rPr>
                <w:t>Bylaws of Burke &amp; Herbert Financial Services Corp. as amended (incorporated by reference to Exhibit 3.4 to the Registrant’s Form 10-Q</w:t>
              </w:r>
            </w:hyperlink>
          </w:p>
        </w:tc>
      </w:tr>
      <w:tr>
        <w:trPr>
          <w:trHeight w:val="190"/>
        </w:trPr>
        <w:tc>
          <w:tcPr>
            <w:tcW w:w="1120" w:type="dxa"/>
            <w:vAlign w:val="bottom"/>
            <w:tcBorders>
              <w:top w:val="single" w:sz="8" w:color="CCEEFF"/>
              <w:bottom w:val="single" w:sz="8" w:color="CCEEFF"/>
            </w:tcBorders>
            <w:shd w:val="clear" w:color="auto" w:fill="CCEEFF"/>
          </w:tcPr>
          <w:p>
            <w:pPr>
              <w:spacing w:after="0"/>
              <w:rPr>
                <w:sz w:val="16"/>
                <w:szCs w:val="16"/>
                <w:color w:val="auto"/>
              </w:rPr>
            </w:pPr>
          </w:p>
        </w:tc>
        <w:tc>
          <w:tcPr>
            <w:tcW w:w="1440" w:type="dxa"/>
            <w:vAlign w:val="bottom"/>
            <w:tcBorders>
              <w:top w:val="single" w:sz="8" w:color="0000FF"/>
              <w:bottom w:val="single" w:sz="8" w:color="0000FF"/>
            </w:tcBorders>
            <w:gridSpan w:val="3"/>
            <w:shd w:val="clear" w:color="auto" w:fill="CCEEFF"/>
          </w:tcPr>
          <w:p>
            <w:pPr>
              <w:spacing w:after="0" w:line="156" w:lineRule="exact"/>
              <w:rPr>
                <w:rFonts w:ascii="Times New Roman" w:cs="Times New Roman" w:eastAsia="Times New Roman" w:hAnsi="Times New Roman"/>
                <w:sz w:val="18"/>
                <w:szCs w:val="18"/>
                <w:color w:val="0000FF"/>
                <w:w w:val="98"/>
              </w:rPr>
            </w:pPr>
            <w:hyperlink r:id="rId118">
              <w:r>
                <w:rPr>
                  <w:rFonts w:ascii="Times New Roman" w:cs="Times New Roman" w:eastAsia="Times New Roman" w:hAnsi="Times New Roman"/>
                  <w:sz w:val="18"/>
                  <w:szCs w:val="18"/>
                  <w:color w:val="0000FF"/>
                  <w:w w:val="98"/>
                </w:rPr>
                <w:t>filed May 10, 2024)</w:t>
              </w:r>
            </w:hyperlink>
          </w:p>
        </w:tc>
        <w:tc>
          <w:tcPr>
            <w:tcW w:w="8480" w:type="dxa"/>
            <w:vAlign w:val="bottom"/>
            <w:tcBorders>
              <w:top w:val="single" w:sz="8" w:color="0000FF"/>
              <w:bottom w:val="single" w:sz="8" w:color="CCEEFF"/>
            </w:tcBorders>
            <w:gridSpan w:val="17"/>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40" w:type="dxa"/>
            <w:vAlign w:val="bottom"/>
            <w:tcBorders>
              <w:top w:val="single" w:sz="8" w:color="CCEEFF"/>
              <w:bottom w:val="single" w:sz="8" w:color="CCEEFF"/>
            </w:tcBorders>
            <w:gridSpan w:val="2"/>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r>
      <w:tr>
        <w:trPr>
          <w:trHeight w:val="189"/>
        </w:trPr>
        <w:tc>
          <w:tcPr>
            <w:tcW w:w="112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4.1*</w:t>
            </w:r>
          </w:p>
        </w:tc>
        <w:tc>
          <w:tcPr>
            <w:tcW w:w="10000" w:type="dxa"/>
            <w:vAlign w:val="bottom"/>
            <w:gridSpan w:val="24"/>
          </w:tcPr>
          <w:p>
            <w:pPr>
              <w:spacing w:after="0" w:line="189" w:lineRule="exact"/>
              <w:rPr>
                <w:rFonts w:ascii="Times New Roman" w:cs="Times New Roman" w:eastAsia="Times New Roman" w:hAnsi="Times New Roman"/>
                <w:sz w:val="18"/>
                <w:szCs w:val="18"/>
                <w:color w:val="0000FF"/>
              </w:rPr>
            </w:pPr>
            <w:hyperlink r:id="rId119">
              <w:r>
                <w:rPr>
                  <w:rFonts w:ascii="Times New Roman" w:cs="Times New Roman" w:eastAsia="Times New Roman" w:hAnsi="Times New Roman"/>
                  <w:sz w:val="18"/>
                  <w:szCs w:val="18"/>
                  <w:color w:val="0000FF"/>
                </w:rPr>
                <w:t>Summit Financial Group, Inc., Form of 5.00% Fixed-to-Floating Rate Subordinated Notes due 2030 (included as Exhibit A to the Form</w:t>
              </w:r>
            </w:hyperlink>
          </w:p>
        </w:tc>
      </w:tr>
      <w:tr>
        <w:trPr>
          <w:trHeight w:val="156"/>
        </w:trPr>
        <w:tc>
          <w:tcPr>
            <w:tcW w:w="1120" w:type="dxa"/>
            <w:vAlign w:val="bottom"/>
          </w:tcPr>
          <w:p>
            <w:pPr>
              <w:spacing w:after="0"/>
              <w:rPr>
                <w:sz w:val="13"/>
                <w:szCs w:val="13"/>
                <w:color w:val="auto"/>
              </w:rPr>
            </w:pPr>
          </w:p>
        </w:tc>
        <w:tc>
          <w:tcPr>
            <w:tcW w:w="9700" w:type="dxa"/>
            <w:vAlign w:val="bottom"/>
            <w:tcBorders>
              <w:top w:val="single" w:sz="8" w:color="0000FF"/>
              <w:bottom w:val="single" w:sz="8" w:color="0000FF"/>
            </w:tcBorders>
            <w:gridSpan w:val="13"/>
          </w:tcPr>
          <w:p>
            <w:pPr>
              <w:spacing w:after="0" w:line="156" w:lineRule="exact"/>
              <w:rPr>
                <w:rFonts w:ascii="Times New Roman" w:cs="Times New Roman" w:eastAsia="Times New Roman" w:hAnsi="Times New Roman"/>
                <w:sz w:val="18"/>
                <w:szCs w:val="18"/>
                <w:color w:val="0000FF"/>
                <w:w w:val="99"/>
              </w:rPr>
            </w:pPr>
            <w:hyperlink r:id="rId119">
              <w:r>
                <w:rPr>
                  <w:rFonts w:ascii="Times New Roman" w:cs="Times New Roman" w:eastAsia="Times New Roman" w:hAnsi="Times New Roman"/>
                  <w:sz w:val="18"/>
                  <w:szCs w:val="18"/>
                  <w:color w:val="0000FF"/>
                  <w:w w:val="99"/>
                </w:rPr>
                <w:t>of Subordinated Note Purchase Agreement dated as of September 22, 2020, by and between Summit Financial Group, Inc. and each of</w:t>
              </w:r>
            </w:hyperlink>
          </w:p>
        </w:tc>
        <w:tc>
          <w:tcPr>
            <w:tcW w:w="60" w:type="dxa"/>
            <w:vAlign w:val="bottom"/>
            <w:tcBorders>
              <w:top w:val="single" w:sz="8" w:color="0000FF"/>
            </w:tcBorders>
            <w:gridSpan w:val="2"/>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r>
      <w:tr>
        <w:trPr>
          <w:trHeight w:val="169"/>
        </w:trPr>
        <w:tc>
          <w:tcPr>
            <w:tcW w:w="1120" w:type="dxa"/>
            <w:vAlign w:val="bottom"/>
          </w:tcPr>
          <w:p>
            <w:pPr>
              <w:spacing w:after="0"/>
              <w:rPr>
                <w:sz w:val="14"/>
                <w:szCs w:val="14"/>
                <w:color w:val="auto"/>
              </w:rPr>
            </w:pPr>
          </w:p>
        </w:tc>
        <w:tc>
          <w:tcPr>
            <w:tcW w:w="10000" w:type="dxa"/>
            <w:vAlign w:val="bottom"/>
            <w:gridSpan w:val="24"/>
          </w:tcPr>
          <w:p>
            <w:pPr>
              <w:spacing w:after="0" w:line="169" w:lineRule="exact"/>
              <w:rPr>
                <w:rFonts w:ascii="Times New Roman" w:cs="Times New Roman" w:eastAsia="Times New Roman" w:hAnsi="Times New Roman"/>
                <w:sz w:val="18"/>
                <w:szCs w:val="18"/>
                <w:color w:val="0000FF"/>
              </w:rPr>
            </w:pPr>
            <w:hyperlink r:id="rId119">
              <w:r>
                <w:rPr>
                  <w:rFonts w:ascii="Times New Roman" w:cs="Times New Roman" w:eastAsia="Times New Roman" w:hAnsi="Times New Roman"/>
                  <w:sz w:val="18"/>
                  <w:szCs w:val="18"/>
                  <w:color w:val="0000FF"/>
                </w:rPr>
                <w:t>the Purchasers) (incorporated by reference to Exhibit 10.1 to Summit Financial Group, Inc.’s Form 8-K filed on September 23, 2020 (File</w:t>
              </w:r>
            </w:hyperlink>
          </w:p>
        </w:tc>
      </w:tr>
      <w:tr>
        <w:trPr>
          <w:trHeight w:val="156"/>
        </w:trPr>
        <w:tc>
          <w:tcPr>
            <w:tcW w:w="1120" w:type="dxa"/>
            <w:vAlign w:val="bottom"/>
          </w:tcPr>
          <w:p>
            <w:pPr>
              <w:spacing w:after="0"/>
              <w:rPr>
                <w:sz w:val="13"/>
                <w:szCs w:val="13"/>
                <w:color w:val="auto"/>
              </w:rPr>
            </w:pPr>
          </w:p>
        </w:tc>
        <w:tc>
          <w:tcPr>
            <w:tcW w:w="9980" w:type="dxa"/>
            <w:vAlign w:val="bottom"/>
            <w:tcBorders>
              <w:top w:val="single" w:sz="8" w:color="0000FF"/>
            </w:tcBorders>
            <w:gridSpan w:val="23"/>
          </w:tcPr>
          <w:p>
            <w:pPr>
              <w:spacing w:after="0" w:line="156" w:lineRule="exact"/>
              <w:rPr>
                <w:rFonts w:ascii="Times New Roman" w:cs="Times New Roman" w:eastAsia="Times New Roman" w:hAnsi="Times New Roman"/>
                <w:sz w:val="18"/>
                <w:szCs w:val="18"/>
                <w:color w:val="0000FF"/>
              </w:rPr>
            </w:pPr>
            <w:hyperlink r:id="rId119">
              <w:r>
                <w:rPr>
                  <w:rFonts w:ascii="Times New Roman" w:cs="Times New Roman" w:eastAsia="Times New Roman" w:hAnsi="Times New Roman"/>
                  <w:sz w:val="18"/>
                  <w:szCs w:val="18"/>
                  <w:color w:val="0000FF"/>
                </w:rPr>
                <w:t>No. 000-16587))</w:t>
              </w:r>
            </w:hyperlink>
          </w:p>
        </w:tc>
        <w:tc>
          <w:tcPr>
            <w:tcW w:w="20" w:type="dxa"/>
            <w:vAlign w:val="bottom"/>
          </w:tcPr>
          <w:p>
            <w:pPr>
              <w:spacing w:after="0"/>
              <w:rPr>
                <w:sz w:val="13"/>
                <w:szCs w:val="13"/>
                <w:color w:val="auto"/>
              </w:rPr>
            </w:pPr>
          </w:p>
        </w:tc>
      </w:tr>
      <w:tr>
        <w:trPr>
          <w:trHeight w:val="21"/>
        </w:trPr>
        <w:tc>
          <w:tcPr>
            <w:tcW w:w="1120" w:type="dxa"/>
            <w:vAlign w:val="bottom"/>
          </w:tcPr>
          <w:p>
            <w:pPr>
              <w:spacing w:after="0" w:line="20" w:lineRule="exact"/>
              <w:rPr>
                <w:sz w:val="1"/>
                <w:szCs w:val="1"/>
                <w:color w:val="auto"/>
              </w:rPr>
            </w:pPr>
          </w:p>
        </w:tc>
        <w:tc>
          <w:tcPr>
            <w:tcW w:w="580" w:type="dxa"/>
            <w:vAlign w:val="bottom"/>
            <w:tcBorders>
              <w:top w:val="single" w:sz="8" w:color="0000FF"/>
            </w:tcBorders>
          </w:tcPr>
          <w:p>
            <w:pPr>
              <w:spacing w:after="0" w:line="20" w:lineRule="exact"/>
              <w:rPr>
                <w:sz w:val="1"/>
                <w:szCs w:val="1"/>
                <w:color w:val="auto"/>
              </w:rPr>
            </w:pPr>
          </w:p>
        </w:tc>
        <w:tc>
          <w:tcPr>
            <w:tcW w:w="620" w:type="dxa"/>
            <w:vAlign w:val="bottom"/>
            <w:tcBorders>
              <w:top w:val="single" w:sz="8" w:color="0000FF"/>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112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4.2*</w:t>
            </w:r>
          </w:p>
        </w:tc>
        <w:tc>
          <w:tcPr>
            <w:tcW w:w="10000" w:type="dxa"/>
            <w:vAlign w:val="bottom"/>
            <w:gridSpan w:val="24"/>
            <w:shd w:val="clear" w:color="auto" w:fill="CCEEFF"/>
          </w:tcPr>
          <w:p>
            <w:pPr>
              <w:spacing w:after="0" w:line="189" w:lineRule="exact"/>
              <w:rPr>
                <w:rFonts w:ascii="Times New Roman" w:cs="Times New Roman" w:eastAsia="Times New Roman" w:hAnsi="Times New Roman"/>
                <w:sz w:val="18"/>
                <w:szCs w:val="18"/>
                <w:color w:val="0000FF"/>
              </w:rPr>
            </w:pPr>
            <w:hyperlink r:id="rId120">
              <w:r>
                <w:rPr>
                  <w:rFonts w:ascii="Times New Roman" w:cs="Times New Roman" w:eastAsia="Times New Roman" w:hAnsi="Times New Roman"/>
                  <w:sz w:val="18"/>
                  <w:szCs w:val="18"/>
                  <w:color w:val="0000FF"/>
                </w:rPr>
                <w:t>Summit Financial Group, Inc., Forms of 3.25% Fixed-to-Floating Rate Subordinated Note due 2031 (included as Exhibit A-1 and Exhibit</w:t>
              </w:r>
            </w:hyperlink>
          </w:p>
        </w:tc>
      </w:tr>
      <w:tr>
        <w:trPr>
          <w:trHeight w:val="156"/>
        </w:trPr>
        <w:tc>
          <w:tcPr>
            <w:tcW w:w="1120" w:type="dxa"/>
            <w:vAlign w:val="bottom"/>
            <w:tcBorders>
              <w:top w:val="single" w:sz="8" w:color="CCEEFF"/>
            </w:tcBorders>
            <w:shd w:val="clear" w:color="auto" w:fill="CCEEFF"/>
          </w:tcPr>
          <w:p>
            <w:pPr>
              <w:spacing w:after="0"/>
              <w:rPr>
                <w:sz w:val="13"/>
                <w:szCs w:val="13"/>
                <w:color w:val="auto"/>
              </w:rPr>
            </w:pPr>
          </w:p>
        </w:tc>
        <w:tc>
          <w:tcPr>
            <w:tcW w:w="9940" w:type="dxa"/>
            <w:vAlign w:val="bottom"/>
            <w:tcBorders>
              <w:top w:val="single" w:sz="8" w:color="0000FF"/>
            </w:tcBorders>
            <w:gridSpan w:val="21"/>
            <w:shd w:val="clear" w:color="auto" w:fill="CCEEFF"/>
          </w:tcPr>
          <w:p>
            <w:pPr>
              <w:spacing w:after="0" w:line="156" w:lineRule="exact"/>
              <w:rPr>
                <w:rFonts w:ascii="Times New Roman" w:cs="Times New Roman" w:eastAsia="Times New Roman" w:hAnsi="Times New Roman"/>
                <w:sz w:val="18"/>
                <w:szCs w:val="18"/>
                <w:color w:val="0000FF"/>
              </w:rPr>
            </w:pPr>
            <w:hyperlink r:id="rId120">
              <w:r>
                <w:rPr>
                  <w:rFonts w:ascii="Times New Roman" w:cs="Times New Roman" w:eastAsia="Times New Roman" w:hAnsi="Times New Roman"/>
                  <w:sz w:val="18"/>
                  <w:szCs w:val="18"/>
                  <w:color w:val="0000FF"/>
                </w:rPr>
                <w:t>A-2 to the Indenture, dated as of November 16, 2021, by and between Summit Financial Group, Inc. and UMB Bank, N.A., as Trustee)</w:t>
              </w:r>
            </w:hyperlink>
          </w:p>
        </w:tc>
        <w:tc>
          <w:tcPr>
            <w:tcW w:w="60" w:type="dxa"/>
            <w:vAlign w:val="bottom"/>
            <w:tcBorders>
              <w:top w:val="single" w:sz="8" w:color="CCEEFF"/>
            </w:tcBorders>
            <w:gridSpan w:val="3"/>
            <w:shd w:val="clear" w:color="auto" w:fill="CCEEFF"/>
          </w:tcPr>
          <w:p>
            <w:pPr>
              <w:spacing w:after="0"/>
              <w:rPr>
                <w:sz w:val="13"/>
                <w:szCs w:val="13"/>
                <w:color w:val="auto"/>
              </w:rPr>
            </w:pPr>
          </w:p>
        </w:tc>
      </w:tr>
      <w:tr>
        <w:trPr>
          <w:trHeight w:val="169"/>
        </w:trPr>
        <w:tc>
          <w:tcPr>
            <w:tcW w:w="1120" w:type="dxa"/>
            <w:vAlign w:val="bottom"/>
            <w:tcBorders>
              <w:top w:val="single" w:sz="8" w:color="CCEEFF"/>
            </w:tcBorders>
            <w:shd w:val="clear" w:color="auto" w:fill="CCEEFF"/>
          </w:tcPr>
          <w:p>
            <w:pPr>
              <w:spacing w:after="0"/>
              <w:rPr>
                <w:sz w:val="14"/>
                <w:szCs w:val="14"/>
                <w:color w:val="auto"/>
              </w:rPr>
            </w:pPr>
          </w:p>
        </w:tc>
        <w:tc>
          <w:tcPr>
            <w:tcW w:w="9740" w:type="dxa"/>
            <w:vAlign w:val="bottom"/>
            <w:tcBorders>
              <w:top w:val="single" w:sz="8" w:color="0000FF"/>
            </w:tcBorders>
            <w:gridSpan w:val="14"/>
            <w:shd w:val="clear" w:color="auto" w:fill="CCEEFF"/>
          </w:tcPr>
          <w:p>
            <w:pPr>
              <w:spacing w:after="0" w:line="169" w:lineRule="exact"/>
              <w:rPr>
                <w:rFonts w:ascii="Times New Roman" w:cs="Times New Roman" w:eastAsia="Times New Roman" w:hAnsi="Times New Roman"/>
                <w:sz w:val="18"/>
                <w:szCs w:val="18"/>
                <w:color w:val="0000FF"/>
              </w:rPr>
            </w:pPr>
            <w:hyperlink r:id="rId120">
              <w:r>
                <w:rPr>
                  <w:rFonts w:ascii="Times New Roman" w:cs="Times New Roman" w:eastAsia="Times New Roman" w:hAnsi="Times New Roman"/>
                  <w:sz w:val="18"/>
                  <w:szCs w:val="18"/>
                  <w:color w:val="0000FF"/>
                </w:rPr>
                <w:t>(incorporated by reference to Exhibit 4.1 to Summit Financial Group, Inc.’s Form 8-K filed on November 17, 2021 (File No. 000-</w:t>
              </w:r>
            </w:hyperlink>
          </w:p>
        </w:tc>
        <w:tc>
          <w:tcPr>
            <w:tcW w:w="60" w:type="dxa"/>
            <w:vAlign w:val="bottom"/>
            <w:tcBorders>
              <w:top w:val="single" w:sz="8" w:color="CCEEFF"/>
            </w:tcBorders>
            <w:gridSpan w:val="2"/>
            <w:shd w:val="clear" w:color="auto" w:fill="CCEEFF"/>
          </w:tcPr>
          <w:p>
            <w:pPr>
              <w:spacing w:after="0"/>
              <w:rPr>
                <w:sz w:val="14"/>
                <w:szCs w:val="14"/>
                <w:color w:val="auto"/>
              </w:rPr>
            </w:pPr>
          </w:p>
        </w:tc>
        <w:tc>
          <w:tcPr>
            <w:tcW w:w="40" w:type="dxa"/>
            <w:vAlign w:val="bottom"/>
            <w:tcBorders>
              <w:top w:val="single" w:sz="8" w:color="CCEEFF"/>
            </w:tcBorders>
            <w:gridSpan w:val="2"/>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gridSpan w:val="5"/>
            <w:shd w:val="clear" w:color="auto" w:fill="CCEEFF"/>
          </w:tcPr>
          <w:p>
            <w:pPr>
              <w:spacing w:after="0"/>
              <w:rPr>
                <w:sz w:val="14"/>
                <w:szCs w:val="14"/>
                <w:color w:val="auto"/>
              </w:rPr>
            </w:pPr>
          </w:p>
        </w:tc>
      </w:tr>
      <w:tr>
        <w:trPr>
          <w:trHeight w:val="176"/>
        </w:trPr>
        <w:tc>
          <w:tcPr>
            <w:tcW w:w="1120" w:type="dxa"/>
            <w:vAlign w:val="bottom"/>
            <w:tcBorders>
              <w:top w:val="single" w:sz="8" w:color="CCEEFF"/>
              <w:bottom w:val="single" w:sz="8" w:color="CCEEFF"/>
            </w:tcBorders>
            <w:shd w:val="clear" w:color="auto" w:fill="CCEEFF"/>
          </w:tcPr>
          <w:p>
            <w:pPr>
              <w:spacing w:after="0"/>
              <w:rPr>
                <w:sz w:val="15"/>
                <w:szCs w:val="15"/>
                <w:color w:val="auto"/>
              </w:rPr>
            </w:pPr>
          </w:p>
        </w:tc>
        <w:tc>
          <w:tcPr>
            <w:tcW w:w="580" w:type="dxa"/>
            <w:vAlign w:val="bottom"/>
            <w:tcBorders>
              <w:top w:val="single" w:sz="8" w:color="0000FF"/>
              <w:bottom w:val="single" w:sz="8" w:color="0000FF"/>
            </w:tcBorders>
            <w:shd w:val="clear" w:color="auto" w:fill="CCEEFF"/>
          </w:tcPr>
          <w:p>
            <w:pPr>
              <w:spacing w:after="0" w:line="156" w:lineRule="exact"/>
              <w:rPr>
                <w:rFonts w:ascii="Times New Roman" w:cs="Times New Roman" w:eastAsia="Times New Roman" w:hAnsi="Times New Roman"/>
                <w:sz w:val="18"/>
                <w:szCs w:val="18"/>
                <w:color w:val="0000FF"/>
                <w:w w:val="98"/>
              </w:rPr>
            </w:pPr>
            <w:hyperlink r:id="rId120">
              <w:r>
                <w:rPr>
                  <w:rFonts w:ascii="Times New Roman" w:cs="Times New Roman" w:eastAsia="Times New Roman" w:hAnsi="Times New Roman"/>
                  <w:sz w:val="18"/>
                  <w:szCs w:val="18"/>
                  <w:color w:val="0000FF"/>
                  <w:w w:val="98"/>
                </w:rPr>
                <w:t>16587)</w:t>
              </w:r>
              <w:r>
                <w:rPr>
                  <w:rFonts w:ascii="Times New Roman" w:cs="Times New Roman" w:eastAsia="Times New Roman" w:hAnsi="Times New Roman"/>
                  <w:sz w:val="18"/>
                  <w:szCs w:val="18"/>
                  <w:u w:val="single" w:color="auto"/>
                  <w:color w:val="0000FF"/>
                  <w:w w:val="98"/>
                </w:rPr>
                <w:t>)</w:t>
              </w:r>
            </w:hyperlink>
          </w:p>
        </w:tc>
        <w:tc>
          <w:tcPr>
            <w:tcW w:w="620" w:type="dxa"/>
            <w:vAlign w:val="bottom"/>
            <w:tcBorders>
              <w:top w:val="single" w:sz="8" w:color="0000FF"/>
              <w:bottom w:val="single" w:sz="8" w:color="CCEEFF"/>
            </w:tcBorders>
            <w:shd w:val="clear" w:color="auto" w:fill="CCEEFF"/>
          </w:tcPr>
          <w:p>
            <w:pPr>
              <w:spacing w:after="0"/>
              <w:rPr>
                <w:sz w:val="15"/>
                <w:szCs w:val="15"/>
                <w:color w:val="auto"/>
              </w:rPr>
            </w:pPr>
          </w:p>
        </w:tc>
        <w:tc>
          <w:tcPr>
            <w:tcW w:w="240" w:type="dxa"/>
            <w:vAlign w:val="bottom"/>
            <w:tcBorders>
              <w:top w:val="single" w:sz="8" w:color="0000FF"/>
              <w:bottom w:val="single" w:sz="8" w:color="CCEEFF"/>
            </w:tcBorders>
            <w:shd w:val="clear" w:color="auto" w:fill="CCEEFF"/>
          </w:tcPr>
          <w:p>
            <w:pPr>
              <w:spacing w:after="0"/>
              <w:rPr>
                <w:sz w:val="15"/>
                <w:szCs w:val="15"/>
                <w:color w:val="auto"/>
              </w:rPr>
            </w:pPr>
          </w:p>
        </w:tc>
        <w:tc>
          <w:tcPr>
            <w:tcW w:w="500" w:type="dxa"/>
            <w:vAlign w:val="bottom"/>
            <w:tcBorders>
              <w:top w:val="single" w:sz="8" w:color="0000FF"/>
              <w:bottom w:val="single" w:sz="8" w:color="CCEEFF"/>
            </w:tcBorders>
            <w:shd w:val="clear" w:color="auto" w:fill="CCEEFF"/>
          </w:tcPr>
          <w:p>
            <w:pPr>
              <w:spacing w:after="0"/>
              <w:rPr>
                <w:sz w:val="15"/>
                <w:szCs w:val="15"/>
                <w:color w:val="auto"/>
              </w:rPr>
            </w:pPr>
          </w:p>
        </w:tc>
        <w:tc>
          <w:tcPr>
            <w:tcW w:w="880" w:type="dxa"/>
            <w:vAlign w:val="bottom"/>
            <w:tcBorders>
              <w:top w:val="single" w:sz="8" w:color="0000FF"/>
              <w:bottom w:val="single" w:sz="8" w:color="CCEEFF"/>
            </w:tcBorders>
            <w:shd w:val="clear" w:color="auto" w:fill="CCEEFF"/>
          </w:tcPr>
          <w:p>
            <w:pPr>
              <w:spacing w:after="0"/>
              <w:rPr>
                <w:sz w:val="15"/>
                <w:szCs w:val="15"/>
                <w:color w:val="auto"/>
              </w:rPr>
            </w:pPr>
          </w:p>
        </w:tc>
        <w:tc>
          <w:tcPr>
            <w:tcW w:w="2940" w:type="dxa"/>
            <w:vAlign w:val="bottom"/>
            <w:tcBorders>
              <w:top w:val="single" w:sz="8" w:color="0000FF"/>
              <w:bottom w:val="single" w:sz="8" w:color="CCEEFF"/>
            </w:tcBorders>
            <w:shd w:val="clear" w:color="auto" w:fill="CCEEFF"/>
          </w:tcPr>
          <w:p>
            <w:pPr>
              <w:spacing w:after="0"/>
              <w:rPr>
                <w:sz w:val="15"/>
                <w:szCs w:val="15"/>
                <w:color w:val="auto"/>
              </w:rPr>
            </w:pPr>
          </w:p>
        </w:tc>
        <w:tc>
          <w:tcPr>
            <w:tcW w:w="1380" w:type="dxa"/>
            <w:vAlign w:val="bottom"/>
            <w:tcBorders>
              <w:top w:val="single" w:sz="8" w:color="0000FF"/>
              <w:bottom w:val="single" w:sz="8" w:color="CCEEFF"/>
            </w:tcBorders>
            <w:shd w:val="clear" w:color="auto" w:fill="CCEEFF"/>
          </w:tcPr>
          <w:p>
            <w:pPr>
              <w:spacing w:after="0"/>
              <w:rPr>
                <w:sz w:val="15"/>
                <w:szCs w:val="15"/>
                <w:color w:val="auto"/>
              </w:rPr>
            </w:pPr>
          </w:p>
        </w:tc>
        <w:tc>
          <w:tcPr>
            <w:tcW w:w="60" w:type="dxa"/>
            <w:vAlign w:val="bottom"/>
            <w:tcBorders>
              <w:top w:val="single" w:sz="8" w:color="0000FF"/>
              <w:bottom w:val="single" w:sz="8" w:color="CCEEFF"/>
            </w:tcBorders>
            <w:shd w:val="clear" w:color="auto" w:fill="CCEEFF"/>
          </w:tcPr>
          <w:p>
            <w:pPr>
              <w:spacing w:after="0"/>
              <w:rPr>
                <w:sz w:val="15"/>
                <w:szCs w:val="15"/>
                <w:color w:val="auto"/>
              </w:rPr>
            </w:pPr>
          </w:p>
        </w:tc>
        <w:tc>
          <w:tcPr>
            <w:tcW w:w="520" w:type="dxa"/>
            <w:vAlign w:val="bottom"/>
            <w:tcBorders>
              <w:top w:val="single" w:sz="8" w:color="0000FF"/>
              <w:bottom w:val="single" w:sz="8" w:color="CCEEFF"/>
            </w:tcBorders>
            <w:shd w:val="clear" w:color="auto" w:fill="CCEEFF"/>
          </w:tcPr>
          <w:p>
            <w:pPr>
              <w:spacing w:after="0"/>
              <w:rPr>
                <w:sz w:val="15"/>
                <w:szCs w:val="15"/>
                <w:color w:val="auto"/>
              </w:rPr>
            </w:pPr>
          </w:p>
        </w:tc>
        <w:tc>
          <w:tcPr>
            <w:tcW w:w="240" w:type="dxa"/>
            <w:vAlign w:val="bottom"/>
            <w:tcBorders>
              <w:top w:val="single" w:sz="8" w:color="0000FF"/>
              <w:bottom w:val="single" w:sz="8" w:color="CCEEFF"/>
            </w:tcBorders>
            <w:shd w:val="clear" w:color="auto" w:fill="CCEEFF"/>
          </w:tcPr>
          <w:p>
            <w:pPr>
              <w:spacing w:after="0"/>
              <w:rPr>
                <w:sz w:val="15"/>
                <w:szCs w:val="15"/>
                <w:color w:val="auto"/>
              </w:rPr>
            </w:pPr>
          </w:p>
        </w:tc>
        <w:tc>
          <w:tcPr>
            <w:tcW w:w="1200" w:type="dxa"/>
            <w:vAlign w:val="bottom"/>
            <w:tcBorders>
              <w:top w:val="single" w:sz="8" w:color="0000FF"/>
              <w:bottom w:val="single" w:sz="8" w:color="CCEEFF"/>
            </w:tcBorders>
            <w:shd w:val="clear" w:color="auto" w:fill="CCEEFF"/>
          </w:tcPr>
          <w:p>
            <w:pPr>
              <w:spacing w:after="0"/>
              <w:rPr>
                <w:sz w:val="15"/>
                <w:szCs w:val="15"/>
                <w:color w:val="auto"/>
              </w:rPr>
            </w:pPr>
          </w:p>
        </w:tc>
        <w:tc>
          <w:tcPr>
            <w:tcW w:w="180" w:type="dxa"/>
            <w:vAlign w:val="bottom"/>
            <w:tcBorders>
              <w:top w:val="single" w:sz="8" w:color="0000FF"/>
              <w:bottom w:val="single" w:sz="8" w:color="CCEEFF"/>
            </w:tcBorders>
            <w:shd w:val="clear" w:color="auto" w:fill="CCEEFF"/>
          </w:tcPr>
          <w:p>
            <w:pPr>
              <w:spacing w:after="0"/>
              <w:rPr>
                <w:sz w:val="15"/>
                <w:szCs w:val="15"/>
                <w:color w:val="auto"/>
              </w:rPr>
            </w:pPr>
          </w:p>
        </w:tc>
        <w:tc>
          <w:tcPr>
            <w:tcW w:w="360" w:type="dxa"/>
            <w:vAlign w:val="bottom"/>
            <w:tcBorders>
              <w:top w:val="single" w:sz="8" w:color="CCEEFF"/>
              <w:bottom w:val="single" w:sz="8" w:color="CCEEFF"/>
            </w:tcBorders>
            <w:shd w:val="clear" w:color="auto" w:fill="CCEEFF"/>
          </w:tcPr>
          <w:p>
            <w:pPr>
              <w:spacing w:after="0"/>
              <w:rPr>
                <w:sz w:val="15"/>
                <w:szCs w:val="15"/>
                <w:color w:val="auto"/>
              </w:rPr>
            </w:pPr>
          </w:p>
        </w:tc>
        <w:tc>
          <w:tcPr>
            <w:tcW w:w="4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4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6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r>
      <w:tr>
        <w:trPr>
          <w:trHeight w:val="189"/>
        </w:trPr>
        <w:tc>
          <w:tcPr>
            <w:tcW w:w="112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10.1*†</w:t>
            </w:r>
          </w:p>
        </w:tc>
        <w:tc>
          <w:tcPr>
            <w:tcW w:w="9840" w:type="dxa"/>
            <w:vAlign w:val="bottom"/>
            <w:tcBorders>
              <w:bottom w:val="single" w:sz="8" w:color="0000FF"/>
            </w:tcBorders>
            <w:gridSpan w:val="18"/>
          </w:tcPr>
          <w:p>
            <w:pPr>
              <w:spacing w:after="0" w:line="169" w:lineRule="exact"/>
              <w:rPr>
                <w:rFonts w:ascii="Times New Roman" w:cs="Times New Roman" w:eastAsia="Times New Roman" w:hAnsi="Times New Roman"/>
                <w:sz w:val="18"/>
                <w:szCs w:val="18"/>
                <w:color w:val="0000FF"/>
                <w:w w:val="99"/>
              </w:rPr>
            </w:pPr>
            <w:hyperlink r:id="rId121">
              <w:r>
                <w:rPr>
                  <w:rFonts w:ascii="Times New Roman" w:cs="Times New Roman" w:eastAsia="Times New Roman" w:hAnsi="Times New Roman"/>
                  <w:sz w:val="18"/>
                  <w:szCs w:val="18"/>
                  <w:color w:val="0000FF"/>
                  <w:w w:val="99"/>
                </w:rPr>
                <w:t>Employment Agreement, dated as of August 24, 2023, by and between Burke &amp; Herbert Bank &amp; Trust Company and H. Charles Maddy,</w:t>
              </w:r>
            </w:hyperlink>
          </w:p>
        </w:tc>
        <w:tc>
          <w:tcPr>
            <w:tcW w:w="60" w:type="dxa"/>
            <w:vAlign w:val="bottom"/>
          </w:tcPr>
          <w:p>
            <w:pPr>
              <w:spacing w:after="0"/>
              <w:rPr>
                <w:sz w:val="16"/>
                <w:szCs w:val="16"/>
                <w:color w:val="auto"/>
              </w:rPr>
            </w:pPr>
          </w:p>
        </w:tc>
        <w:tc>
          <w:tcPr>
            <w:tcW w:w="100" w:type="dxa"/>
            <w:vAlign w:val="bottom"/>
            <w:gridSpan w:val="5"/>
          </w:tcPr>
          <w:p>
            <w:pPr>
              <w:spacing w:after="0"/>
              <w:rPr>
                <w:sz w:val="16"/>
                <w:szCs w:val="16"/>
                <w:color w:val="auto"/>
              </w:rPr>
            </w:pPr>
          </w:p>
        </w:tc>
      </w:tr>
      <w:tr>
        <w:trPr>
          <w:trHeight w:val="156"/>
        </w:trPr>
        <w:tc>
          <w:tcPr>
            <w:tcW w:w="1120" w:type="dxa"/>
            <w:vAlign w:val="bottom"/>
          </w:tcPr>
          <w:p>
            <w:pPr>
              <w:spacing w:after="0"/>
              <w:rPr>
                <w:sz w:val="13"/>
                <w:szCs w:val="13"/>
                <w:color w:val="auto"/>
              </w:rPr>
            </w:pPr>
          </w:p>
        </w:tc>
        <w:tc>
          <w:tcPr>
            <w:tcW w:w="9840" w:type="dxa"/>
            <w:vAlign w:val="bottom"/>
            <w:gridSpan w:val="18"/>
          </w:tcPr>
          <w:p>
            <w:pPr>
              <w:spacing w:after="0" w:line="156" w:lineRule="exact"/>
              <w:rPr>
                <w:rFonts w:ascii="Times New Roman" w:cs="Times New Roman" w:eastAsia="Times New Roman" w:hAnsi="Times New Roman"/>
                <w:sz w:val="18"/>
                <w:szCs w:val="18"/>
                <w:color w:val="0000FF"/>
              </w:rPr>
            </w:pPr>
            <w:hyperlink r:id="rId121">
              <w:r>
                <w:rPr>
                  <w:rFonts w:ascii="Times New Roman" w:cs="Times New Roman" w:eastAsia="Times New Roman" w:hAnsi="Times New Roman"/>
                  <w:sz w:val="18"/>
                  <w:szCs w:val="18"/>
                  <w:color w:val="0000FF"/>
                </w:rPr>
                <w:t>III (incorporated by reference to Exhibit 10.1 to the Registrant’s Current Report on 8-K Filed on May 3, 2024)</w:t>
              </w:r>
            </w:hyperlink>
          </w:p>
        </w:tc>
        <w:tc>
          <w:tcPr>
            <w:tcW w:w="60" w:type="dxa"/>
            <w:vAlign w:val="bottom"/>
          </w:tcPr>
          <w:p>
            <w:pPr>
              <w:spacing w:after="0"/>
              <w:rPr>
                <w:sz w:val="13"/>
                <w:szCs w:val="13"/>
                <w:color w:val="auto"/>
              </w:rPr>
            </w:pPr>
          </w:p>
        </w:tc>
        <w:tc>
          <w:tcPr>
            <w:tcW w:w="100" w:type="dxa"/>
            <w:vAlign w:val="bottom"/>
            <w:gridSpan w:val="5"/>
          </w:tcPr>
          <w:p>
            <w:pPr>
              <w:spacing w:after="0"/>
              <w:rPr>
                <w:sz w:val="13"/>
                <w:szCs w:val="13"/>
                <w:color w:val="auto"/>
              </w:rPr>
            </w:pPr>
          </w:p>
        </w:tc>
      </w:tr>
      <w:tr>
        <w:trPr>
          <w:trHeight w:val="48"/>
        </w:trPr>
        <w:tc>
          <w:tcPr>
            <w:tcW w:w="1120" w:type="dxa"/>
            <w:vAlign w:val="bottom"/>
          </w:tcPr>
          <w:p>
            <w:pPr>
              <w:spacing w:after="0"/>
              <w:rPr>
                <w:sz w:val="4"/>
                <w:szCs w:val="4"/>
                <w:color w:val="auto"/>
              </w:rPr>
            </w:pPr>
          </w:p>
        </w:tc>
        <w:tc>
          <w:tcPr>
            <w:tcW w:w="580" w:type="dxa"/>
            <w:vAlign w:val="bottom"/>
            <w:tcBorders>
              <w:top w:val="single" w:sz="8" w:color="0000FF"/>
            </w:tcBorders>
          </w:tcPr>
          <w:p>
            <w:pPr>
              <w:spacing w:after="0"/>
              <w:rPr>
                <w:sz w:val="4"/>
                <w:szCs w:val="4"/>
                <w:color w:val="auto"/>
              </w:rPr>
            </w:pPr>
          </w:p>
        </w:tc>
        <w:tc>
          <w:tcPr>
            <w:tcW w:w="620" w:type="dxa"/>
            <w:vAlign w:val="bottom"/>
            <w:tcBorders>
              <w:top w:val="single" w:sz="8" w:color="0000FF"/>
            </w:tcBorders>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500" w:type="dxa"/>
            <w:vAlign w:val="bottom"/>
            <w:tcBorders>
              <w:top w:val="single" w:sz="8" w:color="0000FF"/>
            </w:tcBorders>
          </w:tcPr>
          <w:p>
            <w:pPr>
              <w:spacing w:after="0"/>
              <w:rPr>
                <w:sz w:val="4"/>
                <w:szCs w:val="4"/>
                <w:color w:val="auto"/>
              </w:rPr>
            </w:pPr>
          </w:p>
        </w:tc>
        <w:tc>
          <w:tcPr>
            <w:tcW w:w="880" w:type="dxa"/>
            <w:vAlign w:val="bottom"/>
            <w:tcBorders>
              <w:top w:val="single" w:sz="8" w:color="0000FF"/>
            </w:tcBorders>
          </w:tcPr>
          <w:p>
            <w:pPr>
              <w:spacing w:after="0"/>
              <w:rPr>
                <w:sz w:val="4"/>
                <w:szCs w:val="4"/>
                <w:color w:val="auto"/>
              </w:rPr>
            </w:pPr>
          </w:p>
        </w:tc>
        <w:tc>
          <w:tcPr>
            <w:tcW w:w="2940" w:type="dxa"/>
            <w:vAlign w:val="bottom"/>
            <w:tcBorders>
              <w:top w:val="single" w:sz="8" w:color="0000FF"/>
            </w:tcBorders>
          </w:tcPr>
          <w:p>
            <w:pPr>
              <w:spacing w:after="0"/>
              <w:rPr>
                <w:sz w:val="4"/>
                <w:szCs w:val="4"/>
                <w:color w:val="auto"/>
              </w:rPr>
            </w:pPr>
          </w:p>
        </w:tc>
        <w:tc>
          <w:tcPr>
            <w:tcW w:w="138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520" w:type="dxa"/>
            <w:vAlign w:val="bottom"/>
            <w:tcBorders>
              <w:top w:val="single" w:sz="8" w:color="0000FF"/>
            </w:tcBorders>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1200" w:type="dxa"/>
            <w:vAlign w:val="bottom"/>
          </w:tcPr>
          <w:p>
            <w:pPr>
              <w:spacing w:after="0"/>
              <w:rPr>
                <w:sz w:val="4"/>
                <w:szCs w:val="4"/>
                <w:color w:val="auto"/>
              </w:rPr>
            </w:pPr>
          </w:p>
        </w:tc>
        <w:tc>
          <w:tcPr>
            <w:tcW w:w="180" w:type="dxa"/>
            <w:vAlign w:val="bottom"/>
          </w:tcPr>
          <w:p>
            <w:pPr>
              <w:spacing w:after="0"/>
              <w:rPr>
                <w:sz w:val="4"/>
                <w:szCs w:val="4"/>
                <w:color w:val="auto"/>
              </w:rPr>
            </w:pPr>
          </w:p>
        </w:tc>
        <w:tc>
          <w:tcPr>
            <w:tcW w:w="36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189"/>
        </w:trPr>
        <w:tc>
          <w:tcPr>
            <w:tcW w:w="1120" w:type="dxa"/>
            <w:vAlign w:val="bottom"/>
            <w:shd w:val="clear" w:color="auto" w:fill="CCEEFF"/>
          </w:tcPr>
          <w:p>
            <w:pPr>
              <w:ind w:left="20"/>
              <w:spacing w:after="0" w:line="169" w:lineRule="exact"/>
              <w:rPr>
                <w:sz w:val="20"/>
                <w:szCs w:val="20"/>
                <w:color w:val="auto"/>
              </w:rPr>
            </w:pPr>
            <w:r>
              <w:rPr>
                <w:rFonts w:ascii="Times New Roman" w:cs="Times New Roman" w:eastAsia="Times New Roman" w:hAnsi="Times New Roman"/>
                <w:sz w:val="18"/>
                <w:szCs w:val="18"/>
                <w:color w:val="auto"/>
              </w:rPr>
              <w:t>10.2*†</w:t>
            </w:r>
          </w:p>
        </w:tc>
        <w:tc>
          <w:tcPr>
            <w:tcW w:w="10000" w:type="dxa"/>
            <w:vAlign w:val="bottom"/>
            <w:gridSpan w:val="24"/>
            <w:shd w:val="clear" w:color="auto" w:fill="CCEEFF"/>
          </w:tcPr>
          <w:p>
            <w:pPr>
              <w:spacing w:after="0" w:line="169" w:lineRule="exact"/>
              <w:rPr>
                <w:rFonts w:ascii="Times New Roman" w:cs="Times New Roman" w:eastAsia="Times New Roman" w:hAnsi="Times New Roman"/>
                <w:sz w:val="18"/>
                <w:szCs w:val="18"/>
                <w:color w:val="0000FF"/>
              </w:rPr>
            </w:pPr>
            <w:hyperlink r:id="rId122">
              <w:r>
                <w:rPr>
                  <w:rFonts w:ascii="Times New Roman" w:cs="Times New Roman" w:eastAsia="Times New Roman" w:hAnsi="Times New Roman"/>
                  <w:sz w:val="18"/>
                  <w:szCs w:val="18"/>
                  <w:color w:val="0000FF"/>
                </w:rPr>
                <w:t>Burke &amp; Herbert Bank 2024-2025 Merger Incentive Plan (incorporated by reference to Exhibit 10.2 to the Registrant’s Current Report on</w:t>
              </w:r>
            </w:hyperlink>
          </w:p>
        </w:tc>
      </w:tr>
      <w:tr>
        <w:trPr>
          <w:trHeight w:val="203"/>
        </w:trPr>
        <w:tc>
          <w:tcPr>
            <w:tcW w:w="1120" w:type="dxa"/>
            <w:vAlign w:val="bottom"/>
            <w:tcBorders>
              <w:top w:val="single" w:sz="8" w:color="CCEEFF"/>
              <w:bottom w:val="single" w:sz="8" w:color="CCEEFF"/>
            </w:tcBorders>
            <w:shd w:val="clear" w:color="auto" w:fill="CCEEFF"/>
          </w:tcPr>
          <w:p>
            <w:pPr>
              <w:spacing w:after="0"/>
              <w:rPr>
                <w:sz w:val="17"/>
                <w:szCs w:val="17"/>
                <w:color w:val="auto"/>
              </w:rPr>
            </w:pPr>
          </w:p>
        </w:tc>
        <w:tc>
          <w:tcPr>
            <w:tcW w:w="1940" w:type="dxa"/>
            <w:vAlign w:val="bottom"/>
            <w:tcBorders>
              <w:top w:val="single" w:sz="8" w:color="0000FF"/>
              <w:bottom w:val="single" w:sz="8" w:color="0000FF"/>
            </w:tcBorders>
            <w:gridSpan w:val="4"/>
            <w:shd w:val="clear" w:color="auto" w:fill="CCEEFF"/>
          </w:tcPr>
          <w:p>
            <w:pPr>
              <w:spacing w:after="0" w:line="156" w:lineRule="exact"/>
              <w:rPr>
                <w:rFonts w:ascii="Times New Roman" w:cs="Times New Roman" w:eastAsia="Times New Roman" w:hAnsi="Times New Roman"/>
                <w:sz w:val="18"/>
                <w:szCs w:val="18"/>
                <w:color w:val="0000FF"/>
                <w:w w:val="98"/>
              </w:rPr>
            </w:pPr>
            <w:hyperlink r:id="rId122">
              <w:r>
                <w:rPr>
                  <w:rFonts w:ascii="Times New Roman" w:cs="Times New Roman" w:eastAsia="Times New Roman" w:hAnsi="Times New Roman"/>
                  <w:sz w:val="18"/>
                  <w:szCs w:val="18"/>
                  <w:color w:val="0000FF"/>
                  <w:w w:val="98"/>
                </w:rPr>
                <w:t>8-K Filed on May 3, 2024)</w:t>
              </w:r>
            </w:hyperlink>
          </w:p>
        </w:tc>
        <w:tc>
          <w:tcPr>
            <w:tcW w:w="7960" w:type="dxa"/>
            <w:vAlign w:val="bottom"/>
            <w:tcBorders>
              <w:top w:val="single" w:sz="8" w:color="0000FF"/>
              <w:bottom w:val="single" w:sz="8" w:color="CCEEFF"/>
            </w:tcBorders>
            <w:gridSpan w:val="15"/>
            <w:shd w:val="clear" w:color="auto" w:fill="CCEEFF"/>
          </w:tcPr>
          <w:p>
            <w:pPr>
              <w:spacing w:after="0"/>
              <w:rPr>
                <w:sz w:val="17"/>
                <w:szCs w:val="17"/>
                <w:color w:val="auto"/>
              </w:rPr>
            </w:pPr>
          </w:p>
        </w:tc>
        <w:tc>
          <w:tcPr>
            <w:tcW w:w="100" w:type="dxa"/>
            <w:vAlign w:val="bottom"/>
            <w:tcBorders>
              <w:top w:val="single" w:sz="8" w:color="CCEEFF"/>
              <w:bottom w:val="single" w:sz="8" w:color="CCEEFF"/>
            </w:tcBorders>
            <w:gridSpan w:val="5"/>
            <w:shd w:val="clear" w:color="auto" w:fill="CCEEFF"/>
          </w:tcPr>
          <w:p>
            <w:pPr>
              <w:spacing w:after="0"/>
              <w:rPr>
                <w:sz w:val="17"/>
                <w:szCs w:val="17"/>
                <w:color w:val="auto"/>
              </w:rPr>
            </w:pPr>
          </w:p>
        </w:tc>
      </w:tr>
      <w:tr>
        <w:trPr>
          <w:trHeight w:val="189"/>
        </w:trPr>
        <w:tc>
          <w:tcPr>
            <w:tcW w:w="1120" w:type="dxa"/>
            <w:vAlign w:val="bottom"/>
          </w:tcPr>
          <w:p>
            <w:pPr>
              <w:ind w:left="20"/>
              <w:spacing w:after="0" w:line="169" w:lineRule="exact"/>
              <w:rPr>
                <w:sz w:val="20"/>
                <w:szCs w:val="20"/>
                <w:color w:val="auto"/>
              </w:rPr>
            </w:pPr>
            <w:r>
              <w:rPr>
                <w:rFonts w:ascii="Times New Roman" w:cs="Times New Roman" w:eastAsia="Times New Roman" w:hAnsi="Times New Roman"/>
                <w:sz w:val="18"/>
                <w:szCs w:val="18"/>
                <w:color w:val="auto"/>
              </w:rPr>
              <w:t>10.3*†</w:t>
            </w:r>
          </w:p>
        </w:tc>
        <w:tc>
          <w:tcPr>
            <w:tcW w:w="10000" w:type="dxa"/>
            <w:vAlign w:val="bottom"/>
            <w:gridSpan w:val="24"/>
          </w:tcPr>
          <w:p>
            <w:pPr>
              <w:spacing w:after="0" w:line="169" w:lineRule="exact"/>
              <w:rPr>
                <w:rFonts w:ascii="Times New Roman" w:cs="Times New Roman" w:eastAsia="Times New Roman" w:hAnsi="Times New Roman"/>
                <w:sz w:val="18"/>
                <w:szCs w:val="18"/>
                <w:color w:val="0000FF"/>
              </w:rPr>
            </w:pPr>
            <w:hyperlink r:id="rId123">
              <w:r>
                <w:rPr>
                  <w:rFonts w:ascii="Times New Roman" w:cs="Times New Roman" w:eastAsia="Times New Roman" w:hAnsi="Times New Roman"/>
                  <w:sz w:val="18"/>
                  <w:szCs w:val="18"/>
                  <w:color w:val="0000FF"/>
                </w:rPr>
                <w:t>Burke &amp; Herbert Bank 2024-2025 Merger Incentive Plan Form of Performance-Based Restricted Stock Unit Award Agreement</w:t>
              </w:r>
            </w:hyperlink>
          </w:p>
        </w:tc>
      </w:tr>
      <w:tr>
        <w:trPr>
          <w:trHeight w:val="155"/>
        </w:trPr>
        <w:tc>
          <w:tcPr>
            <w:tcW w:w="1120" w:type="dxa"/>
            <w:vAlign w:val="bottom"/>
          </w:tcPr>
          <w:p>
            <w:pPr>
              <w:spacing w:after="0"/>
              <w:rPr>
                <w:sz w:val="13"/>
                <w:szCs w:val="13"/>
                <w:color w:val="auto"/>
              </w:rPr>
            </w:pPr>
          </w:p>
        </w:tc>
        <w:tc>
          <w:tcPr>
            <w:tcW w:w="9160" w:type="dxa"/>
            <w:vAlign w:val="bottom"/>
            <w:tcBorders>
              <w:top w:val="single" w:sz="8" w:color="0000FF"/>
            </w:tcBorders>
            <w:gridSpan w:val="11"/>
          </w:tcPr>
          <w:p>
            <w:pPr>
              <w:spacing w:after="0" w:line="156" w:lineRule="exact"/>
              <w:rPr>
                <w:rFonts w:ascii="Times New Roman" w:cs="Times New Roman" w:eastAsia="Times New Roman" w:hAnsi="Times New Roman"/>
                <w:sz w:val="18"/>
                <w:szCs w:val="18"/>
                <w:color w:val="0000FF"/>
              </w:rPr>
            </w:pPr>
            <w:hyperlink r:id="rId123">
              <w:r>
                <w:rPr>
                  <w:rFonts w:ascii="Times New Roman" w:cs="Times New Roman" w:eastAsia="Times New Roman" w:hAnsi="Times New Roman"/>
                  <w:sz w:val="18"/>
                  <w:szCs w:val="18"/>
                  <w:color w:val="0000FF"/>
                </w:rPr>
                <w:t>(incorporated by reference to Exhibit 10.3 to the Registrant’s Current Report on 8-K Filed on May 3, 2024)</w:t>
              </w:r>
            </w:hyperlink>
          </w:p>
        </w:tc>
        <w:tc>
          <w:tcPr>
            <w:tcW w:w="640" w:type="dxa"/>
            <w:vAlign w:val="bottom"/>
            <w:gridSpan w:val="5"/>
          </w:tcPr>
          <w:p>
            <w:pPr>
              <w:spacing w:after="0"/>
              <w:rPr>
                <w:sz w:val="13"/>
                <w:szCs w:val="13"/>
                <w:color w:val="auto"/>
              </w:rPr>
            </w:pPr>
          </w:p>
        </w:tc>
        <w:tc>
          <w:tcPr>
            <w:tcW w:w="200" w:type="dxa"/>
            <w:vAlign w:val="bottom"/>
            <w:gridSpan w:val="8"/>
          </w:tcPr>
          <w:p>
            <w:pPr>
              <w:spacing w:after="0"/>
              <w:rPr>
                <w:sz w:val="13"/>
                <w:szCs w:val="13"/>
                <w:color w:val="auto"/>
              </w:rPr>
            </w:pPr>
          </w:p>
        </w:tc>
      </w:tr>
      <w:tr>
        <w:trPr>
          <w:trHeight w:val="48"/>
        </w:trPr>
        <w:tc>
          <w:tcPr>
            <w:tcW w:w="1120" w:type="dxa"/>
            <w:vAlign w:val="bottom"/>
          </w:tcPr>
          <w:p>
            <w:pPr>
              <w:spacing w:after="0"/>
              <w:rPr>
                <w:sz w:val="4"/>
                <w:szCs w:val="4"/>
                <w:color w:val="auto"/>
              </w:rPr>
            </w:pPr>
          </w:p>
        </w:tc>
        <w:tc>
          <w:tcPr>
            <w:tcW w:w="580" w:type="dxa"/>
            <w:vAlign w:val="bottom"/>
            <w:tcBorders>
              <w:top w:val="single" w:sz="8" w:color="0000FF"/>
            </w:tcBorders>
          </w:tcPr>
          <w:p>
            <w:pPr>
              <w:spacing w:after="0"/>
              <w:rPr>
                <w:sz w:val="4"/>
                <w:szCs w:val="4"/>
                <w:color w:val="auto"/>
              </w:rPr>
            </w:pPr>
          </w:p>
        </w:tc>
        <w:tc>
          <w:tcPr>
            <w:tcW w:w="620" w:type="dxa"/>
            <w:vAlign w:val="bottom"/>
            <w:tcBorders>
              <w:top w:val="single" w:sz="8" w:color="0000FF"/>
            </w:tcBorders>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500" w:type="dxa"/>
            <w:vAlign w:val="bottom"/>
            <w:tcBorders>
              <w:top w:val="single" w:sz="8" w:color="0000FF"/>
            </w:tcBorders>
          </w:tcPr>
          <w:p>
            <w:pPr>
              <w:spacing w:after="0"/>
              <w:rPr>
                <w:sz w:val="4"/>
                <w:szCs w:val="4"/>
                <w:color w:val="auto"/>
              </w:rPr>
            </w:pPr>
          </w:p>
        </w:tc>
        <w:tc>
          <w:tcPr>
            <w:tcW w:w="880" w:type="dxa"/>
            <w:vAlign w:val="bottom"/>
            <w:tcBorders>
              <w:top w:val="single" w:sz="8" w:color="0000FF"/>
            </w:tcBorders>
          </w:tcPr>
          <w:p>
            <w:pPr>
              <w:spacing w:after="0"/>
              <w:rPr>
                <w:sz w:val="4"/>
                <w:szCs w:val="4"/>
                <w:color w:val="auto"/>
              </w:rPr>
            </w:pPr>
          </w:p>
        </w:tc>
        <w:tc>
          <w:tcPr>
            <w:tcW w:w="2940" w:type="dxa"/>
            <w:vAlign w:val="bottom"/>
            <w:tcBorders>
              <w:top w:val="single" w:sz="8" w:color="0000FF"/>
            </w:tcBorders>
          </w:tcPr>
          <w:p>
            <w:pPr>
              <w:spacing w:after="0"/>
              <w:rPr>
                <w:sz w:val="4"/>
                <w:szCs w:val="4"/>
                <w:color w:val="auto"/>
              </w:rPr>
            </w:pPr>
          </w:p>
        </w:tc>
        <w:tc>
          <w:tcPr>
            <w:tcW w:w="138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520" w:type="dxa"/>
            <w:vAlign w:val="bottom"/>
            <w:tcBorders>
              <w:top w:val="single" w:sz="8" w:color="0000FF"/>
            </w:tcBorders>
          </w:tcPr>
          <w:p>
            <w:pPr>
              <w:spacing w:after="0"/>
              <w:rPr>
                <w:sz w:val="4"/>
                <w:szCs w:val="4"/>
                <w:color w:val="auto"/>
              </w:rPr>
            </w:pPr>
          </w:p>
        </w:tc>
        <w:tc>
          <w:tcPr>
            <w:tcW w:w="24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80" w:type="dxa"/>
            <w:vAlign w:val="bottom"/>
          </w:tcPr>
          <w:p>
            <w:pPr>
              <w:spacing w:after="0"/>
              <w:rPr>
                <w:sz w:val="4"/>
                <w:szCs w:val="4"/>
                <w:color w:val="auto"/>
              </w:rPr>
            </w:pPr>
          </w:p>
        </w:tc>
        <w:tc>
          <w:tcPr>
            <w:tcW w:w="36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10"/>
        </w:trPr>
        <w:tc>
          <w:tcPr>
            <w:tcW w:w="1120" w:type="dxa"/>
            <w:vAlign w:val="bottom"/>
            <w:tcBorders>
              <w:bottom w:val="single" w:sz="8" w:color="CCEEFF"/>
            </w:tcBorders>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31.1#</w:t>
            </w:r>
          </w:p>
        </w:tc>
        <w:tc>
          <w:tcPr>
            <w:tcW w:w="7200" w:type="dxa"/>
            <w:vAlign w:val="bottom"/>
            <w:tcBorders>
              <w:bottom w:val="single" w:sz="8" w:color="0000FF"/>
            </w:tcBorders>
            <w:gridSpan w:val="8"/>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w w:val="99"/>
              </w:rPr>
              <w:t>Certification of Chief Executive Officer Pursuant to Section 302 of the Sarbanes-Oxley Act of 2002</w:t>
            </w:r>
          </w:p>
        </w:tc>
        <w:tc>
          <w:tcPr>
            <w:tcW w:w="2800" w:type="dxa"/>
            <w:vAlign w:val="bottom"/>
            <w:tcBorders>
              <w:bottom w:val="single" w:sz="8" w:color="CCEEFF"/>
            </w:tcBorders>
            <w:gridSpan w:val="16"/>
            <w:shd w:val="clear" w:color="auto" w:fill="CCEEFF"/>
          </w:tcPr>
          <w:p>
            <w:pPr>
              <w:spacing w:after="0"/>
              <w:rPr>
                <w:sz w:val="18"/>
                <w:szCs w:val="18"/>
                <w:color w:val="auto"/>
              </w:rPr>
            </w:pPr>
          </w:p>
        </w:tc>
      </w:tr>
      <w:tr>
        <w:trPr>
          <w:trHeight w:val="189"/>
        </w:trPr>
        <w:tc>
          <w:tcPr>
            <w:tcW w:w="112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31.2#</w:t>
            </w:r>
          </w:p>
        </w:tc>
        <w:tc>
          <w:tcPr>
            <w:tcW w:w="10000" w:type="dxa"/>
            <w:vAlign w:val="bottom"/>
            <w:gridSpan w:val="24"/>
          </w:tcPr>
          <w:p>
            <w:pPr>
              <w:spacing w:after="0" w:line="189" w:lineRule="exact"/>
              <w:rPr>
                <w:sz w:val="20"/>
                <w:szCs w:val="20"/>
                <w:color w:val="auto"/>
              </w:rPr>
            </w:pPr>
            <w:r>
              <w:rPr>
                <w:rFonts w:ascii="Times New Roman" w:cs="Times New Roman" w:eastAsia="Times New Roman" w:hAnsi="Times New Roman"/>
                <w:sz w:val="18"/>
                <w:szCs w:val="18"/>
                <w:color w:val="0000FF"/>
              </w:rPr>
              <w:t>Certification of Chief Financial Officer Pursuant to Section 302 of the Sarbanes-Oxley Act of 2002</w:t>
            </w:r>
          </w:p>
        </w:tc>
      </w:tr>
      <w:tr>
        <w:trPr>
          <w:trHeight w:val="21"/>
        </w:trPr>
        <w:tc>
          <w:tcPr>
            <w:tcW w:w="1120" w:type="dxa"/>
            <w:vAlign w:val="bottom"/>
          </w:tcPr>
          <w:p>
            <w:pPr>
              <w:spacing w:after="0" w:line="20" w:lineRule="exact"/>
              <w:rPr>
                <w:sz w:val="1"/>
                <w:szCs w:val="1"/>
                <w:color w:val="auto"/>
              </w:rPr>
            </w:pPr>
          </w:p>
        </w:tc>
        <w:tc>
          <w:tcPr>
            <w:tcW w:w="580" w:type="dxa"/>
            <w:vAlign w:val="bottom"/>
            <w:tcBorders>
              <w:top w:val="single" w:sz="8" w:color="0000FF"/>
            </w:tcBorders>
          </w:tcPr>
          <w:p>
            <w:pPr>
              <w:spacing w:after="0" w:line="20" w:lineRule="exact"/>
              <w:rPr>
                <w:sz w:val="1"/>
                <w:szCs w:val="1"/>
                <w:color w:val="auto"/>
              </w:rPr>
            </w:pPr>
          </w:p>
        </w:tc>
        <w:tc>
          <w:tcPr>
            <w:tcW w:w="62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880" w:type="dxa"/>
            <w:vAlign w:val="bottom"/>
            <w:tcBorders>
              <w:top w:val="single" w:sz="8" w:color="0000FF"/>
            </w:tcBorders>
          </w:tcPr>
          <w:p>
            <w:pPr>
              <w:spacing w:after="0" w:line="20" w:lineRule="exact"/>
              <w:rPr>
                <w:sz w:val="1"/>
                <w:szCs w:val="1"/>
                <w:color w:val="auto"/>
              </w:rPr>
            </w:pPr>
          </w:p>
        </w:tc>
        <w:tc>
          <w:tcPr>
            <w:tcW w:w="2940" w:type="dxa"/>
            <w:vAlign w:val="bottom"/>
            <w:tcBorders>
              <w:top w:val="single" w:sz="8" w:color="0000FF"/>
            </w:tcBorders>
          </w:tcPr>
          <w:p>
            <w:pPr>
              <w:spacing w:after="0" w:line="20" w:lineRule="exact"/>
              <w:rPr>
                <w:sz w:val="1"/>
                <w:szCs w:val="1"/>
                <w:color w:val="auto"/>
              </w:rPr>
            </w:pPr>
          </w:p>
        </w:tc>
        <w:tc>
          <w:tcPr>
            <w:tcW w:w="1380" w:type="dxa"/>
            <w:vAlign w:val="bottom"/>
            <w:tcBorders>
              <w:top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112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32.1#</w:t>
            </w:r>
          </w:p>
        </w:tc>
        <w:tc>
          <w:tcPr>
            <w:tcW w:w="10000" w:type="dxa"/>
            <w:vAlign w:val="bottom"/>
            <w:gridSpan w:val="24"/>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Certification of Chief Executive Officer and Chief Financial Officer Pursuant to 18 U.S.C. Section 1350, as adopted pursuant to Section</w:t>
            </w:r>
          </w:p>
        </w:tc>
      </w:tr>
      <w:tr>
        <w:trPr>
          <w:trHeight w:val="155"/>
        </w:trPr>
        <w:tc>
          <w:tcPr>
            <w:tcW w:w="1120" w:type="dxa"/>
            <w:vAlign w:val="bottom"/>
            <w:tcBorders>
              <w:top w:val="single" w:sz="8" w:color="CCEEFF"/>
            </w:tcBorders>
            <w:shd w:val="clear" w:color="auto" w:fill="CCEEFF"/>
          </w:tcPr>
          <w:p>
            <w:pPr>
              <w:spacing w:after="0"/>
              <w:rPr>
                <w:sz w:val="13"/>
                <w:szCs w:val="13"/>
                <w:color w:val="auto"/>
              </w:rPr>
            </w:pPr>
          </w:p>
        </w:tc>
        <w:tc>
          <w:tcPr>
            <w:tcW w:w="9800" w:type="dxa"/>
            <w:vAlign w:val="bottom"/>
            <w:tcBorders>
              <w:top w:val="single" w:sz="8" w:color="0000FF"/>
            </w:tcBorders>
            <w:gridSpan w:val="16"/>
            <w:shd w:val="clear" w:color="auto" w:fill="CCEEFF"/>
          </w:tcPr>
          <w:p>
            <w:pPr>
              <w:spacing w:after="0" w:line="156" w:lineRule="exact"/>
              <w:rPr>
                <w:sz w:val="20"/>
                <w:szCs w:val="20"/>
                <w:color w:val="auto"/>
              </w:rPr>
            </w:pPr>
            <w:r>
              <w:rPr>
                <w:rFonts w:ascii="Times New Roman" w:cs="Times New Roman" w:eastAsia="Times New Roman" w:hAnsi="Times New Roman"/>
                <w:sz w:val="18"/>
                <w:szCs w:val="18"/>
                <w:color w:val="0000FF"/>
              </w:rPr>
              <w:t>906 of the Sarbanes-Oxley Act of 2002</w:t>
            </w:r>
          </w:p>
        </w:tc>
        <w:tc>
          <w:tcPr>
            <w:tcW w:w="200" w:type="dxa"/>
            <w:vAlign w:val="bottom"/>
            <w:tcBorders>
              <w:top w:val="single" w:sz="8" w:color="CCEEFF"/>
            </w:tcBorders>
            <w:gridSpan w:val="8"/>
            <w:shd w:val="clear" w:color="auto" w:fill="CCEEFF"/>
          </w:tcPr>
          <w:p>
            <w:pPr>
              <w:spacing w:after="0"/>
              <w:rPr>
                <w:sz w:val="13"/>
                <w:szCs w:val="13"/>
                <w:color w:val="auto"/>
              </w:rPr>
            </w:pPr>
          </w:p>
        </w:tc>
      </w:tr>
      <w:tr>
        <w:trPr>
          <w:trHeight w:val="34"/>
        </w:trPr>
        <w:tc>
          <w:tcPr>
            <w:tcW w:w="1120" w:type="dxa"/>
            <w:vAlign w:val="bottom"/>
            <w:tcBorders>
              <w:top w:val="single" w:sz="8" w:color="CCEEFF"/>
            </w:tcBorders>
            <w:shd w:val="clear" w:color="auto" w:fill="CCEEFF"/>
          </w:tcPr>
          <w:p>
            <w:pPr>
              <w:spacing w:after="0"/>
              <w:rPr>
                <w:sz w:val="2"/>
                <w:szCs w:val="2"/>
                <w:color w:val="auto"/>
              </w:rPr>
            </w:pPr>
          </w:p>
        </w:tc>
        <w:tc>
          <w:tcPr>
            <w:tcW w:w="580" w:type="dxa"/>
            <w:vAlign w:val="bottom"/>
            <w:tcBorders>
              <w:top w:val="single" w:sz="8" w:color="0000FF"/>
            </w:tcBorders>
            <w:shd w:val="clear" w:color="auto" w:fill="CCEEFF"/>
          </w:tcPr>
          <w:p>
            <w:pPr>
              <w:spacing w:after="0"/>
              <w:rPr>
                <w:sz w:val="2"/>
                <w:szCs w:val="2"/>
                <w:color w:val="auto"/>
              </w:rPr>
            </w:pPr>
          </w:p>
        </w:tc>
        <w:tc>
          <w:tcPr>
            <w:tcW w:w="620" w:type="dxa"/>
            <w:vAlign w:val="bottom"/>
            <w:tcBorders>
              <w:top w:val="single" w:sz="8" w:color="0000FF"/>
            </w:tcBorders>
            <w:shd w:val="clear" w:color="auto" w:fill="CCEEFF"/>
          </w:tcPr>
          <w:p>
            <w:pPr>
              <w:spacing w:after="0"/>
              <w:rPr>
                <w:sz w:val="2"/>
                <w:szCs w:val="2"/>
                <w:color w:val="auto"/>
              </w:rPr>
            </w:pPr>
          </w:p>
        </w:tc>
        <w:tc>
          <w:tcPr>
            <w:tcW w:w="240" w:type="dxa"/>
            <w:vAlign w:val="bottom"/>
            <w:tcBorders>
              <w:top w:val="single" w:sz="8" w:color="0000FF"/>
            </w:tcBorders>
            <w:shd w:val="clear" w:color="auto" w:fill="CCEEFF"/>
          </w:tcPr>
          <w:p>
            <w:pPr>
              <w:spacing w:after="0"/>
              <w:rPr>
                <w:sz w:val="2"/>
                <w:szCs w:val="2"/>
                <w:color w:val="auto"/>
              </w:rPr>
            </w:pPr>
          </w:p>
        </w:tc>
        <w:tc>
          <w:tcPr>
            <w:tcW w:w="500" w:type="dxa"/>
            <w:vAlign w:val="bottom"/>
            <w:tcBorders>
              <w:top w:val="single" w:sz="8" w:color="0000FF"/>
            </w:tcBorders>
            <w:shd w:val="clear" w:color="auto" w:fill="CCEEFF"/>
          </w:tcPr>
          <w:p>
            <w:pPr>
              <w:spacing w:after="0"/>
              <w:rPr>
                <w:sz w:val="2"/>
                <w:szCs w:val="2"/>
                <w:color w:val="auto"/>
              </w:rPr>
            </w:pPr>
          </w:p>
        </w:tc>
        <w:tc>
          <w:tcPr>
            <w:tcW w:w="880" w:type="dxa"/>
            <w:vAlign w:val="bottom"/>
            <w:tcBorders>
              <w:top w:val="single" w:sz="8" w:color="0000FF"/>
            </w:tcBorders>
            <w:shd w:val="clear" w:color="auto" w:fill="CCEEFF"/>
          </w:tcPr>
          <w:p>
            <w:pPr>
              <w:spacing w:after="0"/>
              <w:rPr>
                <w:sz w:val="2"/>
                <w:szCs w:val="2"/>
                <w:color w:val="auto"/>
              </w:rPr>
            </w:pPr>
          </w:p>
        </w:tc>
        <w:tc>
          <w:tcPr>
            <w:tcW w:w="2940" w:type="dxa"/>
            <w:vAlign w:val="bottom"/>
            <w:tcBorders>
              <w:top w:val="single" w:sz="8" w:color="CCEEFF"/>
            </w:tcBorders>
            <w:shd w:val="clear" w:color="auto" w:fill="CCEEFF"/>
          </w:tcPr>
          <w:p>
            <w:pPr>
              <w:spacing w:after="0"/>
              <w:rPr>
                <w:sz w:val="2"/>
                <w:szCs w:val="2"/>
                <w:color w:val="auto"/>
              </w:rPr>
            </w:pPr>
          </w:p>
        </w:tc>
        <w:tc>
          <w:tcPr>
            <w:tcW w:w="13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52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120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bl>
    <w:p>
      <w:pPr>
        <w:spacing w:after="0" w:line="238"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color w:val="auto"/>
        </w:rPr>
        <w:t>__________________</w:t>
      </w:r>
    </w:p>
    <w:p>
      <w:pPr>
        <w:spacing w:after="0" w:line="27" w:lineRule="exact"/>
        <w:rPr>
          <w:sz w:val="20"/>
          <w:szCs w:val="20"/>
          <w:color w:val="auto"/>
        </w:rPr>
      </w:pPr>
    </w:p>
    <w:p>
      <w:pPr>
        <w:ind w:left="660" w:hanging="652"/>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Previously filed</w:t>
      </w:r>
    </w:p>
    <w:p>
      <w:pPr>
        <w:spacing w:after="0" w:line="9" w:lineRule="exact"/>
        <w:rPr>
          <w:sz w:val="20"/>
          <w:szCs w:val="20"/>
          <w:color w:val="auto"/>
        </w:rPr>
      </w:pPr>
    </w:p>
    <w:p>
      <w:pPr>
        <w:ind w:left="320" w:hanging="312"/>
        <w:spacing w:after="0"/>
        <w:tabs>
          <w:tab w:leader="none" w:pos="3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Contract or compensatory plan or arrangement</w:t>
      </w:r>
    </w:p>
    <w:p>
      <w:pPr>
        <w:spacing w:after="0" w:line="9"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Filed herewith</w:t>
      </w:r>
    </w:p>
    <w:p>
      <w:pPr>
        <w:spacing w:after="0" w:line="200" w:lineRule="exact"/>
        <w:rPr>
          <w:sz w:val="20"/>
          <w:szCs w:val="20"/>
          <w:color w:val="auto"/>
        </w:rPr>
      </w:pPr>
    </w:p>
    <w:p>
      <w:pPr>
        <w:spacing w:after="0" w:line="22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21" w:right="41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August 13, 2024</w:t>
      </w:r>
    </w:p>
    <w:p>
      <w:pPr>
        <w:spacing w:after="0" w:line="221"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b w:val="1"/>
          <w:bCs w:val="1"/>
          <w:color w:val="auto"/>
        </w:rPr>
        <w:t>Burke &amp; Herbert Financial Services Corp.</w:t>
      </w:r>
    </w:p>
    <w:p>
      <w:pPr>
        <w:spacing w:after="0" w:line="337" w:lineRule="exact"/>
        <w:rPr>
          <w:sz w:val="20"/>
          <w:szCs w:val="20"/>
          <w:color w:val="auto"/>
        </w:rPr>
      </w:pPr>
    </w:p>
    <w:tbl>
      <w:tblPr>
        <w:tblLayout w:type="fixed"/>
        <w:tblInd w:w="5960" w:type="dxa"/>
        <w:tblCellMar>
          <w:top w:w="0" w:type="dxa"/>
          <w:left w:w="0" w:type="dxa"/>
          <w:bottom w:w="0" w:type="dxa"/>
          <w:right w:w="0" w:type="dxa"/>
        </w:tblCellMar>
      </w:tblPr>
      <w:tr>
        <w:trPr>
          <w:trHeight w:val="234"/>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/s/ David P. Boyle</w:t>
            </w:r>
          </w:p>
        </w:tc>
        <w:tc>
          <w:tcPr>
            <w:tcW w:w="0" w:type="dxa"/>
            <w:vAlign w:val="bottom"/>
          </w:tcPr>
          <w:p>
            <w:pPr>
              <w:spacing w:after="0"/>
              <w:rPr>
                <w:sz w:val="1"/>
                <w:szCs w:val="1"/>
                <w:color w:val="auto"/>
              </w:rPr>
            </w:pPr>
          </w:p>
        </w:tc>
      </w:tr>
      <w:tr>
        <w:trPr>
          <w:trHeight w:val="27"/>
        </w:trPr>
        <w:tc>
          <w:tcPr>
            <w:tcW w:w="7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Name:</w:t>
            </w:r>
          </w:p>
        </w:tc>
        <w:tc>
          <w:tcPr>
            <w:tcW w:w="4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8"/>
        </w:trPr>
        <w:tc>
          <w:tcPr>
            <w:tcW w:w="740" w:type="dxa"/>
            <w:vAlign w:val="bottom"/>
            <w:vMerge w:val="continue"/>
          </w:tcPr>
          <w:p>
            <w:pPr>
              <w:spacing w:after="0"/>
              <w:rPr>
                <w:sz w:val="19"/>
                <w:szCs w:val="19"/>
                <w:color w:val="auto"/>
              </w:rPr>
            </w:pPr>
          </w:p>
        </w:tc>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David P. Boyle</w:t>
            </w:r>
          </w:p>
        </w:tc>
        <w:tc>
          <w:tcPr>
            <w:tcW w:w="0" w:type="dxa"/>
            <w:vAlign w:val="bottom"/>
          </w:tcPr>
          <w:p>
            <w:pPr>
              <w:spacing w:after="0"/>
              <w:rPr>
                <w:sz w:val="1"/>
                <w:szCs w:val="1"/>
                <w:color w:val="auto"/>
              </w:rPr>
            </w:pPr>
          </w:p>
        </w:tc>
      </w:tr>
      <w:tr>
        <w:trPr>
          <w:trHeight w:val="238"/>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c>
          <w:tcPr>
            <w:tcW w:w="0" w:type="dxa"/>
            <w:vAlign w:val="bottom"/>
          </w:tcPr>
          <w:p>
            <w:pPr>
              <w:spacing w:after="0"/>
              <w:rPr>
                <w:sz w:val="1"/>
                <w:szCs w:val="1"/>
                <w:color w:val="auto"/>
              </w:rPr>
            </w:pPr>
          </w:p>
        </w:tc>
      </w:tr>
      <w:tr>
        <w:trPr>
          <w:trHeight w:val="540"/>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/s/ Roy E. Halyama</w:t>
            </w:r>
          </w:p>
        </w:tc>
        <w:tc>
          <w:tcPr>
            <w:tcW w:w="0" w:type="dxa"/>
            <w:vAlign w:val="bottom"/>
          </w:tcPr>
          <w:p>
            <w:pPr>
              <w:spacing w:after="0"/>
              <w:rPr>
                <w:sz w:val="1"/>
                <w:szCs w:val="1"/>
                <w:color w:val="auto"/>
              </w:rPr>
            </w:pPr>
          </w:p>
        </w:tc>
      </w:tr>
      <w:tr>
        <w:trPr>
          <w:trHeight w:val="27"/>
        </w:trPr>
        <w:tc>
          <w:tcPr>
            <w:tcW w:w="7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Name:</w:t>
            </w:r>
          </w:p>
        </w:tc>
        <w:tc>
          <w:tcPr>
            <w:tcW w:w="4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8"/>
        </w:trPr>
        <w:tc>
          <w:tcPr>
            <w:tcW w:w="740" w:type="dxa"/>
            <w:vAlign w:val="bottom"/>
            <w:vMerge w:val="continue"/>
          </w:tcPr>
          <w:p>
            <w:pPr>
              <w:spacing w:after="0"/>
              <w:rPr>
                <w:sz w:val="19"/>
                <w:szCs w:val="19"/>
                <w:color w:val="auto"/>
              </w:rPr>
            </w:pPr>
          </w:p>
        </w:tc>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Roy E. Halyama</w:t>
            </w:r>
          </w:p>
        </w:tc>
        <w:tc>
          <w:tcPr>
            <w:tcW w:w="0" w:type="dxa"/>
            <w:vAlign w:val="bottom"/>
          </w:tcPr>
          <w:p>
            <w:pPr>
              <w:spacing w:after="0"/>
              <w:rPr>
                <w:sz w:val="1"/>
                <w:szCs w:val="1"/>
                <w:color w:val="auto"/>
              </w:rPr>
            </w:pPr>
          </w:p>
        </w:tc>
      </w:tr>
      <w:tr>
        <w:trPr>
          <w:trHeight w:val="238"/>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Executive Vice President, Chief Financial Officer</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ectPr>
          <w:pgSz w:w="11900" w:h="16838" w:orient="portrait"/>
          <w:cols w:equalWidth="0" w:num="1">
            <w:col w:w="11240"/>
          </w:cols>
          <w:pgMar w:left="320" w:top="121" w:right="339" w:bottom="1440" w:gutter="0" w:footer="0" w:header="0"/>
        </w:sectPr>
      </w:pPr>
    </w:p>
    <w:bookmarkStart w:id="84" w:name="page85"/>
    <w:bookmarkEnd w:id="8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2822575</wp:posOffset>
            </wp:positionH>
            <wp:positionV relativeFrom="page">
              <wp:posOffset>88900</wp:posOffset>
            </wp:positionV>
            <wp:extent cx="1903095" cy="7454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25">
                      <a:clrChange>
                        <a:clrFrom>
                          <a:srgbClr val="FFFFFF"/>
                        </a:clrFrom>
                        <a:clrTo>
                          <a:srgbClr val="FFFFFF">
                            <a:alpha val="0"/>
                          </a:srgbClr>
                        </a:clrTo>
                      </a:clrChange>
                      <a:extLst>
                        <a:ext uri="{28A0092B-C50C-407E-A947-70E740481C1C}"/>
                      </a:extLst>
                    </a:blip>
                    <a:srcRect/>
                    <a:stretch>
                      <a:fillRect/>
                    </a:stretch>
                  </pic:blipFill>
                  <pic:spPr bwMode="auto">
                    <a:xfrm>
                      <a:off x="0" y="0"/>
                      <a:ext cx="1903095" cy="7454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ARTICLES OF INCORPORATION</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OF</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BURKE &amp; HERBERT FINANCIAL SERVICES CORP.</w:t>
      </w:r>
    </w:p>
    <w:p>
      <w:pPr>
        <w:spacing w:after="0" w:line="233" w:lineRule="exact"/>
        <w:rPr>
          <w:sz w:val="20"/>
          <w:szCs w:val="20"/>
          <w:color w:val="auto"/>
        </w:rPr>
      </w:pPr>
    </w:p>
    <w:p>
      <w:pPr>
        <w:jc w:val="both"/>
        <w:ind w:right="20" w:firstLine="648"/>
        <w:spacing w:after="0" w:line="261" w:lineRule="auto"/>
        <w:rPr>
          <w:sz w:val="20"/>
          <w:szCs w:val="20"/>
          <w:color w:val="auto"/>
        </w:rPr>
      </w:pPr>
      <w:r>
        <w:rPr>
          <w:rFonts w:ascii="Times New Roman" w:cs="Times New Roman" w:eastAsia="Times New Roman" w:hAnsi="Times New Roman"/>
          <w:sz w:val="20"/>
          <w:szCs w:val="20"/>
          <w:color w:val="auto"/>
        </w:rPr>
        <w:t>This is to certify that we do hereby associate ourselves to establish a corporation (the “Corporation”) under and by virtue of the Virginia Stock Corporation Act, Chapter 9, Title 13.1 of the Code of Virginia (the “Code”), and acts amendatory thereof, for the purposes, and under the corporate name, hereinafter mentioned, and to that end we do, by this certificate, set forth as follows:</w:t>
      </w:r>
    </w:p>
    <w:p>
      <w:pPr>
        <w:spacing w:after="0" w:line="204" w:lineRule="exact"/>
        <w:rPr>
          <w:sz w:val="20"/>
          <w:szCs w:val="20"/>
          <w:color w:val="auto"/>
        </w:rPr>
      </w:pPr>
    </w:p>
    <w:p>
      <w:pPr>
        <w:ind w:left="5620" w:hanging="595"/>
        <w:spacing w:after="0"/>
        <w:tabs>
          <w:tab w:leader="none" w:pos="5620" w:val="left"/>
        </w:tabs>
        <w:numPr>
          <w:ilvl w:val="0"/>
          <w:numId w:val="2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NAME</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The name of the Corporation shall be Burke &amp; Herbert Financial Services Corp.</w:t>
      </w:r>
    </w:p>
    <w:p>
      <w:pPr>
        <w:spacing w:after="0" w:line="252" w:lineRule="exact"/>
        <w:rPr>
          <w:sz w:val="20"/>
          <w:szCs w:val="20"/>
          <w:color w:val="auto"/>
        </w:rPr>
      </w:pPr>
    </w:p>
    <w:p>
      <w:pPr>
        <w:ind w:left="4980" w:hanging="592"/>
        <w:spacing w:after="0"/>
        <w:tabs>
          <w:tab w:leader="none" w:pos="4980" w:val="left"/>
        </w:tabs>
        <w:numPr>
          <w:ilvl w:val="0"/>
          <w:numId w:val="2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PRINCIPAL OFFICE</w:t>
      </w:r>
    </w:p>
    <w:p>
      <w:pPr>
        <w:spacing w:after="0" w:line="220" w:lineRule="exact"/>
        <w:rPr>
          <w:sz w:val="20"/>
          <w:szCs w:val="20"/>
          <w:color w:val="auto"/>
        </w:rPr>
      </w:pPr>
    </w:p>
    <w:p>
      <w:pPr>
        <w:ind w:firstLine="648"/>
        <w:spacing w:after="0" w:line="283" w:lineRule="auto"/>
        <w:rPr>
          <w:sz w:val="20"/>
          <w:szCs w:val="20"/>
          <w:color w:val="auto"/>
        </w:rPr>
      </w:pPr>
      <w:r>
        <w:rPr>
          <w:rFonts w:ascii="Times New Roman" w:cs="Times New Roman" w:eastAsia="Times New Roman" w:hAnsi="Times New Roman"/>
          <w:sz w:val="20"/>
          <w:szCs w:val="20"/>
          <w:color w:val="auto"/>
        </w:rPr>
        <w:t>The principal office of this Corporation shall be 100 S. Fairfax St., Alexandria, Virginia, 22314 and Alexandria, Virginia is the post-office address thereof.</w:t>
      </w:r>
    </w:p>
    <w:p>
      <w:pPr>
        <w:spacing w:after="0" w:line="183" w:lineRule="exact"/>
        <w:rPr>
          <w:sz w:val="20"/>
          <w:szCs w:val="20"/>
          <w:color w:val="auto"/>
        </w:rPr>
      </w:pPr>
    </w:p>
    <w:p>
      <w:pPr>
        <w:ind w:left="5120" w:hanging="596"/>
        <w:spacing w:after="0"/>
        <w:tabs>
          <w:tab w:leader="none" w:pos="5120" w:val="left"/>
        </w:tabs>
        <w:numPr>
          <w:ilvl w:val="0"/>
          <w:numId w:val="2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CAPITAL STOCK</w:t>
      </w:r>
    </w:p>
    <w:p>
      <w:pPr>
        <w:spacing w:after="0" w:line="22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The aggregate number of shares which the Corporation shall be authorized to issue is five hundred thousand (500,000) shares of common stock, par value $20.00 per share (“Common Stock”), and two million (2,000,000) shares of serial preferred stock, par value $1.00 per share (“Serial Preferred Stock”).</w:t>
      </w:r>
    </w:p>
    <w:p>
      <w:pPr>
        <w:spacing w:after="0" w:line="1" w:lineRule="exact"/>
        <w:rPr>
          <w:sz w:val="20"/>
          <w:szCs w:val="20"/>
          <w:color w:val="auto"/>
        </w:rPr>
      </w:pPr>
    </w:p>
    <w:p>
      <w:pPr>
        <w:ind w:left="4640" w:hanging="591"/>
        <w:spacing w:after="0"/>
        <w:tabs>
          <w:tab w:leader="none" w:pos="4640" w:val="left"/>
        </w:tabs>
        <w:numPr>
          <w:ilvl w:val="2"/>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SERIAL PREFERRED STOCK</w:t>
      </w:r>
    </w:p>
    <w:p>
      <w:pPr>
        <w:spacing w:after="0" w:line="213" w:lineRule="exact"/>
        <w:rPr>
          <w:rFonts w:ascii="Times New Roman" w:cs="Times New Roman" w:eastAsia="Times New Roman" w:hAnsi="Times New Roman"/>
          <w:sz w:val="20"/>
          <w:szCs w:val="20"/>
          <w:color w:val="auto"/>
        </w:rPr>
      </w:pPr>
    </w:p>
    <w:p>
      <w:pPr>
        <w:jc w:val="both"/>
        <w:ind w:firstLine="8"/>
        <w:spacing w:after="0" w:line="251" w:lineRule="auto"/>
        <w:tabs>
          <w:tab w:leader="none" w:pos="648"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Issuance in Series</w:t>
      </w:r>
      <w:r>
        <w:rPr>
          <w:rFonts w:ascii="Times New Roman" w:cs="Times New Roman" w:eastAsia="Times New Roman" w:hAnsi="Times New Roman"/>
          <w:sz w:val="20"/>
          <w:szCs w:val="20"/>
          <w:color w:val="auto"/>
        </w:rPr>
        <w:t>. Authority is hereby vested in the Board of Directors to divide the Serial Preferred Stock into and cause the Serial Preferred Stock to be issued in series, to designate each series so as to distinguish the shares thereof from the shares of all other series or classes, to fix the number of shares of each series, and to fix and determine the variations in the relative rights and preferences of each series within the limitations hereinafter set forth in this paragraph. All shares of Serial Preferred Stock shall be identical except as to the following relative rights and preferences, which may be fixed and determined by the Board of Directors and as to which there may be variations between different series:</w:t>
      </w:r>
    </w:p>
    <w:p>
      <w:pPr>
        <w:spacing w:after="0" w:line="190" w:lineRule="exact"/>
        <w:rPr>
          <w:rFonts w:ascii="Times New Roman" w:cs="Times New Roman" w:eastAsia="Times New Roman" w:hAnsi="Times New Roman"/>
          <w:sz w:val="20"/>
          <w:szCs w:val="20"/>
          <w:color w:val="auto"/>
        </w:rPr>
      </w:pPr>
    </w:p>
    <w:p>
      <w:pPr>
        <w:ind w:firstLine="656"/>
        <w:spacing w:after="0" w:line="283" w:lineRule="auto"/>
        <w:tabs>
          <w:tab w:leader="none" w:pos="1286" w:val="left"/>
        </w:tabs>
        <w:numPr>
          <w:ilvl w:val="1"/>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rate of dividend, if any, payable on shares of such series, the time of payment and the dates from which dividends shall be cumulative if such dividends shall be cumulative, and the extent of participation rights, if any, of the shares of such series;</w:t>
      </w:r>
    </w:p>
    <w:p>
      <w:pPr>
        <w:spacing w:after="0" w:line="146" w:lineRule="exact"/>
        <w:rPr>
          <w:rFonts w:ascii="Times New Roman" w:cs="Times New Roman" w:eastAsia="Times New Roman" w:hAnsi="Times New Roman"/>
          <w:sz w:val="20"/>
          <w:szCs w:val="20"/>
          <w:color w:val="auto"/>
        </w:rPr>
      </w:pPr>
    </w:p>
    <w:p>
      <w:pPr>
        <w:ind w:firstLine="656"/>
        <w:spacing w:after="0" w:line="283" w:lineRule="auto"/>
        <w:tabs>
          <w:tab w:leader="none" w:pos="1284" w:val="left"/>
        </w:tabs>
        <w:numPr>
          <w:ilvl w:val="1"/>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right to vote with holders of shares of any other series or class and any right to vote as a class, either generally or as a condition to specified corporate action;</w:t>
      </w:r>
    </w:p>
    <w:p>
      <w:pPr>
        <w:spacing w:after="0" w:line="146"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1"/>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price at and the terms and conditions on which shares may be redeemed;</w:t>
      </w:r>
    </w:p>
    <w:p>
      <w:pPr>
        <w:spacing w:after="0" w:line="229"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1"/>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amount payable upon shares in the event of involuntary liquidation;</w:t>
      </w:r>
    </w:p>
    <w:p>
      <w:pPr>
        <w:spacing w:after="0" w:line="229"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1"/>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amount payable upon shares in the event of voluntary liquidation;</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w:t>
      </w:r>
    </w:p>
    <w:p>
      <w:pPr>
        <w:sectPr>
          <w:pgSz w:w="11900" w:h="16838" w:orient="portrait"/>
          <w:cols w:equalWidth="0" w:num="1">
            <w:col w:w="11240"/>
          </w:cols>
          <w:pgMar w:left="320" w:top="1440" w:right="339" w:bottom="1440" w:gutter="0" w:footer="0" w:header="0"/>
          <w:type w:val="continuous"/>
        </w:sectPr>
      </w:pPr>
    </w:p>
    <w:bookmarkStart w:id="85" w:name="page86"/>
    <w:bookmarkEnd w:id="85"/>
    <w:p>
      <w:pPr>
        <w:spacing w:after="0" w:line="216" w:lineRule="exact"/>
        <w:rPr>
          <w:sz w:val="20"/>
          <w:szCs w:val="20"/>
          <w:color w:val="auto"/>
        </w:rPr>
      </w:pPr>
    </w:p>
    <w:p>
      <w:pPr>
        <w:ind w:left="1300" w:hanging="644"/>
        <w:spacing w:after="0"/>
        <w:tabs>
          <w:tab w:leader="none" w:pos="1300" w:val="left"/>
        </w:tabs>
        <w:numPr>
          <w:ilvl w:val="1"/>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sinking fund provisions for the redemption or purchase of shares; and</w:t>
      </w:r>
    </w:p>
    <w:p>
      <w:pPr>
        <w:spacing w:after="0" w:line="229"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1"/>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terms and conditions on which shares may be converted, if the shares of any series are issued with the privilege of</w:t>
      </w:r>
    </w:p>
    <w:p>
      <w:pPr>
        <w:spacing w:after="0" w:line="21" w:lineRule="exact"/>
        <w:rPr>
          <w:rFonts w:ascii="Times New Roman" w:cs="Times New Roman" w:eastAsia="Times New Roman" w:hAnsi="Times New Roman"/>
          <w:sz w:val="20"/>
          <w:szCs w:val="20"/>
          <w:color w:val="auto"/>
        </w:rPr>
      </w:pP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conversion.</w:t>
      </w:r>
    </w:p>
    <w:p>
      <w:pPr>
        <w:spacing w:after="0" w:line="207" w:lineRule="exact"/>
        <w:rPr>
          <w:rFonts w:ascii="Times New Roman" w:cs="Times New Roman" w:eastAsia="Times New Roman" w:hAnsi="Times New Roman"/>
          <w:sz w:val="20"/>
          <w:szCs w:val="20"/>
          <w:color w:val="auto"/>
        </w:rPr>
      </w:pPr>
    </w:p>
    <w:p>
      <w:pPr>
        <w:jc w:val="both"/>
        <w:ind w:firstLine="8"/>
        <w:spacing w:after="0" w:line="258" w:lineRule="auto"/>
        <w:tabs>
          <w:tab w:leader="none" w:pos="648" w:val="left"/>
        </w:tabs>
        <w:numPr>
          <w:ilvl w:val="0"/>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Dividends</w:t>
      </w:r>
      <w:r>
        <w:rPr>
          <w:rFonts w:ascii="Times New Roman" w:cs="Times New Roman" w:eastAsia="Times New Roman" w:hAnsi="Times New Roman"/>
          <w:sz w:val="20"/>
          <w:szCs w:val="20"/>
          <w:color w:val="auto"/>
        </w:rPr>
        <w:t>. The holders of the Serial Preferred Stock of each series as to which the Board of Directors shall have specified a rate of dividend shall be entitled to receive, if and when declared payable by the Board of Directors, dividends at the dividend rate for such series, and not exceeding such rate except to the extent of any participation right. Such dividends shall be payable on such dates as shall be specified for such series. Dividends, if cumulative and in arrears, shall not bear interest.</w:t>
      </w:r>
    </w:p>
    <w:p>
      <w:pPr>
        <w:spacing w:after="0" w:line="172"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No dividends shall be declared or paid upon or set apart for the Common Stock or for stock of any other class hereafter created ranking junior to the Serial Preferred Stock in respect to dividends or assets (hereinafter called “Junior Stock”), or for any shares of Serial Preferred Stock which are entitled to participate with the Common Stock, and no shares of Serial Preferred Stock, Common Stock or Junior Stock shall be purchased, redeemed or otherwise reacquired for a consideration, nor shall any funds be set aside for or paid to any sinking fund therefor, unless and until (i) full dividends on the outstanding Serial Preferred Stock at the dividend rate or rates therefor, together with the full additional amount required by any participation right, shall have been paid or declared and set apart for payment with respect to all past dividend periods, to the extent that the holders of the Serial Preferred Stock are entitled to dividends with respect to any past dividend period, and the current dividend period, and (ii) all mandatory sinking fund payments that shall have become due in respect of any series of the Serial Preferred Stock shall have been made. Unless full dividends with respect to all past dividend periods on the outstanding Serial Preferred Stock at the dividend rate or rates therefor, to the extent that holders of the Serial Preferred Stock are entitled to dividends with respect to any particular past dividend period, together with the full additional amount required by any participation right, shall have been paid or declared and set apart for payment and all mandatory sinking fund payments that shall have become due in respect of any series of the Serial Preferred Stock shall have been made, no distributions shall be made to the holders of the Serial Preferred Stock of any series unless distributions are made to the holders of the Serial Preferred Stock of all series then outstanding in proportion to the aggregate amounts of the deficiencies in payments due to the respective series, and all payments shall be applied first, to dividends accrued and in arrears, next, to any amount required by any participation right, and, finally, to mandatory sinking fund payments. The terms “current dividend period” and “past dividend period” mean, if two or more series of Serial Preferred Stock having different dividend periods are at the time outstanding, the current dividend period or any past dividend period, as the case may be, with respect to each such series.</w:t>
      </w:r>
    </w:p>
    <w:p>
      <w:pPr>
        <w:spacing w:after="0" w:line="228" w:lineRule="exact"/>
        <w:rPr>
          <w:sz w:val="20"/>
          <w:szCs w:val="20"/>
          <w:color w:val="auto"/>
        </w:rPr>
      </w:pPr>
    </w:p>
    <w:p>
      <w:pPr>
        <w:jc w:val="both"/>
        <w:ind w:firstLine="656"/>
        <w:spacing w:after="0" w:line="266" w:lineRule="auto"/>
        <w:tabs>
          <w:tab w:leader="none" w:pos="994" w:val="left"/>
        </w:tabs>
        <w:numPr>
          <w:ilvl w:val="0"/>
          <w:numId w:val="2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Preference on Liquidation</w:t>
      </w:r>
      <w:r>
        <w:rPr>
          <w:rFonts w:ascii="Times New Roman" w:cs="Times New Roman" w:eastAsia="Times New Roman" w:hAnsi="Times New Roman"/>
          <w:sz w:val="19"/>
          <w:szCs w:val="19"/>
          <w:color w:val="auto"/>
        </w:rPr>
        <w:t>. In the event of any liquidation, dissolution or winding up of the Corporation, the holders of the Serial Preferred Stock of each series shall be entitled to receive, for each share thereof, the fixed liquidation price for such series, plus, in case such liquidation, dissolution or winding up shall have been voluntary, the fixed liquidation premium for such series, if any, together in all cases with a sum equal to all dividends, if any, accrued or in arrears thereon and the full additional amount required by any participation right, before any distribution of the assets shall be made to holders of the Common Stock or Junior Stock; but the holders of the Serial Preferred Stock shall be entitled to no further participation in such distribution. If, upon any such liquidation, dissolution or winding up, the assets distributable among the holders of the Serial Preferred Stock shall be insufficient to permit the payment of the full preferential amounts aforesaid, then such assets shall be distributed among the holders of the Serial Preferred Stock then outstanding, ratably in proportion to the full preferential amounts to which they are respectively entitled. A merger of the Corporation into any other corporation, or merger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w:t>
      </w:r>
    </w:p>
    <w:p>
      <w:pPr>
        <w:sectPr>
          <w:pgSz w:w="11900" w:h="16838" w:orient="portrait"/>
          <w:cols w:equalWidth="0" w:num="1">
            <w:col w:w="11240"/>
          </w:cols>
          <w:pgMar w:left="320" w:top="1440" w:right="339" w:bottom="1440" w:gutter="0" w:footer="0" w:header="0"/>
        </w:sectPr>
      </w:pPr>
    </w:p>
    <w:bookmarkStart w:id="86" w:name="page87"/>
    <w:bookmarkEnd w:id="86"/>
    <w:p>
      <w:pPr>
        <w:spacing w:after="0" w:line="216" w:lineRule="exact"/>
        <w:rPr>
          <w:sz w:val="20"/>
          <w:szCs w:val="20"/>
          <w:color w:val="auto"/>
        </w:rPr>
      </w:pPr>
    </w:p>
    <w:p>
      <w:pPr>
        <w:spacing w:after="0" w:line="310" w:lineRule="auto"/>
        <w:rPr>
          <w:sz w:val="20"/>
          <w:szCs w:val="20"/>
          <w:color w:val="auto"/>
        </w:rPr>
      </w:pPr>
      <w:r>
        <w:rPr>
          <w:rFonts w:ascii="Times New Roman" w:cs="Times New Roman" w:eastAsia="Times New Roman" w:hAnsi="Times New Roman"/>
          <w:sz w:val="19"/>
          <w:szCs w:val="19"/>
          <w:color w:val="auto"/>
        </w:rPr>
        <w:t>any other corporation into the Corporation, or consolidation of the Corporation with any other corporation or a sale or transfer of the property of the Corporation as or substantially as an entirety shall not be deemed to be a liquidation, dissolution or winding up of the Corporation.</w:t>
      </w:r>
    </w:p>
    <w:p>
      <w:pPr>
        <w:spacing w:after="0" w:line="151" w:lineRule="exact"/>
        <w:rPr>
          <w:sz w:val="20"/>
          <w:szCs w:val="20"/>
          <w:color w:val="auto"/>
        </w:rPr>
      </w:pPr>
    </w:p>
    <w:p>
      <w:pPr>
        <w:ind w:left="5120" w:hanging="597"/>
        <w:spacing w:after="0"/>
        <w:tabs>
          <w:tab w:leader="none" w:pos="5120" w:val="left"/>
        </w:tabs>
        <w:numPr>
          <w:ilvl w:val="1"/>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COMMON STOCK</w:t>
      </w:r>
    </w:p>
    <w:p>
      <w:pPr>
        <w:spacing w:after="0" w:line="229" w:lineRule="exact"/>
        <w:rPr>
          <w:rFonts w:ascii="Times New Roman" w:cs="Times New Roman" w:eastAsia="Times New Roman" w:hAnsi="Times New Roman"/>
          <w:sz w:val="20"/>
          <w:szCs w:val="20"/>
          <w:color w:val="auto"/>
        </w:rPr>
      </w:pPr>
    </w:p>
    <w:p>
      <w:pPr>
        <w:jc w:val="both"/>
        <w:ind w:firstLine="8"/>
        <w:spacing w:after="0" w:line="261" w:lineRule="auto"/>
        <w:tabs>
          <w:tab w:leader="none" w:pos="648" w:val="left"/>
        </w:tabs>
        <w:numPr>
          <w:ilvl w:val="0"/>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Dividends</w:t>
      </w:r>
      <w:r>
        <w:rPr>
          <w:rFonts w:ascii="Times New Roman" w:cs="Times New Roman" w:eastAsia="Times New Roman" w:hAnsi="Times New Roman"/>
          <w:sz w:val="20"/>
          <w:szCs w:val="20"/>
          <w:color w:val="auto"/>
        </w:rPr>
        <w:t>. Subject to the provisions of law and the rights of holders of shares at the time outstanding of all classes of stock having prior rights as to dividends, the holders of Common Stock at the time outstanding shall be entitled to receive such dividends at such times and in such amounts as the Board of Directors may deem advisable.</w:t>
      </w:r>
    </w:p>
    <w:p>
      <w:pPr>
        <w:spacing w:after="0" w:line="181" w:lineRule="exact"/>
        <w:rPr>
          <w:rFonts w:ascii="Times New Roman" w:cs="Times New Roman" w:eastAsia="Times New Roman" w:hAnsi="Times New Roman"/>
          <w:sz w:val="20"/>
          <w:szCs w:val="20"/>
          <w:color w:val="auto"/>
        </w:rPr>
      </w:pPr>
    </w:p>
    <w:p>
      <w:pPr>
        <w:jc w:val="both"/>
        <w:ind w:firstLine="8"/>
        <w:spacing w:after="0" w:line="254" w:lineRule="auto"/>
        <w:tabs>
          <w:tab w:leader="none" w:pos="648" w:val="left"/>
        </w:tabs>
        <w:numPr>
          <w:ilvl w:val="0"/>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Liquidation</w:t>
      </w:r>
      <w:r>
        <w:rPr>
          <w:rFonts w:ascii="Times New Roman" w:cs="Times New Roman" w:eastAsia="Times New Roman" w:hAnsi="Times New Roman"/>
          <w:sz w:val="20"/>
          <w:szCs w:val="20"/>
          <w:color w:val="auto"/>
        </w:rPr>
        <w:t>. In the event of any liquidation, dissolution or winding up (whether voluntary or involuntary) of the Corporation, after payment or provision for the payment of all the liabilities and obligations of the Corporation and all preferential amounts to which the holders of shares at the time outstanding of all classes of stock having prior rights thereto shall be entitled, the remaining net assets of the Corporation shall be distributed ratably among the holders of the shares at the time outstanding of Common Stock.</w:t>
      </w:r>
    </w:p>
    <w:p>
      <w:pPr>
        <w:spacing w:after="0" w:line="187" w:lineRule="exact"/>
        <w:rPr>
          <w:rFonts w:ascii="Times New Roman" w:cs="Times New Roman" w:eastAsia="Times New Roman" w:hAnsi="Times New Roman"/>
          <w:sz w:val="20"/>
          <w:szCs w:val="20"/>
          <w:color w:val="auto"/>
        </w:rPr>
      </w:pPr>
    </w:p>
    <w:p>
      <w:pPr>
        <w:jc w:val="both"/>
        <w:ind w:firstLine="8"/>
        <w:spacing w:after="0" w:line="261" w:lineRule="auto"/>
        <w:tabs>
          <w:tab w:leader="none" w:pos="648" w:val="left"/>
        </w:tabs>
        <w:numPr>
          <w:ilvl w:val="0"/>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Voting</w:t>
      </w:r>
      <w:r>
        <w:rPr>
          <w:rFonts w:ascii="Times New Roman" w:cs="Times New Roman" w:eastAsia="Times New Roman" w:hAnsi="Times New Roman"/>
          <w:sz w:val="20"/>
          <w:szCs w:val="20"/>
          <w:color w:val="auto"/>
        </w:rPr>
        <w:t>. Except to the extent to which the Board of Directors shall have specified voting power with respect to any other class of stock and except as otherwise provided by law, the exclusive voting power shall be vested in the Common Stock, the holder thereof being entitled to one vote for each share of Common Stock at all meetings of the shareholders of the Corporation.</w:t>
      </w:r>
    </w:p>
    <w:p>
      <w:pPr>
        <w:spacing w:after="0" w:line="177" w:lineRule="exact"/>
        <w:rPr>
          <w:sz w:val="20"/>
          <w:szCs w:val="20"/>
          <w:color w:val="auto"/>
        </w:rPr>
      </w:pPr>
    </w:p>
    <w:p>
      <w:pPr>
        <w:jc w:val="center"/>
        <w:ind w:left="4080"/>
        <w:spacing w:after="0"/>
        <w:tabs>
          <w:tab w:leader="none" w:pos="300" w:val="left"/>
        </w:tabs>
        <w:rPr>
          <w:sz w:val="20"/>
          <w:szCs w:val="20"/>
          <w:color w:val="auto"/>
        </w:rPr>
      </w:pPr>
      <w:r>
        <w:rPr>
          <w:rFonts w:ascii="Times New Roman" w:cs="Times New Roman" w:eastAsia="Times New Roman" w:hAnsi="Times New Roman"/>
          <w:sz w:val="20"/>
          <w:szCs w:val="20"/>
          <w:b w:val="1"/>
          <w:bCs w:val="1"/>
          <w:color w:val="auto"/>
        </w:rPr>
        <w:t>IV.</w:t>
        <w:tab/>
        <w:t>NO PREEMPTIVE RIGHTS</w:t>
      </w:r>
    </w:p>
    <w:p>
      <w:pPr>
        <w:spacing w:after="0" w:line="220"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20"/>
          <w:szCs w:val="20"/>
          <w:color w:val="auto"/>
        </w:rPr>
        <w:t>No holder of shares of the capital stock of the Corporation of any class shall have any preemptive or preferential right to subscribe to or purchase (i) any shares of capital stock of the Corporation, (ii) any securities convertible into such shares or (iii) any options, warrants or rights to purchase such shares or securities convertible into any such shares.</w:t>
      </w:r>
    </w:p>
    <w:p>
      <w:pPr>
        <w:spacing w:after="0" w:line="184" w:lineRule="exact"/>
        <w:rPr>
          <w:sz w:val="20"/>
          <w:szCs w:val="20"/>
          <w:color w:val="auto"/>
        </w:rPr>
      </w:pPr>
    </w:p>
    <w:p>
      <w:pPr>
        <w:ind w:left="4700" w:hanging="569"/>
        <w:spacing w:after="0"/>
        <w:tabs>
          <w:tab w:leader="none" w:pos="4700" w:val="left"/>
        </w:tabs>
        <w:numPr>
          <w:ilvl w:val="0"/>
          <w:numId w:val="3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PURPOSES AND POWERS</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The purposes and powers of this Corporation are:</w:t>
      </w:r>
    </w:p>
    <w:p>
      <w:pPr>
        <w:spacing w:after="0" w:line="243" w:lineRule="exact"/>
        <w:rPr>
          <w:sz w:val="20"/>
          <w:szCs w:val="20"/>
          <w:color w:val="auto"/>
        </w:rPr>
      </w:pPr>
    </w:p>
    <w:p>
      <w:pPr>
        <w:ind w:left="660" w:hanging="652"/>
        <w:spacing w:after="0"/>
        <w:tabs>
          <w:tab w:leader="none" w:pos="660" w:val="left"/>
        </w:tabs>
        <w:numPr>
          <w:ilvl w:val="0"/>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operate as a state bank within the meaning of Chapter 8, Title 6.2 of the Code, and any act amendatory thereof or in substitute</w:t>
      </w:r>
    </w:p>
    <w:p>
      <w:pPr>
        <w:spacing w:after="0" w:line="28" w:lineRule="exact"/>
        <w:rPr>
          <w:rFonts w:ascii="Times New Roman" w:cs="Times New Roman" w:eastAsia="Times New Roman" w:hAnsi="Times New Roman"/>
          <w:sz w:val="20"/>
          <w:szCs w:val="20"/>
          <w:color w:val="auto"/>
        </w:rPr>
      </w:pP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thereof.</w:t>
      </w:r>
    </w:p>
    <w:p>
      <w:pPr>
        <w:spacing w:after="0" w:line="200" w:lineRule="exact"/>
        <w:rPr>
          <w:rFonts w:ascii="Times New Roman" w:cs="Times New Roman" w:eastAsia="Times New Roman" w:hAnsi="Times New Roman"/>
          <w:sz w:val="20"/>
          <w:szCs w:val="20"/>
          <w:color w:val="auto"/>
        </w:rPr>
      </w:pPr>
    </w:p>
    <w:p>
      <w:pPr>
        <w:jc w:val="both"/>
        <w:ind w:firstLine="8"/>
        <w:spacing w:after="0" w:line="268" w:lineRule="auto"/>
        <w:tabs>
          <w:tab w:leader="none" w:pos="648" w:val="left"/>
        </w:tabs>
        <w:numPr>
          <w:ilvl w:val="0"/>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do all things lawful, necessary, appropriate or incidental to the accomplishment of the purposes set forth above and to have and exercise all lawful powers conferred on corporations, andbe subject to all restrictions imposed on corporations, by the Virginia Stock Corporation Act, except as otherwise provided by Chapter 8, Title 6.2 of the Code.</w:t>
      </w:r>
    </w:p>
    <w:p>
      <w:pPr>
        <w:spacing w:after="0" w:line="161" w:lineRule="exact"/>
        <w:rPr>
          <w:rFonts w:ascii="Times New Roman" w:cs="Times New Roman" w:eastAsia="Times New Roman" w:hAnsi="Times New Roman"/>
          <w:sz w:val="20"/>
          <w:szCs w:val="20"/>
          <w:color w:val="auto"/>
        </w:rPr>
      </w:pPr>
    </w:p>
    <w:p>
      <w:pPr>
        <w:ind w:right="20" w:firstLine="8"/>
        <w:spacing w:after="0" w:line="283" w:lineRule="auto"/>
        <w:tabs>
          <w:tab w:leader="none" w:pos="648" w:val="left"/>
        </w:tabs>
        <w:numPr>
          <w:ilvl w:val="0"/>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further transact any or all lawful business for which banking institutions may be incorporated under the laws of the Commonwealth of Virginia.</w:t>
      </w:r>
    </w:p>
    <w:p>
      <w:pPr>
        <w:spacing w:after="0" w:line="146" w:lineRule="exact"/>
        <w:rPr>
          <w:rFonts w:ascii="Times New Roman" w:cs="Times New Roman" w:eastAsia="Times New Roman" w:hAnsi="Times New Roman"/>
          <w:sz w:val="20"/>
          <w:szCs w:val="20"/>
          <w:color w:val="auto"/>
        </w:rPr>
      </w:pPr>
    </w:p>
    <w:p>
      <w:pPr>
        <w:jc w:val="both"/>
        <w:ind w:firstLine="8"/>
        <w:spacing w:after="0" w:line="258" w:lineRule="auto"/>
        <w:tabs>
          <w:tab w:leader="none" w:pos="648" w:val="left"/>
        </w:tabs>
        <w:numPr>
          <w:ilvl w:val="0"/>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have all rights, powers, and privileges granted and accorded to trust companies under and by virtue of the laws of the Commonwealth of Virginia and the provisions of Chapter 10, Title 6.2 of the Code, as amended, and, for the purpose of exercising and administering such trust powers, to establish a trust department separate from the commercial banking or savings department of the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w:t>
      </w:r>
    </w:p>
    <w:p>
      <w:pPr>
        <w:sectPr>
          <w:pgSz w:w="11900" w:h="16838" w:orient="portrait"/>
          <w:cols w:equalWidth="0" w:num="1">
            <w:col w:w="11240"/>
          </w:cols>
          <w:pgMar w:left="320" w:top="1440" w:right="339" w:bottom="1440" w:gutter="0" w:footer="0" w:header="0"/>
        </w:sectPr>
      </w:pPr>
    </w:p>
    <w:bookmarkStart w:id="87" w:name="page88"/>
    <w:bookmarkEnd w:id="87"/>
    <w:p>
      <w:pPr>
        <w:spacing w:after="0" w:line="216" w:lineRule="exact"/>
        <w:rPr>
          <w:sz w:val="20"/>
          <w:szCs w:val="20"/>
          <w:color w:val="auto"/>
        </w:rPr>
      </w:pPr>
    </w:p>
    <w:p>
      <w:pPr>
        <w:jc w:val="both"/>
        <w:ind w:firstLine="8"/>
        <w:spacing w:after="0" w:line="258" w:lineRule="auto"/>
        <w:tabs>
          <w:tab w:leader="none" w:pos="648"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have all rights, powers, and privileges necessary and convenient to enable the Corporation by its offices and/or its designated employees to offer, sell, and issue insurance to customers of the Corporation and to do all acts necessary and convenient incidental thereto and to do such things as may be required by the regulations and requirements of the Bureau of Insurance, State Corporation Commission, Commonwealth of Virginia.</w:t>
      </w:r>
    </w:p>
    <w:p>
      <w:pPr>
        <w:spacing w:after="0" w:line="172" w:lineRule="exact"/>
        <w:rPr>
          <w:rFonts w:ascii="Times New Roman" w:cs="Times New Roman" w:eastAsia="Times New Roman" w:hAnsi="Times New Roman"/>
          <w:sz w:val="20"/>
          <w:szCs w:val="20"/>
          <w:color w:val="auto"/>
        </w:rPr>
      </w:pPr>
    </w:p>
    <w:p>
      <w:pPr>
        <w:jc w:val="both"/>
        <w:ind w:firstLine="8"/>
        <w:spacing w:after="0" w:line="257" w:lineRule="auto"/>
        <w:tabs>
          <w:tab w:leader="none" w:pos="648"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he objects, powers and purposes specified in any clause or paragraph above shall be construed as objects and powers in furtherance and not in limitation of the general powers conferred upon corporations by the laws of the Commonwealth of Virginia, and it is hereby expressly provided that the foregoing enumeration of specific powers shall in no way limit or restrict any other power, object or purpose of the Corporation or in any manner affect any general powers of authority of the Corporation, subject to the laws of the Commonwealth of Virginia regarding banking institutions.</w:t>
      </w:r>
    </w:p>
    <w:p>
      <w:pPr>
        <w:spacing w:after="0" w:line="169" w:lineRule="exact"/>
        <w:rPr>
          <w:sz w:val="20"/>
          <w:szCs w:val="20"/>
          <w:color w:val="auto"/>
        </w:rPr>
      </w:pPr>
    </w:p>
    <w:p>
      <w:pPr>
        <w:ind w:left="4220"/>
        <w:spacing w:after="0"/>
        <w:tabs>
          <w:tab w:leader="none" w:pos="4800" w:val="left"/>
        </w:tabs>
        <w:rPr>
          <w:sz w:val="20"/>
          <w:szCs w:val="20"/>
          <w:color w:val="auto"/>
        </w:rPr>
      </w:pPr>
      <w:r>
        <w:rPr>
          <w:rFonts w:ascii="Times New Roman" w:cs="Times New Roman" w:eastAsia="Times New Roman" w:hAnsi="Times New Roman"/>
          <w:sz w:val="20"/>
          <w:szCs w:val="20"/>
          <w:b w:val="1"/>
          <w:bCs w:val="1"/>
          <w:color w:val="auto"/>
        </w:rPr>
        <w:t>VI.</w:t>
        <w:tab/>
        <w:t>PERIOD OF DURATION</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The period of duration of this Corporation shall be unlimited.</w:t>
      </w:r>
    </w:p>
    <w:p>
      <w:pPr>
        <w:spacing w:after="0" w:line="252" w:lineRule="exact"/>
        <w:rPr>
          <w:sz w:val="20"/>
          <w:szCs w:val="20"/>
          <w:color w:val="auto"/>
        </w:rPr>
      </w:pPr>
    </w:p>
    <w:p>
      <w:pPr>
        <w:jc w:val="center"/>
        <w:ind w:left="3960"/>
        <w:spacing w:after="0"/>
        <w:tabs>
          <w:tab w:leader="none" w:pos="240" w:val="left"/>
        </w:tabs>
        <w:rPr>
          <w:sz w:val="20"/>
          <w:szCs w:val="20"/>
          <w:color w:val="auto"/>
        </w:rPr>
      </w:pPr>
      <w:r>
        <w:rPr>
          <w:rFonts w:ascii="Times New Roman" w:cs="Times New Roman" w:eastAsia="Times New Roman" w:hAnsi="Times New Roman"/>
          <w:sz w:val="20"/>
          <w:szCs w:val="20"/>
          <w:b w:val="1"/>
          <w:bCs w:val="1"/>
          <w:color w:val="auto"/>
        </w:rPr>
        <w:t>VII.</w:t>
        <w:tab/>
        <w:t>OFFICERS AND DIRECTORS</w:t>
      </w:r>
    </w:p>
    <w:p>
      <w:pPr>
        <w:spacing w:after="0" w:line="22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The number of directors shall be not less than five or more than fifteen. The number of directors may be increased or decreased from time to time by amendment to the by-laws. Directors of the Corporation may be removed by shareholders of the Corporation only for cause and with the affirmative vote of at least two-thirds of the outstanding shares entitled to vote.</w:t>
      </w:r>
    </w:p>
    <w:p>
      <w:pPr>
        <w:spacing w:after="0" w:line="208"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The Corporation shall have such officers with such titles and duties as shall be described in the bylaws or in a resolution of the board of directors that is in accordance with the bylaws.</w:t>
      </w:r>
    </w:p>
    <w:p>
      <w:pPr>
        <w:spacing w:after="0" w:line="169" w:lineRule="exact"/>
        <w:rPr>
          <w:sz w:val="20"/>
          <w:szCs w:val="20"/>
          <w:color w:val="auto"/>
        </w:rPr>
      </w:pPr>
    </w:p>
    <w:p>
      <w:pPr>
        <w:jc w:val="center"/>
        <w:spacing w:after="0"/>
        <w:tabs>
          <w:tab w:leader="none" w:pos="160" w:val="left"/>
        </w:tabs>
        <w:rPr>
          <w:sz w:val="20"/>
          <w:szCs w:val="20"/>
          <w:color w:val="auto"/>
        </w:rPr>
      </w:pPr>
      <w:r>
        <w:rPr>
          <w:rFonts w:ascii="Times New Roman" w:cs="Times New Roman" w:eastAsia="Times New Roman" w:hAnsi="Times New Roman"/>
          <w:sz w:val="20"/>
          <w:szCs w:val="20"/>
          <w:b w:val="1"/>
          <w:bCs w:val="1"/>
          <w:color w:val="auto"/>
        </w:rPr>
        <w:t>VIII.</w:t>
      </w:r>
      <w:r>
        <w:rPr>
          <w:sz w:val="20"/>
          <w:szCs w:val="20"/>
          <w:color w:val="auto"/>
        </w:rPr>
        <w:tab/>
      </w:r>
      <w:r>
        <w:rPr>
          <w:rFonts w:ascii="Times New Roman" w:cs="Times New Roman" w:eastAsia="Times New Roman" w:hAnsi="Times New Roman"/>
          <w:sz w:val="19"/>
          <w:szCs w:val="19"/>
          <w:b w:val="1"/>
          <w:bCs w:val="1"/>
          <w:color w:val="auto"/>
        </w:rPr>
        <w:t>INDEMNIFICATION AND ELIMINATION OF LIABILITY</w:t>
      </w:r>
    </w:p>
    <w:p>
      <w:pPr>
        <w:spacing w:after="0" w:line="233" w:lineRule="exact"/>
        <w:rPr>
          <w:sz w:val="20"/>
          <w:szCs w:val="20"/>
          <w:color w:val="auto"/>
        </w:rPr>
      </w:pPr>
    </w:p>
    <w:p>
      <w:pPr>
        <w:jc w:val="both"/>
        <w:ind w:firstLine="8"/>
        <w:spacing w:after="0" w:line="251" w:lineRule="auto"/>
        <w:tabs>
          <w:tab w:leader="none" w:pos="648" w:val="left"/>
        </w:tabs>
        <w:numPr>
          <w:ilvl w:val="0"/>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Indemnification of Directors and Officers</w:t>
      </w:r>
      <w:r>
        <w:rPr>
          <w:rFonts w:ascii="Times New Roman" w:cs="Times New Roman" w:eastAsia="Times New Roman" w:hAnsi="Times New Roman"/>
          <w:sz w:val="20"/>
          <w:szCs w:val="20"/>
          <w:color w:val="auto"/>
        </w:rPr>
        <w:t>. Except as provided in Section 2 of this Article, the Corporation shall indemnify every individual made a party to a proceeding because he or she is or was a director or officer against liability incurred in the proceeding if: (i) he or she conducted himself or herself in good faith; and (ii) he or she believed, in the case of conduct in his or her official capacity with the Corporation, that his or her conduct was in its best interests and, in all other cases, that his or her conduct was at least not opposed to its best interests (or in the case of conduct with respect to an employee benefit plan, that his or her conduct was for a purpose he or she believed to be in the interests of the participants of and beneficiaries of the plan); and (iii) he or she had no reasonable cause to believe, in the case of any criminal proceeding, that his or her conduct was unlawful.</w:t>
      </w:r>
    </w:p>
    <w:p>
      <w:pPr>
        <w:spacing w:after="0" w:line="192" w:lineRule="exact"/>
        <w:rPr>
          <w:rFonts w:ascii="Times New Roman" w:cs="Times New Roman" w:eastAsia="Times New Roman" w:hAnsi="Times New Roman"/>
          <w:sz w:val="20"/>
          <w:szCs w:val="20"/>
          <w:color w:val="auto"/>
        </w:rPr>
      </w:pPr>
    </w:p>
    <w:p>
      <w:pPr>
        <w:jc w:val="both"/>
        <w:ind w:firstLine="8"/>
        <w:spacing w:after="0" w:line="258" w:lineRule="auto"/>
        <w:tabs>
          <w:tab w:leader="none" w:pos="648" w:val="left"/>
        </w:tabs>
        <w:numPr>
          <w:ilvl w:val="0"/>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Indemnification Not Permitted</w:t>
      </w:r>
      <w:r>
        <w:rPr>
          <w:rFonts w:ascii="Times New Roman" w:cs="Times New Roman" w:eastAsia="Times New Roman" w:hAnsi="Times New Roman"/>
          <w:sz w:val="20"/>
          <w:szCs w:val="20"/>
          <w:color w:val="auto"/>
        </w:rPr>
        <w:t>. The Corporation shall not indemnify any individual against his or her willful misconduct or a knowing violation of the criminal law or against any liability incurred by him or her in any proceeding charging improper personal benefit to him or her, whether or not by or in the right of the Corporation or involving action in his or her official capacity, in which he or she was adjudged liable by a court of competent jurisdiction on the basis that personal benefit was improperly received by him or her.</w:t>
      </w:r>
    </w:p>
    <w:p>
      <w:pPr>
        <w:spacing w:after="0" w:line="172" w:lineRule="exact"/>
        <w:rPr>
          <w:rFonts w:ascii="Times New Roman" w:cs="Times New Roman" w:eastAsia="Times New Roman" w:hAnsi="Times New Roman"/>
          <w:sz w:val="20"/>
          <w:szCs w:val="20"/>
          <w:color w:val="auto"/>
        </w:rPr>
      </w:pPr>
    </w:p>
    <w:p>
      <w:pPr>
        <w:ind w:firstLine="8"/>
        <w:spacing w:after="0" w:line="283" w:lineRule="auto"/>
        <w:tabs>
          <w:tab w:leader="none" w:pos="648" w:val="left"/>
        </w:tabs>
        <w:numPr>
          <w:ilvl w:val="0"/>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Effect of Judgment or Conviction</w:t>
      </w:r>
      <w:r>
        <w:rPr>
          <w:rFonts w:ascii="Times New Roman" w:cs="Times New Roman" w:eastAsia="Times New Roman" w:hAnsi="Times New Roman"/>
          <w:sz w:val="20"/>
          <w:szCs w:val="20"/>
          <w:color w:val="auto"/>
        </w:rPr>
        <w:t>. The termination of a proceeding by judgment, order, settlement or conviction is not, of itself, determinative that an individual did not meet the standard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w:t>
      </w:r>
    </w:p>
    <w:p>
      <w:pPr>
        <w:sectPr>
          <w:pgSz w:w="11900" w:h="16838" w:orient="portrait"/>
          <w:cols w:equalWidth="0" w:num="1">
            <w:col w:w="11240"/>
          </w:cols>
          <w:pgMar w:left="320" w:top="1440" w:right="339" w:bottom="1440" w:gutter="0" w:footer="0" w:header="0"/>
        </w:sectPr>
      </w:pPr>
    </w:p>
    <w:bookmarkStart w:id="88" w:name="page89"/>
    <w:bookmarkEnd w:id="88"/>
    <w:p>
      <w:pPr>
        <w:spacing w:after="0" w:line="216" w:lineRule="exact"/>
        <w:rPr>
          <w:sz w:val="20"/>
          <w:szCs w:val="20"/>
          <w:color w:val="auto"/>
        </w:rPr>
      </w:pPr>
    </w:p>
    <w:p>
      <w:pPr>
        <w:spacing w:after="0" w:line="283" w:lineRule="auto"/>
        <w:rPr>
          <w:sz w:val="20"/>
          <w:szCs w:val="20"/>
          <w:color w:val="auto"/>
        </w:rPr>
      </w:pPr>
      <w:r>
        <w:rPr>
          <w:rFonts w:ascii="Times New Roman" w:cs="Times New Roman" w:eastAsia="Times New Roman" w:hAnsi="Times New Roman"/>
          <w:sz w:val="20"/>
          <w:szCs w:val="20"/>
          <w:color w:val="auto"/>
        </w:rPr>
        <w:t>conduct set forth in Section 1 of this Article or that the conduct of such individual constituted willful misconduct or a knowing violation of the criminal law.</w:t>
      </w:r>
    </w:p>
    <w:p>
      <w:pPr>
        <w:spacing w:after="0" w:line="146" w:lineRule="exact"/>
        <w:rPr>
          <w:sz w:val="20"/>
          <w:szCs w:val="20"/>
          <w:color w:val="auto"/>
        </w:rPr>
      </w:pPr>
    </w:p>
    <w:p>
      <w:pPr>
        <w:jc w:val="both"/>
        <w:ind w:firstLine="8"/>
        <w:spacing w:after="0" w:line="253" w:lineRule="auto"/>
        <w:tabs>
          <w:tab w:leader="none" w:pos="648" w:val="left"/>
        </w:tabs>
        <w:numPr>
          <w:ilvl w:val="0"/>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Determination and Authorization</w:t>
      </w:r>
      <w:r>
        <w:rPr>
          <w:rFonts w:ascii="Times New Roman" w:cs="Times New Roman" w:eastAsia="Times New Roman" w:hAnsi="Times New Roman"/>
          <w:sz w:val="20"/>
          <w:szCs w:val="20"/>
          <w:color w:val="auto"/>
        </w:rPr>
        <w:t>. Unless ordered by a court of competent jurisdiction, any indemnification under Section 1 of this Article shall be made by the Corporation only as authorized in the specific case upon a determination that indemnification of the individual is permissible in the circumstances because: (i) he or she met the standard of conduct set forth in Section 1 of this Article and, with respect to a proceeding by or in the right of the Corporation in which such individual was adjudged liable to the Corporation, he or she is fairly and reasonably entitled to indemnification in view of all of the relevant circumstances even though he or she was adjudged liable; and (ii) the conduct of such individual did not constitute willful misconduct or a knowing violation of the criminal law.</w:t>
      </w:r>
    </w:p>
    <w:p>
      <w:pPr>
        <w:spacing w:after="0" w:line="192"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0"/>
          <w:szCs w:val="20"/>
          <w:color w:val="auto"/>
        </w:rPr>
        <w:t>Such determination shall be made: (i) by the board of directors by a majority vote of a quorum consisting of directors not at the time parties to the proceeding; or (ii) if such a quorum cannot be obtained, by a majority vote of a committee duly designated by the board of directors (in which designation directors who are parties may participate), consisting solely of two or more directors not at the time parties to the proceeding; or (iii) by special legal counsel selected by the board of directors or its committee in the manner heretofore provided or, if such a quorum of the board of directors cannot be obtained and such a committee cannot be designated, selected by a majority vote of the board of directors (in which selection directors who are parties may participate); or (iv) by the shareholders, but shares owned by or voted under the control of individuals who are at the time parties to the proceeding may not be voted on the determination. Authorization of indemnification, evaluation as to reasonableness of expenses and determination and authorization of advancements for expenses shall be made in the same manner as the determination that indemnification is permissible, except that if the determination is made by special legal counsel, authorization of indemnification and evaluation as to reasonableness of expenses shall be made by those selecting such counsel.</w:t>
      </w:r>
    </w:p>
    <w:p>
      <w:pPr>
        <w:spacing w:after="0" w:line="223" w:lineRule="exact"/>
        <w:rPr>
          <w:sz w:val="20"/>
          <w:szCs w:val="20"/>
          <w:color w:val="auto"/>
        </w:rPr>
      </w:pPr>
    </w:p>
    <w:p>
      <w:pPr>
        <w:jc w:val="both"/>
        <w:ind w:firstLine="8"/>
        <w:spacing w:after="0" w:line="251" w:lineRule="auto"/>
        <w:tabs>
          <w:tab w:leader="none" w:pos="648" w:val="left"/>
        </w:tabs>
        <w:numPr>
          <w:ilvl w:val="0"/>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Advance for Expenses</w:t>
      </w:r>
      <w:r>
        <w:rPr>
          <w:rFonts w:ascii="Times New Roman" w:cs="Times New Roman" w:eastAsia="Times New Roman" w:hAnsi="Times New Roman"/>
          <w:sz w:val="20"/>
          <w:szCs w:val="20"/>
          <w:color w:val="auto"/>
        </w:rPr>
        <w:t>. The Corporation may pay for or reimburse the reasonable expenses incurred by any individual who is a party to a proceeding in advance of final disposition of the proceeding if: (i) he or she furnished the Corporation a written statement of his or her good faith belief that he or she has met the standard of conduct described in Section 1 of this Article and a written undertaking, executed personally or on his or her behalf, to repay the advance if it is ultimately determined that indemnification of such individual in the specific case is not permissible; and (ii) a determination is made that the facts then known to those making the determination would not preclude indemnification under this Article. An undertaking furnished to the Corporation in accordance with the provisions of this Section shall be an unlimited general obligation of the individual furnishing the same but need not be secured and may be accepted by the Corporation without reference to financial ability to make repayment.</w:t>
      </w:r>
    </w:p>
    <w:p>
      <w:pPr>
        <w:spacing w:after="0" w:line="181" w:lineRule="exact"/>
        <w:rPr>
          <w:rFonts w:ascii="Times New Roman" w:cs="Times New Roman" w:eastAsia="Times New Roman" w:hAnsi="Times New Roman"/>
          <w:sz w:val="20"/>
          <w:szCs w:val="20"/>
          <w:color w:val="auto"/>
        </w:rPr>
      </w:pPr>
    </w:p>
    <w:p>
      <w:pPr>
        <w:ind w:firstLine="8"/>
        <w:spacing w:after="0" w:line="283" w:lineRule="auto"/>
        <w:tabs>
          <w:tab w:leader="none" w:pos="648" w:val="left"/>
        </w:tabs>
        <w:numPr>
          <w:ilvl w:val="0"/>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Indemnification of Employees and Agents</w:t>
      </w:r>
      <w:r>
        <w:rPr>
          <w:rFonts w:ascii="Times New Roman" w:cs="Times New Roman" w:eastAsia="Times New Roman" w:hAnsi="Times New Roman"/>
          <w:sz w:val="20"/>
          <w:szCs w:val="20"/>
          <w:color w:val="auto"/>
        </w:rPr>
        <w:t>. The Corporation may, but shall not be required to, indemnify and advance expenses to employees and agents of the Corporation to the same extent as provided in this Article with respect to directors and officers.</w:t>
      </w:r>
    </w:p>
    <w:p>
      <w:pPr>
        <w:spacing w:after="0" w:line="159" w:lineRule="exact"/>
        <w:rPr>
          <w:rFonts w:ascii="Times New Roman" w:cs="Times New Roman" w:eastAsia="Times New Roman" w:hAnsi="Times New Roman"/>
          <w:sz w:val="20"/>
          <w:szCs w:val="20"/>
          <w:color w:val="auto"/>
        </w:rPr>
      </w:pPr>
    </w:p>
    <w:p>
      <w:pPr>
        <w:jc w:val="both"/>
        <w:ind w:firstLine="8"/>
        <w:spacing w:after="0" w:line="261" w:lineRule="auto"/>
        <w:tabs>
          <w:tab w:leader="none" w:pos="648" w:val="left"/>
        </w:tabs>
        <w:numPr>
          <w:ilvl w:val="0"/>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Elimination of Liability of Directors and Officers</w:t>
      </w:r>
      <w:r>
        <w:rPr>
          <w:rFonts w:ascii="Times New Roman" w:cs="Times New Roman" w:eastAsia="Times New Roman" w:hAnsi="Times New Roman"/>
          <w:sz w:val="20"/>
          <w:szCs w:val="20"/>
          <w:color w:val="auto"/>
        </w:rPr>
        <w:t>. Except as provided in Section 8 of this Article, in any proceeding brought by or in the right of the Corporation or brought by or on behalf of shareholders of the Corporation, a director or officer of the Corporation shall not be liable in any monetary amount for damages arising out of or resulting from a single transaction, occurrence or course of conduct.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w:t>
      </w:r>
    </w:p>
    <w:p>
      <w:pPr>
        <w:sectPr>
          <w:pgSz w:w="11900" w:h="16838" w:orient="portrait"/>
          <w:cols w:equalWidth="0" w:num="1">
            <w:col w:w="11240"/>
          </w:cols>
          <w:pgMar w:left="320" w:top="1440" w:right="339" w:bottom="1440" w:gutter="0" w:footer="0" w:header="0"/>
        </w:sectPr>
      </w:pPr>
    </w:p>
    <w:bookmarkStart w:id="89" w:name="page90"/>
    <w:bookmarkEnd w:id="89"/>
    <w:p>
      <w:pPr>
        <w:spacing w:after="0" w:line="216" w:lineRule="exact"/>
        <w:rPr>
          <w:sz w:val="20"/>
          <w:szCs w:val="20"/>
          <w:color w:val="auto"/>
        </w:rPr>
      </w:pPr>
    </w:p>
    <w:p>
      <w:pPr>
        <w:jc w:val="both"/>
        <w:ind w:firstLine="8"/>
        <w:spacing w:after="0" w:line="258" w:lineRule="auto"/>
        <w:tabs>
          <w:tab w:leader="none" w:pos="648" w:val="left"/>
        </w:tabs>
        <w:numPr>
          <w:ilvl w:val="0"/>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Liability of Directors and Officers Not Eliminated</w:t>
      </w:r>
      <w:r>
        <w:rPr>
          <w:rFonts w:ascii="Times New Roman" w:cs="Times New Roman" w:eastAsia="Times New Roman" w:hAnsi="Times New Roman"/>
          <w:sz w:val="20"/>
          <w:szCs w:val="20"/>
          <w:color w:val="auto"/>
        </w:rPr>
        <w:t>. The liability of a director or officer shall not be eliminated in accordance with the provisions of Section 7 of this Article if the director or officer engaged in willful misconduct or a knowing violation of the criminal law or of any federal or state securities law, including without limitation, any claim of unlawful insider trading or manipulation of the market for any security.</w:t>
      </w:r>
    </w:p>
    <w:p>
      <w:pPr>
        <w:spacing w:after="0" w:line="172" w:lineRule="exact"/>
        <w:rPr>
          <w:rFonts w:ascii="Times New Roman" w:cs="Times New Roman" w:eastAsia="Times New Roman" w:hAnsi="Times New Roman"/>
          <w:sz w:val="20"/>
          <w:szCs w:val="20"/>
          <w:color w:val="auto"/>
        </w:rPr>
      </w:pPr>
    </w:p>
    <w:p>
      <w:pPr>
        <w:ind w:left="660" w:hanging="652"/>
        <w:spacing w:after="0"/>
        <w:tabs>
          <w:tab w:leader="none" w:pos="660" w:val="left"/>
        </w:tabs>
        <w:numPr>
          <w:ilvl w:val="0"/>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Definitions</w:t>
      </w:r>
      <w:r>
        <w:rPr>
          <w:rFonts w:ascii="Times New Roman" w:cs="Times New Roman" w:eastAsia="Times New Roman" w:hAnsi="Times New Roman"/>
          <w:sz w:val="20"/>
          <w:szCs w:val="20"/>
          <w:color w:val="auto"/>
        </w:rPr>
        <w:t>. In this Article:</w:t>
      </w:r>
    </w:p>
    <w:p>
      <w:pPr>
        <w:spacing w:after="0" w:line="229" w:lineRule="exact"/>
        <w:rPr>
          <w:rFonts w:ascii="Times New Roman" w:cs="Times New Roman" w:eastAsia="Times New Roman" w:hAnsi="Times New Roman"/>
          <w:sz w:val="20"/>
          <w:szCs w:val="20"/>
          <w:color w:val="auto"/>
        </w:rPr>
      </w:pPr>
    </w:p>
    <w:p>
      <w:pPr>
        <w:jc w:val="both"/>
        <w:ind w:firstLine="656"/>
        <w:spacing w:after="0" w:line="253" w:lineRule="auto"/>
        <w:tabs>
          <w:tab w:leader="none" w:pos="1286" w:val="left"/>
        </w:tabs>
        <w:numPr>
          <w:ilvl w:val="1"/>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“Director” and “officer” mean an individual who is or was a director or officer of the Corporation, as the case may be, or who, while a director or officer of the Corporation is or was serving at the Corporation's request as a director, officer, partner, trustee, employee or agent of another foreign or domestic corporation, partnership, joint venture, trust, employee benefit plan or other enterprise. A director or officer shall be considered to be serving an employee benefit plan at the Corporation's request if his or her duties to the Corporation also impose duties on, or otherwise involve services by, him or her to the plan or to participants in or beneficiaries of the plan.</w:t>
      </w:r>
    </w:p>
    <w:p>
      <w:pPr>
        <w:spacing w:after="0" w:line="191" w:lineRule="exact"/>
        <w:rPr>
          <w:rFonts w:ascii="Times New Roman" w:cs="Times New Roman" w:eastAsia="Times New Roman" w:hAnsi="Times New Roman"/>
          <w:sz w:val="20"/>
          <w:szCs w:val="20"/>
          <w:color w:val="auto"/>
        </w:rPr>
      </w:pPr>
    </w:p>
    <w:p>
      <w:pPr>
        <w:ind w:firstLine="656"/>
        <w:spacing w:after="0" w:line="283" w:lineRule="auto"/>
        <w:tabs>
          <w:tab w:leader="none" w:pos="1284" w:val="left"/>
        </w:tabs>
        <w:numPr>
          <w:ilvl w:val="1"/>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“Individual” includes, unless the context requires otherwise, the estate, heirs, executors, personal representatives and administrators of an individual.</w:t>
      </w:r>
    </w:p>
    <w:p>
      <w:pPr>
        <w:spacing w:after="0" w:line="146" w:lineRule="exact"/>
        <w:rPr>
          <w:rFonts w:ascii="Times New Roman" w:cs="Times New Roman" w:eastAsia="Times New Roman" w:hAnsi="Times New Roman"/>
          <w:sz w:val="20"/>
          <w:szCs w:val="20"/>
          <w:color w:val="auto"/>
        </w:rPr>
      </w:pPr>
    </w:p>
    <w:p>
      <w:pPr>
        <w:ind w:firstLine="656"/>
        <w:spacing w:after="0" w:line="283" w:lineRule="auto"/>
        <w:tabs>
          <w:tab w:leader="none" w:pos="1286" w:val="left"/>
        </w:tabs>
        <w:numPr>
          <w:ilvl w:val="1"/>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“Corporation” means Burke &amp; Herbert Bank &amp; Trust Company and any domestic or foreign predecessor entity thereof in a merger or other transaction in which the predecessor's existence ceased upon the consummation of the transaction.</w:t>
      </w:r>
    </w:p>
    <w:p>
      <w:pPr>
        <w:spacing w:after="0" w:line="146"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1"/>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“Expenses” includes but is not limited to counsel fees.</w:t>
      </w:r>
    </w:p>
    <w:p>
      <w:pPr>
        <w:spacing w:after="0" w:line="229" w:lineRule="exact"/>
        <w:rPr>
          <w:rFonts w:ascii="Times New Roman" w:cs="Times New Roman" w:eastAsia="Times New Roman" w:hAnsi="Times New Roman"/>
          <w:sz w:val="20"/>
          <w:szCs w:val="20"/>
          <w:color w:val="auto"/>
        </w:rPr>
      </w:pPr>
    </w:p>
    <w:p>
      <w:pPr>
        <w:ind w:firstLine="656"/>
        <w:spacing w:after="0" w:line="283" w:lineRule="auto"/>
        <w:tabs>
          <w:tab w:leader="none" w:pos="1286" w:val="left"/>
        </w:tabs>
        <w:numPr>
          <w:ilvl w:val="1"/>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“Liability” means the obligation to pay a judgment, settlement, penalty, fine, including any excise tax assessed with respect to an employee benefit plan, or reasonable expenses incurred with respect to a proceeding.</w:t>
      </w:r>
    </w:p>
    <w:p>
      <w:pPr>
        <w:spacing w:after="0" w:line="146" w:lineRule="exact"/>
        <w:rPr>
          <w:rFonts w:ascii="Times New Roman" w:cs="Times New Roman" w:eastAsia="Times New Roman" w:hAnsi="Times New Roman"/>
          <w:sz w:val="20"/>
          <w:szCs w:val="20"/>
          <w:color w:val="auto"/>
        </w:rPr>
      </w:pPr>
    </w:p>
    <w:p>
      <w:pPr>
        <w:jc w:val="both"/>
        <w:ind w:firstLine="656"/>
        <w:spacing w:after="0" w:line="258" w:lineRule="auto"/>
        <w:tabs>
          <w:tab w:leader="none" w:pos="1291" w:val="left"/>
        </w:tabs>
        <w:numPr>
          <w:ilvl w:val="1"/>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“Official capacity” means: (i) when used with respect to a director, the office of director in the Corporation; (ii) when used with respect to an officer, the office in the Corporation held by him or her; or (iii) when used with respect to an employee or agent, the employment or agency relationship undertaken by him or her on behalf of the Corporation. “Official capacity” does not include service for any foreign or domestic corporation or other partnership, joint venture, trust, employee benefit plan or other enterprise.</w:t>
      </w:r>
    </w:p>
    <w:p>
      <w:pPr>
        <w:spacing w:after="0" w:line="172"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1"/>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“Party” includes an individual who was, is or is threatened to be made a named defendant or respondent in a proceeding.</w:t>
      </w:r>
    </w:p>
    <w:p>
      <w:pPr>
        <w:spacing w:after="0" w:line="229" w:lineRule="exact"/>
        <w:rPr>
          <w:rFonts w:ascii="Times New Roman" w:cs="Times New Roman" w:eastAsia="Times New Roman" w:hAnsi="Times New Roman"/>
          <w:sz w:val="20"/>
          <w:szCs w:val="20"/>
          <w:color w:val="auto"/>
        </w:rPr>
      </w:pPr>
    </w:p>
    <w:p>
      <w:pPr>
        <w:ind w:firstLine="656"/>
        <w:spacing w:after="0" w:line="283" w:lineRule="auto"/>
        <w:tabs>
          <w:tab w:leader="none" w:pos="1284" w:val="left"/>
        </w:tabs>
        <w:numPr>
          <w:ilvl w:val="1"/>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“Proceeding” means any threatened, pending or completed action, suit or proceeding, whether civil, criminal, administrative or investigative and whether formal or informal.</w:t>
      </w:r>
    </w:p>
    <w:p>
      <w:pPr>
        <w:spacing w:after="0" w:line="146" w:lineRule="exact"/>
        <w:rPr>
          <w:rFonts w:ascii="Times New Roman" w:cs="Times New Roman" w:eastAsia="Times New Roman" w:hAnsi="Times New Roman"/>
          <w:sz w:val="20"/>
          <w:szCs w:val="20"/>
          <w:color w:val="auto"/>
        </w:rPr>
      </w:pPr>
    </w:p>
    <w:p>
      <w:pPr>
        <w:jc w:val="both"/>
        <w:ind w:firstLine="8"/>
        <w:spacing w:after="0" w:line="257" w:lineRule="auto"/>
        <w:tabs>
          <w:tab w:leader="none" w:pos="639" w:val="left"/>
        </w:tabs>
        <w:numPr>
          <w:ilvl w:val="0"/>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Provisions Not Exclusive</w:t>
      </w:r>
      <w:r>
        <w:rPr>
          <w:rFonts w:ascii="Times New Roman" w:cs="Times New Roman" w:eastAsia="Times New Roman" w:hAnsi="Times New Roman"/>
          <w:sz w:val="20"/>
          <w:szCs w:val="20"/>
          <w:color w:val="auto"/>
        </w:rPr>
        <w:t>. As authorized by the Virginia Stock Corporation Act, the provisions of this Article are in addition to and not in limitation of the specific powers of a corporation to indemnify directors and officers set forth therein. If any provision of this Article shall be adjudicated invalid or unenforceable by a court of competent jurisdiction, such adjudication shall not be deemed to invalidate or otherwise affect any other provision hereof or any power of indemnity which the Corporation may have under the Virginia Stock Corporation Act or other laws of the Commonwealth of Virginia.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w:t>
      </w:r>
    </w:p>
    <w:p>
      <w:pPr>
        <w:sectPr>
          <w:pgSz w:w="11900" w:h="16838" w:orient="portrait"/>
          <w:cols w:equalWidth="0" w:num="1">
            <w:col w:w="11240"/>
          </w:cols>
          <w:pgMar w:left="320" w:top="1440" w:right="339" w:bottom="1440" w:gutter="0" w:footer="0" w:header="0"/>
        </w:sectPr>
      </w:pPr>
    </w:p>
    <w:bookmarkStart w:id="90" w:name="page91"/>
    <w:bookmarkEnd w:id="90"/>
    <w:p>
      <w:pPr>
        <w:spacing w:after="0" w:line="212" w:lineRule="exact"/>
        <w:rPr>
          <w:sz w:val="20"/>
          <w:szCs w:val="20"/>
          <w:color w:val="auto"/>
        </w:rPr>
      </w:pPr>
    </w:p>
    <w:p>
      <w:pPr>
        <w:jc w:val="center"/>
        <w:ind w:left="2540"/>
        <w:spacing w:after="0"/>
        <w:tabs>
          <w:tab w:leader="none" w:pos="300" w:val="left"/>
        </w:tabs>
        <w:rPr>
          <w:sz w:val="20"/>
          <w:szCs w:val="20"/>
          <w:color w:val="auto"/>
        </w:rPr>
      </w:pPr>
      <w:r>
        <w:rPr>
          <w:rFonts w:ascii="Times New Roman" w:cs="Times New Roman" w:eastAsia="Times New Roman" w:hAnsi="Times New Roman"/>
          <w:sz w:val="20"/>
          <w:szCs w:val="20"/>
          <w:b w:val="1"/>
          <w:bCs w:val="1"/>
          <w:color w:val="auto"/>
        </w:rPr>
        <w:t>IX.</w:t>
        <w:tab/>
        <w:t>SHAREHOLDER APPROVAL OF CERTAIN TRANSACTIONS</w:t>
      </w:r>
    </w:p>
    <w:p>
      <w:pPr>
        <w:spacing w:after="0" w:line="233"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0"/>
          <w:szCs w:val="20"/>
          <w:color w:val="auto"/>
        </w:rPr>
        <w:t>An amendment of the Corporation’s Articles of Incorporation, a plan of merger or share exchange, a transaction involving the sale of all or substantially all the Corporation’s assets other than in the regular course of business and a plan of dissolution shall be approved by the vote of a majority of all the votes entitled to be cast on such transactions by each voting group entitled to vote on the transaction at a meeting at which a quorum of the voting group is present, provided that the transaction has been approved and recommended by at least two-thirds of the Directors in office at the time of such approval and recommendation. If the transaction is not so approved and recommended, then the transaction shall be approved by the vote of eighty percent (80%) or more of all the votes entitled to be cast on such transactions by each voting group entitled to vote on the transaction.</w:t>
      </w:r>
    </w:p>
    <w:p>
      <w:pPr>
        <w:spacing w:after="0" w:line="216" w:lineRule="exact"/>
        <w:rPr>
          <w:sz w:val="20"/>
          <w:szCs w:val="20"/>
          <w:color w:val="auto"/>
        </w:rPr>
      </w:pPr>
    </w:p>
    <w:p>
      <w:pPr>
        <w:ind w:left="4260" w:hanging="595"/>
        <w:spacing w:after="0"/>
        <w:tabs>
          <w:tab w:leader="none" w:pos="4260" w:val="left"/>
        </w:tabs>
        <w:numPr>
          <w:ilvl w:val="0"/>
          <w:numId w:val="3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REGISTERED OFFICE AND AGENT</w:t>
      </w:r>
    </w:p>
    <w:p>
      <w:pPr>
        <w:spacing w:after="0" w:line="220"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20"/>
          <w:szCs w:val="20"/>
          <w:color w:val="auto"/>
        </w:rPr>
        <w:t>The initial registered office of the Corporation is 100 S. Fairfax St., Alexandria, Virginia 22314, in the City of Alexandria, Virginia, and the initial registered agent is David P. Boyle, who is a resident of Virginia and the initial director of the Corporation, and whose business address is the same as the address of the Corporation’s initial registered office.</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remainder of page intentionally blank</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w:t>
      </w:r>
    </w:p>
    <w:p>
      <w:pPr>
        <w:sectPr>
          <w:pgSz w:w="11900" w:h="16838" w:orient="portrait"/>
          <w:cols w:equalWidth="0" w:num="1">
            <w:col w:w="11240"/>
          </w:cols>
          <w:pgMar w:left="320" w:top="1440" w:right="339" w:bottom="1440" w:gutter="0" w:footer="0" w:header="0"/>
        </w:sectPr>
      </w:pPr>
    </w:p>
    <w:bookmarkStart w:id="91" w:name="page92"/>
    <w:bookmarkEnd w:id="91"/>
    <w:p>
      <w:pPr>
        <w:ind w:left="660"/>
        <w:spacing w:after="0"/>
        <w:rPr>
          <w:sz w:val="20"/>
          <w:szCs w:val="20"/>
          <w:color w:val="auto"/>
        </w:rPr>
      </w:pPr>
      <w:r>
        <w:rPr>
          <w:rFonts w:ascii="Times New Roman" w:cs="Times New Roman" w:eastAsia="Times New Roman" w:hAnsi="Times New Roman"/>
          <w:sz w:val="19"/>
          <w:szCs w:val="19"/>
          <w:color w:val="auto"/>
        </w:rPr>
        <w:t>IN WITNESS WHEREOF, the undersigned Incorporator has executed these Articles of Incorporation as of the date set forth below.</w:t>
      </w:r>
    </w:p>
    <w:p>
      <w:pPr>
        <w:spacing w:after="0" w:line="200" w:lineRule="exact"/>
        <w:rPr>
          <w:sz w:val="20"/>
          <w:szCs w:val="20"/>
          <w:color w:val="auto"/>
        </w:rPr>
      </w:pPr>
    </w:p>
    <w:p>
      <w:pPr>
        <w:spacing w:after="0" w:line="257" w:lineRule="exact"/>
        <w:rPr>
          <w:sz w:val="20"/>
          <w:szCs w:val="20"/>
          <w:color w:val="auto"/>
        </w:rPr>
      </w:pPr>
    </w:p>
    <w:p>
      <w:pPr>
        <w:spacing w:after="0"/>
        <w:tabs>
          <w:tab w:leader="none" w:pos="2380" w:val="left"/>
        </w:tabs>
        <w:rPr>
          <w:sz w:val="20"/>
          <w:szCs w:val="20"/>
          <w:color w:val="auto"/>
        </w:rPr>
      </w:pPr>
      <w:r>
        <w:rPr>
          <w:rFonts w:ascii="Times New Roman" w:cs="Times New Roman" w:eastAsia="Times New Roman" w:hAnsi="Times New Roman"/>
          <w:sz w:val="20"/>
          <w:szCs w:val="20"/>
          <w:color w:val="auto"/>
        </w:rPr>
        <w:t>DATE: September 13, 2022</w:t>
      </w:r>
      <w:r>
        <w:rPr>
          <w:sz w:val="20"/>
          <w:szCs w:val="20"/>
          <w:color w:val="auto"/>
        </w:rPr>
        <w:tab/>
      </w:r>
      <w:r>
        <w:rPr>
          <w:rFonts w:ascii="Times New Roman" w:cs="Times New Roman" w:eastAsia="Times New Roman" w:hAnsi="Times New Roman"/>
          <w:sz w:val="19"/>
          <w:szCs w:val="19"/>
          <w:color w:val="auto"/>
        </w:rPr>
        <w:t>/s/ Gregory F. Parisi, Esq.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1526540</wp:posOffset>
            </wp:positionH>
            <wp:positionV relativeFrom="paragraph">
              <wp:posOffset>-10795</wp:posOffset>
            </wp:positionV>
            <wp:extent cx="154305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6">
                      <a:extLst>
                        <a:ext uri="{28A0092B-C50C-407E-A947-70E740481C1C}"/>
                      </a:extLst>
                    </a:blip>
                    <a:srcRect/>
                    <a:stretch>
                      <a:fillRect/>
                    </a:stretch>
                  </pic:blipFill>
                  <pic:spPr bwMode="auto">
                    <a:xfrm>
                      <a:off x="0" y="0"/>
                      <a:ext cx="1543050" cy="8255"/>
                    </a:xfrm>
                    <a:prstGeom prst="rect">
                      <a:avLst/>
                    </a:prstGeom>
                    <a:noFill/>
                  </pic:spPr>
                </pic:pic>
              </a:graphicData>
            </a:graphic>
          </wp:anchor>
        </w:drawing>
      </w:r>
    </w:p>
    <w:p>
      <w:pPr>
        <w:spacing w:after="0" w:line="2"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0"/>
          <w:szCs w:val="20"/>
          <w:color w:val="auto"/>
        </w:rPr>
        <w:t>Gregory F. Parisi, Esq.</w:t>
      </w:r>
    </w:p>
    <w:p>
      <w:pPr>
        <w:spacing w:after="0" w:line="6"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0"/>
          <w:szCs w:val="20"/>
          <w:color w:val="auto"/>
        </w:rPr>
        <w:t>Incorporator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Articles of Incorporation of Burke &amp; Herbert Financial Services Corp.</w:t>
      </w:r>
      <w:r>
        <w:rPr>
          <w:rFonts w:ascii="Times New Roman" w:cs="Times New Roman" w:eastAsia="Times New Roman" w:hAnsi="Times New Roman"/>
          <w:sz w:val="18"/>
          <w:szCs w:val="18"/>
          <w:color w:val="auto"/>
        </w:rPr>
        <w:t>]</w:t>
      </w:r>
    </w:p>
    <w:p>
      <w:pPr>
        <w:sectPr>
          <w:pgSz w:w="11900" w:h="16838" w:orient="portrait"/>
          <w:cols w:equalWidth="0" w:num="1">
            <w:col w:w="11060"/>
          </w:cols>
          <w:pgMar w:left="320" w:top="1413" w:right="519" w:bottom="1440" w:gutter="0" w:footer="0" w:header="0"/>
        </w:sectPr>
      </w:pPr>
    </w:p>
    <w:bookmarkStart w:id="92" w:name="page93"/>
    <w:bookmarkEnd w:id="9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2822575</wp:posOffset>
            </wp:positionH>
            <wp:positionV relativeFrom="page">
              <wp:posOffset>88900</wp:posOffset>
            </wp:positionV>
            <wp:extent cx="1903095" cy="7454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7">
                      <a:clrChange>
                        <a:clrFrom>
                          <a:srgbClr val="FFFFFF"/>
                        </a:clrFrom>
                        <a:clrTo>
                          <a:srgbClr val="FFFFFF">
                            <a:alpha val="0"/>
                          </a:srgbClr>
                        </a:clrTo>
                      </a:clrChange>
                      <a:extLst>
                        <a:ext uri="{28A0092B-C50C-407E-A947-70E740481C1C}"/>
                      </a:extLst>
                    </a:blip>
                    <a:srcRect/>
                    <a:stretch>
                      <a:fillRect/>
                    </a:stretch>
                  </pic:blipFill>
                  <pic:spPr bwMode="auto">
                    <a:xfrm>
                      <a:off x="0" y="0"/>
                      <a:ext cx="1903095" cy="7454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ARTICLES OF AMENDMENT TO</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THE ARTICLES OF INCORPORATION OF</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BURKE &amp; HERBERT FINANCIAL SERVICES CORP.</w:t>
      </w:r>
    </w:p>
    <w:p>
      <w:pPr>
        <w:spacing w:after="0" w:line="233" w:lineRule="exact"/>
        <w:rPr>
          <w:sz w:val="20"/>
          <w:szCs w:val="20"/>
          <w:color w:val="auto"/>
        </w:rPr>
      </w:pPr>
    </w:p>
    <w:p>
      <w:pPr>
        <w:ind w:firstLine="666"/>
        <w:spacing w:after="0" w:line="269" w:lineRule="auto"/>
        <w:rPr>
          <w:sz w:val="20"/>
          <w:szCs w:val="20"/>
          <w:color w:val="auto"/>
        </w:rPr>
      </w:pPr>
      <w:r>
        <w:rPr>
          <w:rFonts w:ascii="Times New Roman" w:cs="Times New Roman" w:eastAsia="Times New Roman" w:hAnsi="Times New Roman"/>
          <w:sz w:val="20"/>
          <w:szCs w:val="20"/>
          <w:color w:val="auto"/>
        </w:rPr>
        <w:t>The undersigned, on behalf of the corporation set forth below, pursuant to Article 11 of the Virginia Stock Corporation Act (the “Act”), states as follows:</w:t>
      </w:r>
    </w:p>
    <w:p>
      <w:pPr>
        <w:spacing w:after="0" w:line="173" w:lineRule="exact"/>
        <w:rPr>
          <w:sz w:val="20"/>
          <w:szCs w:val="20"/>
          <w:color w:val="auto"/>
        </w:rPr>
      </w:pPr>
    </w:p>
    <w:p>
      <w:pPr>
        <w:ind w:left="660" w:hanging="652"/>
        <w:spacing w:after="0"/>
        <w:tabs>
          <w:tab w:leader="none" w:pos="660" w:val="left"/>
        </w:tabs>
        <w:numPr>
          <w:ilvl w:val="0"/>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name of the Corporation is Burke &amp; Herbert Financial Services Corp.</w:t>
      </w:r>
    </w:p>
    <w:p>
      <w:pPr>
        <w:spacing w:after="0" w:line="229" w:lineRule="exact"/>
        <w:rPr>
          <w:rFonts w:ascii="Times New Roman" w:cs="Times New Roman" w:eastAsia="Times New Roman" w:hAnsi="Times New Roman"/>
          <w:sz w:val="20"/>
          <w:szCs w:val="20"/>
          <w:color w:val="auto"/>
        </w:rPr>
      </w:pPr>
    </w:p>
    <w:p>
      <w:pPr>
        <w:jc w:val="both"/>
        <w:ind w:firstLine="8"/>
        <w:spacing w:after="0" w:line="261" w:lineRule="auto"/>
        <w:tabs>
          <w:tab w:leader="none" w:pos="648" w:val="left"/>
        </w:tabs>
        <w:numPr>
          <w:ilvl w:val="0"/>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introductory paragraph to Article III of the Corporation’s Articles of Incorporation is hereby amended in its entirety to read as follows, in connection with a forty (40)-for-one (1) stock split and par value change with respect to the Common Stock of the Corporation, which stock split and par value change were approved by the Corporation’s Board of Directors on October 27, 2022:</w:t>
      </w:r>
    </w:p>
    <w:p>
      <w:pPr>
        <w:spacing w:after="0" w:line="168" w:lineRule="exact"/>
        <w:rPr>
          <w:sz w:val="20"/>
          <w:szCs w:val="20"/>
          <w:color w:val="auto"/>
        </w:rPr>
      </w:pPr>
    </w:p>
    <w:p>
      <w:pPr>
        <w:jc w:val="both"/>
        <w:ind w:left="980"/>
        <w:spacing w:after="0" w:line="268" w:lineRule="auto"/>
        <w:rPr>
          <w:sz w:val="20"/>
          <w:szCs w:val="20"/>
          <w:color w:val="auto"/>
        </w:rPr>
      </w:pPr>
      <w:r>
        <w:rPr>
          <w:rFonts w:ascii="Times New Roman" w:cs="Times New Roman" w:eastAsia="Times New Roman" w:hAnsi="Times New Roman"/>
          <w:sz w:val="20"/>
          <w:szCs w:val="20"/>
          <w:color w:val="auto"/>
        </w:rPr>
        <w:t>The aggregate number of shares which the Corporation shall be authorized to issue is twenty million (20,000,000) shares of common stock, par value $0.50 per share (“Common Stock”), and two million (2,000,000) shares of serial preferred stock, par value $1.00 per share (“Serial Preferred Stock”).</w:t>
      </w:r>
    </w:p>
    <w:p>
      <w:pPr>
        <w:spacing w:after="0" w:line="161" w:lineRule="exact"/>
        <w:rPr>
          <w:sz w:val="20"/>
          <w:szCs w:val="20"/>
          <w:color w:val="auto"/>
        </w:rPr>
      </w:pPr>
    </w:p>
    <w:p>
      <w:pPr>
        <w:jc w:val="both"/>
        <w:ind w:firstLine="8"/>
        <w:spacing w:after="0" w:line="258" w:lineRule="auto"/>
        <w:tabs>
          <w:tab w:leader="none" w:pos="648" w:val="left"/>
        </w:tabs>
        <w:numPr>
          <w:ilvl w:val="0"/>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Directors of the Corporation, at a meeting duly held on October 27, 2022, at which a quorum was present and acting throughout, found said amendment to be in the best interests of the Corporation. Pursuant to Section 13.1-706 of the Code of Virginia, 1950, as amended, the Directors adopted the amendment without shareholder action. The Corporation does not have any shares of Preferred Stock outstanding, therefore, only one class is outstanding.</w:t>
      </w:r>
    </w:p>
    <w:p>
      <w:pPr>
        <w:spacing w:after="0" w:line="182"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Signature page follows</w:t>
      </w:r>
      <w:r>
        <w:rPr>
          <w:rFonts w:ascii="Times New Roman" w:cs="Times New Roman" w:eastAsia="Times New Roman" w:hAnsi="Times New Roman"/>
          <w:sz w:val="20"/>
          <w:szCs w:val="20"/>
          <w:color w:val="auto"/>
        </w:rPr>
        <w:t>]</w:t>
      </w:r>
    </w:p>
    <w:p>
      <w:pPr>
        <w:sectPr>
          <w:pgSz w:w="11900" w:h="16838" w:orient="portrait"/>
          <w:cols w:equalWidth="0" w:num="1">
            <w:col w:w="11240"/>
          </w:cols>
          <w:pgMar w:left="320" w:top="1440" w:right="339" w:bottom="1440" w:gutter="0" w:footer="0" w:header="0"/>
        </w:sectPr>
      </w:pPr>
    </w:p>
    <w:bookmarkStart w:id="93" w:name="page94"/>
    <w:bookmarkEnd w:id="93"/>
    <w:p>
      <w:pPr>
        <w:ind w:left="660"/>
        <w:spacing w:after="0"/>
        <w:rPr>
          <w:sz w:val="20"/>
          <w:szCs w:val="20"/>
          <w:color w:val="auto"/>
        </w:rPr>
      </w:pPr>
      <w:r>
        <w:rPr>
          <w:rFonts w:ascii="Times New Roman" w:cs="Times New Roman" w:eastAsia="Times New Roman" w:hAnsi="Times New Roman"/>
          <w:sz w:val="19"/>
          <w:szCs w:val="19"/>
          <w:color w:val="auto"/>
        </w:rPr>
        <w:t>IN WITNESS WHEREOF, the undersigned has caused these Articles of Amendment to be executed as of this 27th day of October,</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2022.</w:t>
      </w:r>
    </w:p>
    <w:p>
      <w:pPr>
        <w:spacing w:after="0" w:line="200"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0"/>
          <w:szCs w:val="20"/>
          <w:color w:val="auto"/>
        </w:rPr>
        <w:t>/s/ David P. Boyle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2885440</wp:posOffset>
            </wp:positionH>
            <wp:positionV relativeFrom="paragraph">
              <wp:posOffset>-10795</wp:posOffset>
            </wp:positionV>
            <wp:extent cx="128397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8">
                      <a:extLst>
                        <a:ext uri="{28A0092B-C50C-407E-A947-70E740481C1C}"/>
                      </a:extLst>
                    </a:blip>
                    <a:srcRect/>
                    <a:stretch>
                      <a:fillRect/>
                    </a:stretch>
                  </pic:blipFill>
                  <pic:spPr bwMode="auto">
                    <a:xfrm>
                      <a:off x="0" y="0"/>
                      <a:ext cx="1283970" cy="8255"/>
                    </a:xfrm>
                    <a:prstGeom prst="rect">
                      <a:avLst/>
                    </a:prstGeom>
                    <a:noFill/>
                  </pic:spPr>
                </pic:pic>
              </a:graphicData>
            </a:graphic>
          </wp:anchor>
        </w:drawing>
      </w:r>
    </w:p>
    <w:p>
      <w:pPr>
        <w:spacing w:after="0" w:line="8"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0"/>
          <w:szCs w:val="20"/>
          <w:color w:val="auto"/>
        </w:rPr>
        <w:t>David P. Boyle</w:t>
      </w:r>
    </w:p>
    <w:p>
      <w:pPr>
        <w:spacing w:after="0" w:line="6"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0"/>
          <w:szCs w:val="20"/>
          <w:color w:val="auto"/>
        </w:rPr>
        <w:t>President and 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Articles of Amendment of Burke &amp; Herbert Financial Services Corp.</w:t>
      </w:r>
      <w:r>
        <w:rPr>
          <w:rFonts w:ascii="Times New Roman" w:cs="Times New Roman" w:eastAsia="Times New Roman" w:hAnsi="Times New Roman"/>
          <w:sz w:val="18"/>
          <w:szCs w:val="18"/>
          <w:color w:val="auto"/>
        </w:rPr>
        <w:t>]</w:t>
      </w:r>
    </w:p>
    <w:p>
      <w:pPr>
        <w:sectPr>
          <w:pgSz w:w="11900" w:h="16838" w:orient="portrait"/>
          <w:cols w:equalWidth="0" w:num="1">
            <w:col w:w="11020"/>
          </w:cols>
          <w:pgMar w:left="320" w:top="1413" w:right="559" w:bottom="1440" w:gutter="0" w:footer="0" w:header="0"/>
        </w:sectPr>
      </w:pPr>
    </w:p>
    <w:bookmarkStart w:id="94" w:name="page95"/>
    <w:bookmarkEnd w:id="94"/>
    <w:p>
      <w:pPr>
        <w:spacing w:after="0" w:line="34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2822575</wp:posOffset>
            </wp:positionH>
            <wp:positionV relativeFrom="page">
              <wp:posOffset>88900</wp:posOffset>
            </wp:positionV>
            <wp:extent cx="1903095" cy="7454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9">
                      <a:clrChange>
                        <a:clrFrom>
                          <a:srgbClr val="FFFFFF"/>
                        </a:clrFrom>
                        <a:clrTo>
                          <a:srgbClr val="FFFFFF">
                            <a:alpha val="0"/>
                          </a:srgbClr>
                        </a:clrTo>
                      </a:clrChange>
                      <a:extLst>
                        <a:ext uri="{28A0092B-C50C-407E-A947-70E740481C1C}"/>
                      </a:extLst>
                    </a:blip>
                    <a:srcRect/>
                    <a:stretch>
                      <a:fillRect/>
                    </a:stretch>
                  </pic:blipFill>
                  <pic:spPr bwMode="auto">
                    <a:xfrm>
                      <a:off x="0" y="0"/>
                      <a:ext cx="1903095" cy="745490"/>
                    </a:xfrm>
                    <a:prstGeom prst="rect">
                      <a:avLst/>
                    </a:prstGeom>
                    <a:noFill/>
                  </pic:spPr>
                </pic:pic>
              </a:graphicData>
            </a:graphic>
          </wp:anchor>
        </w:drawing>
      </w: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ARTICLES OF AMENDMENT TO</w:t>
      </w: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THE ARTICLES OF INCORPORATION OF</w:t>
      </w: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BURKE &amp; HERBERT FINANCIAL SERVICES CORP.</w:t>
      </w:r>
    </w:p>
    <w:p>
      <w:pPr>
        <w:spacing w:after="0" w:line="233" w:lineRule="exact"/>
        <w:rPr>
          <w:sz w:val="20"/>
          <w:szCs w:val="20"/>
          <w:color w:val="auto"/>
        </w:rPr>
      </w:pPr>
    </w:p>
    <w:p>
      <w:pPr>
        <w:ind w:firstLine="648"/>
        <w:spacing w:after="0" w:line="269" w:lineRule="auto"/>
        <w:rPr>
          <w:sz w:val="20"/>
          <w:szCs w:val="20"/>
          <w:color w:val="auto"/>
        </w:rPr>
      </w:pPr>
      <w:r>
        <w:rPr>
          <w:rFonts w:ascii="Times New Roman" w:cs="Times New Roman" w:eastAsia="Times New Roman" w:hAnsi="Times New Roman"/>
          <w:sz w:val="20"/>
          <w:szCs w:val="20"/>
          <w:color w:val="auto"/>
        </w:rPr>
        <w:t>The undersigned, on behalf of the corporation set forth below, pursuant to Article 11 of the Virginia Stock Corporation Act (the “</w:t>
      </w:r>
      <w:r>
        <w:rPr>
          <w:rFonts w:ascii="Times New Roman" w:cs="Times New Roman" w:eastAsia="Times New Roman" w:hAnsi="Times New Roman"/>
          <w:sz w:val="20"/>
          <w:szCs w:val="20"/>
          <w:u w:val="single" w:color="auto"/>
          <w:color w:val="auto"/>
        </w:rPr>
        <w:t>Act</w:t>
      </w:r>
      <w:r>
        <w:rPr>
          <w:rFonts w:ascii="Times New Roman" w:cs="Times New Roman" w:eastAsia="Times New Roman" w:hAnsi="Times New Roman"/>
          <w:sz w:val="20"/>
          <w:szCs w:val="20"/>
          <w:color w:val="auto"/>
        </w:rPr>
        <w:t>”), states as follows:</w:t>
      </w:r>
    </w:p>
    <w:p>
      <w:pPr>
        <w:spacing w:after="0" w:line="173" w:lineRule="exact"/>
        <w:rPr>
          <w:sz w:val="20"/>
          <w:szCs w:val="20"/>
          <w:color w:val="auto"/>
        </w:rPr>
      </w:pPr>
    </w:p>
    <w:p>
      <w:pPr>
        <w:ind w:left="660" w:hanging="652"/>
        <w:spacing w:after="0"/>
        <w:tabs>
          <w:tab w:leader="none" w:pos="660" w:val="left"/>
        </w:tabs>
        <w:numPr>
          <w:ilvl w:val="0"/>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name of the Corporation is Burke &amp; Herbert Financial Services Corp.</w:t>
      </w:r>
    </w:p>
    <w:p>
      <w:pPr>
        <w:spacing w:after="0" w:line="229" w:lineRule="exact"/>
        <w:rPr>
          <w:rFonts w:ascii="Times New Roman" w:cs="Times New Roman" w:eastAsia="Times New Roman" w:hAnsi="Times New Roman"/>
          <w:sz w:val="20"/>
          <w:szCs w:val="20"/>
          <w:color w:val="auto"/>
        </w:rPr>
      </w:pPr>
    </w:p>
    <w:p>
      <w:pPr>
        <w:jc w:val="both"/>
        <w:ind w:firstLine="8"/>
        <w:spacing w:after="0" w:line="253" w:lineRule="auto"/>
        <w:tabs>
          <w:tab w:leader="none" w:pos="648" w:val="left"/>
        </w:tabs>
        <w:numPr>
          <w:ilvl w:val="0"/>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Article III of the Corporation’s Articles of Incorporation is hereby amended to add a new Section 4 to Part A, Serial Preferred Stock, of Article III, to establish a new series of preferred stock, par value $1.00, of this Corporation, designated as the Corporation’s 6.0% Fixed-Rate Non-Cumulative Perpetual Preferred Stock Series 2021 having the number of shares of such series, and the voting and other powers, preferences and relative, participating, optional or other rights, and the qualifications, limitations and restrictions thereof as are set forth in </w:t>
      </w:r>
      <w:r>
        <w:rPr>
          <w:rFonts w:ascii="Times New Roman" w:cs="Times New Roman" w:eastAsia="Times New Roman" w:hAnsi="Times New Roman"/>
          <w:sz w:val="20"/>
          <w:szCs w:val="20"/>
          <w:u w:val="single" w:color="auto"/>
          <w:color w:val="auto"/>
        </w:rPr>
        <w:t>Exhibit A</w:t>
      </w:r>
      <w:r>
        <w:rPr>
          <w:rFonts w:ascii="Times New Roman" w:cs="Times New Roman" w:eastAsia="Times New Roman" w:hAnsi="Times New Roman"/>
          <w:sz w:val="20"/>
          <w:szCs w:val="20"/>
          <w:color w:val="auto"/>
        </w:rPr>
        <w:t xml:space="preserve"> to these Articles of Amendment attached hereto and made a part hereof as if set forth in full herein.</w:t>
      </w:r>
    </w:p>
    <w:p>
      <w:pPr>
        <w:spacing w:after="0" w:line="191" w:lineRule="exact"/>
        <w:rPr>
          <w:rFonts w:ascii="Times New Roman" w:cs="Times New Roman" w:eastAsia="Times New Roman" w:hAnsi="Times New Roman"/>
          <w:sz w:val="20"/>
          <w:szCs w:val="20"/>
          <w:color w:val="auto"/>
        </w:rPr>
      </w:pPr>
    </w:p>
    <w:p>
      <w:pPr>
        <w:jc w:val="both"/>
        <w:ind w:firstLine="8"/>
        <w:spacing w:after="0" w:line="254" w:lineRule="auto"/>
        <w:tabs>
          <w:tab w:leader="none" w:pos="648" w:val="left"/>
        </w:tabs>
        <w:numPr>
          <w:ilvl w:val="0"/>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Directors of the Corporation, at a meeting duly held on April 25, 2024, at which a quorum was present and acting throughout, found said amendment to be in the best interests of the Corporation. Pursuant to the authority granted to the Board of Directors under Section 13.1-639 of the Code of Virginia, 1950, as amended, and Article III, Part A, Section 1 of the Corporation’s Articles of Incorporation, the Directors adopted the amendment without shareholder action.</w:t>
      </w:r>
    </w:p>
    <w:p>
      <w:pPr>
        <w:spacing w:after="0" w:line="187" w:lineRule="exact"/>
        <w:rPr>
          <w:rFonts w:ascii="Times New Roman" w:cs="Times New Roman" w:eastAsia="Times New Roman" w:hAnsi="Times New Roman"/>
          <w:sz w:val="20"/>
          <w:szCs w:val="20"/>
          <w:color w:val="auto"/>
        </w:rPr>
      </w:pPr>
    </w:p>
    <w:p>
      <w:pPr>
        <w:ind w:left="660" w:hanging="652"/>
        <w:spacing w:after="0"/>
        <w:tabs>
          <w:tab w:leader="none" w:pos="660" w:val="left"/>
        </w:tabs>
        <w:numPr>
          <w:ilvl w:val="0"/>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This amendment shall become effective as of 12:01 a.m. Eastern Time on May 3, 2024.</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Signature page follows</w:t>
      </w:r>
      <w:r>
        <w:rPr>
          <w:rFonts w:ascii="Times New Roman" w:cs="Times New Roman" w:eastAsia="Times New Roman" w:hAnsi="Times New Roman"/>
          <w:sz w:val="20"/>
          <w:szCs w:val="20"/>
          <w:color w:val="auto"/>
        </w:rPr>
        <w:t>]</w:t>
      </w:r>
    </w:p>
    <w:p>
      <w:pPr>
        <w:sectPr>
          <w:pgSz w:w="11900" w:h="16838" w:orient="portrait"/>
          <w:cols w:equalWidth="0" w:num="1">
            <w:col w:w="11240"/>
          </w:cols>
          <w:pgMar w:left="320" w:top="1440" w:right="33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9"/>
          <w:szCs w:val="19"/>
          <w:color w:val="auto"/>
        </w:rPr>
        <w:t>IN WITNESS WHEREOF, the undersigned has caused these Articles of Amendment to be executed as of this 1st day of May, 2024.</w:t>
      </w:r>
    </w:p>
    <w:p>
      <w:pPr>
        <w:sectPr>
          <w:pgSz w:w="11900" w:h="16838" w:orient="portrait"/>
          <w:cols w:equalWidth="0" w:num="1">
            <w:col w:w="10460"/>
          </w:cols>
          <w:pgMar w:left="980" w:top="1413" w:right="459" w:bottom="1440" w:gutter="0" w:footer="0" w:header="0"/>
        </w:sectPr>
      </w:pPr>
    </w:p>
    <w:p>
      <w:pPr>
        <w:spacing w:after="0" w:line="241"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20"/>
          <w:szCs w:val="20"/>
          <w:color w:val="auto"/>
        </w:rPr>
        <w:t>/s/ David P. Boyle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2466340</wp:posOffset>
            </wp:positionH>
            <wp:positionV relativeFrom="paragraph">
              <wp:posOffset>-10795</wp:posOffset>
            </wp:positionV>
            <wp:extent cx="128397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30">
                      <a:extLst>
                        <a:ext uri="{28A0092B-C50C-407E-A947-70E740481C1C}"/>
                      </a:extLst>
                    </a:blip>
                    <a:srcRect/>
                    <a:stretch>
                      <a:fillRect/>
                    </a:stretch>
                  </pic:blipFill>
                  <pic:spPr bwMode="auto">
                    <a:xfrm>
                      <a:off x="0" y="0"/>
                      <a:ext cx="1283970" cy="8255"/>
                    </a:xfrm>
                    <a:prstGeom prst="rect">
                      <a:avLst/>
                    </a:prstGeom>
                    <a:noFill/>
                  </pic:spPr>
                </pic:pic>
              </a:graphicData>
            </a:graphic>
          </wp:anchor>
        </w:drawing>
      </w:r>
    </w:p>
    <w:p>
      <w:pPr>
        <w:spacing w:after="0" w:line="2"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20"/>
          <w:szCs w:val="20"/>
          <w:color w:val="auto"/>
        </w:rPr>
        <w:t>David P. Boyle</w:t>
      </w:r>
    </w:p>
    <w:p>
      <w:pPr>
        <w:spacing w:after="0" w:line="6"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20"/>
          <w:szCs w:val="20"/>
          <w:color w:val="auto"/>
        </w:rPr>
        <w:t>President and 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Signature page to Articles of Amendment of Burke &amp; Herbert Financial Services Corp.</w:t>
      </w:r>
      <w:r>
        <w:rPr>
          <w:rFonts w:ascii="Times New Roman" w:cs="Times New Roman" w:eastAsia="Times New Roman" w:hAnsi="Times New Roman"/>
          <w:sz w:val="17"/>
          <w:szCs w:val="17"/>
          <w:color w:val="auto"/>
        </w:rPr>
        <w:t>]</w:t>
      </w:r>
    </w:p>
    <w:p>
      <w:pPr>
        <w:sectPr>
          <w:pgSz w:w="11900" w:h="16838" w:orient="portrait"/>
          <w:cols w:equalWidth="0" w:num="1">
            <w:col w:w="10460"/>
          </w:cols>
          <w:pgMar w:left="980" w:top="1413" w:right="459" w:bottom="1440" w:gutter="0" w:footer="0" w:header="0"/>
          <w:type w:val="continuous"/>
        </w:sectPr>
      </w:pPr>
    </w:p>
    <w:bookmarkStart w:id="96" w:name="page97"/>
    <w:bookmarkEnd w:id="96"/>
    <w:p>
      <w:pPr>
        <w:jc w:val="center"/>
        <w:spacing w:after="0"/>
        <w:rPr>
          <w:sz w:val="20"/>
          <w:szCs w:val="20"/>
          <w:color w:val="auto"/>
        </w:rPr>
      </w:pPr>
      <w:r>
        <w:rPr>
          <w:rFonts w:ascii="Times New Roman" w:cs="Times New Roman" w:eastAsia="Times New Roman" w:hAnsi="Times New Roman"/>
          <w:sz w:val="20"/>
          <w:szCs w:val="20"/>
          <w:b w:val="1"/>
          <w:bCs w:val="1"/>
          <w:color w:val="auto"/>
        </w:rPr>
        <w:t>EXHIBIT A</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6.0% FIXED-RATE NON-CUMULATIVE PERPETUAL PREFERRED STOCK, SERIES 2021</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OF</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BURKE AND HERBERT FINANCIAL SERVICES CORP.</w:t>
      </w:r>
    </w:p>
    <w:p>
      <w:pPr>
        <w:spacing w:after="0" w:line="200"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20"/>
          <w:szCs w:val="20"/>
          <w:color w:val="auto"/>
        </w:rPr>
        <w:t>Article III, Part A, of the Articles of Incorporation of the Corporation is hereby amended by adding the following new Section 4, which sets forth the terms of the Corporation’s 6.0% Fixed-Rate Non-Cumulative Perpetual Preferred Stock, Series 2021, to immediately precede Article III, Part B, Common Stock.</w:t>
      </w:r>
    </w:p>
    <w:p>
      <w:pPr>
        <w:spacing w:after="0" w:line="157" w:lineRule="exact"/>
        <w:rPr>
          <w:sz w:val="20"/>
          <w:szCs w:val="20"/>
          <w:color w:val="auto"/>
        </w:rPr>
      </w:pPr>
    </w:p>
    <w:p>
      <w:pPr>
        <w:ind w:left="1660" w:hanging="194"/>
        <w:spacing w:after="0"/>
        <w:tabs>
          <w:tab w:leader="none" w:pos="1660" w:val="left"/>
        </w:tabs>
        <w:numPr>
          <w:ilvl w:val="1"/>
          <w:numId w:val="4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6.0% FIXED-RATE NON-CUMULATIVE PERPETUAL PREFERRED STOCK, SERIES 2021</w:t>
      </w:r>
    </w:p>
    <w:p>
      <w:pPr>
        <w:spacing w:after="0" w:line="233" w:lineRule="exact"/>
        <w:rPr>
          <w:rFonts w:ascii="Times New Roman" w:cs="Times New Roman" w:eastAsia="Times New Roman" w:hAnsi="Times New Roman"/>
          <w:sz w:val="20"/>
          <w:szCs w:val="20"/>
          <w:b w:val="1"/>
          <w:bCs w:val="1"/>
          <w:color w:val="auto"/>
        </w:rPr>
      </w:pPr>
    </w:p>
    <w:p>
      <w:pPr>
        <w:jc w:val="both"/>
        <w:ind w:firstLine="656"/>
        <w:spacing w:after="0" w:line="253" w:lineRule="auto"/>
        <w:tabs>
          <w:tab w:leader="none" w:pos="1286" w:val="left"/>
        </w:tabs>
        <w:numPr>
          <w:ilvl w:val="0"/>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Designation</w:t>
      </w:r>
      <w:r>
        <w:rPr>
          <w:rFonts w:ascii="Times New Roman" w:cs="Times New Roman" w:eastAsia="Times New Roman" w:hAnsi="Times New Roman"/>
          <w:sz w:val="20"/>
          <w:szCs w:val="20"/>
          <w:color w:val="auto"/>
        </w:rPr>
        <w:t>. There is hereby established a new series of preferred stock created by this Article III, Part A, Section 4, which shall be designated as the 6.0% Fixed Rate Non-Cumulative Perpetual Preferred Stock, Series 2021 (hereinafter called “</w:t>
      </w:r>
      <w:r>
        <w:rPr>
          <w:rFonts w:ascii="Times New Roman" w:cs="Times New Roman" w:eastAsia="Times New Roman" w:hAnsi="Times New Roman"/>
          <w:sz w:val="20"/>
          <w:szCs w:val="20"/>
          <w:u w:val="single" w:color="auto"/>
          <w:color w:val="auto"/>
        </w:rPr>
        <w:t>Series 2021 Preferred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Stock</w:t>
      </w:r>
      <w:r>
        <w:rPr>
          <w:rFonts w:ascii="Times New Roman" w:cs="Times New Roman" w:eastAsia="Times New Roman" w:hAnsi="Times New Roman"/>
          <w:sz w:val="20"/>
          <w:szCs w:val="20"/>
          <w:color w:val="auto"/>
        </w:rPr>
        <w:t>”). Each share of Series 2021 Preferred Stock shall be identical in all respects to every other share of Series 2021 Preferred Stock, will rank equally with Series 2021 Parity Securities (as defined below), if any, and will rank senior to Series 2021 Junior Securities (as defined below), if any, with respect to the payment of dividends and the distribution of assets in the event of any voluntary or involuntary dissolution, winding-up and liquidation of the Corporation.</w:t>
      </w:r>
    </w:p>
    <w:p>
      <w:pPr>
        <w:spacing w:after="0" w:line="178" w:lineRule="exact"/>
        <w:rPr>
          <w:rFonts w:ascii="Times New Roman" w:cs="Times New Roman" w:eastAsia="Times New Roman" w:hAnsi="Times New Roman"/>
          <w:sz w:val="20"/>
          <w:szCs w:val="20"/>
          <w:color w:val="auto"/>
        </w:rPr>
      </w:pPr>
    </w:p>
    <w:p>
      <w:pPr>
        <w:jc w:val="both"/>
        <w:ind w:firstLine="656"/>
        <w:spacing w:after="0" w:line="253" w:lineRule="auto"/>
        <w:tabs>
          <w:tab w:leader="none" w:pos="1284" w:val="left"/>
        </w:tabs>
        <w:numPr>
          <w:ilvl w:val="0"/>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Number of Shares</w:t>
      </w:r>
      <w:r>
        <w:rPr>
          <w:rFonts w:ascii="Times New Roman" w:cs="Times New Roman" w:eastAsia="Times New Roman" w:hAnsi="Times New Roman"/>
          <w:sz w:val="20"/>
          <w:szCs w:val="20"/>
          <w:color w:val="auto"/>
        </w:rPr>
        <w:t>. The authorized number of shares of Series 2021 Preferred Stock shall be 1,500, par value $1.00 per share, with a liquidation preference of $10,000 per share. Such number may from time to time be increased (but not in excess of the total number of authorized shares of capital stock of the Corporation) or decreased (but not below the number of shares of Series 2021 Preferred Stock then outstanding) by the Board of Directors. Shares of Series 2021 Preferred Stock that are purchased or otherwise acquired by the Corporation shall be cancelled and shall revert to authorized but unissued shares of the Corporation’s preferred stock undesignated as to series. The Corporation shall not have the authority to issue fractional shares of Series 2021 Preferred Stock.</w:t>
      </w:r>
    </w:p>
    <w:p>
      <w:pPr>
        <w:spacing w:after="0" w:line="192" w:lineRule="exact"/>
        <w:rPr>
          <w:rFonts w:ascii="Times New Roman" w:cs="Times New Roman" w:eastAsia="Times New Roman" w:hAnsi="Times New Roman"/>
          <w:sz w:val="20"/>
          <w:szCs w:val="20"/>
          <w:color w:val="auto"/>
        </w:rPr>
      </w:pPr>
    </w:p>
    <w:p>
      <w:pPr>
        <w:ind w:left="1300" w:right="4240" w:hanging="644"/>
        <w:spacing w:after="0" w:line="471" w:lineRule="auto"/>
        <w:tabs>
          <w:tab w:leader="none" w:pos="1290" w:val="left"/>
        </w:tabs>
        <w:numPr>
          <w:ilvl w:val="0"/>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Definitions</w:t>
      </w:r>
      <w:r>
        <w:rPr>
          <w:rFonts w:ascii="Times New Roman" w:cs="Times New Roman" w:eastAsia="Times New Roman" w:hAnsi="Times New Roman"/>
          <w:sz w:val="20"/>
          <w:szCs w:val="20"/>
          <w:color w:val="auto"/>
        </w:rPr>
        <w:t>. As used herein with respect to Series 2021 Preferred Stock: “</w:t>
      </w:r>
      <w:r>
        <w:rPr>
          <w:rFonts w:ascii="Times New Roman" w:cs="Times New Roman" w:eastAsia="Times New Roman" w:hAnsi="Times New Roman"/>
          <w:sz w:val="20"/>
          <w:szCs w:val="20"/>
          <w:u w:val="single" w:color="auto"/>
          <w:color w:val="auto"/>
        </w:rPr>
        <w:t>5-year Anniversary Date</w:t>
      </w:r>
      <w:r>
        <w:rPr>
          <w:rFonts w:ascii="Times New Roman" w:cs="Times New Roman" w:eastAsia="Times New Roman" w:hAnsi="Times New Roman"/>
          <w:sz w:val="20"/>
          <w:szCs w:val="20"/>
          <w:color w:val="auto"/>
        </w:rPr>
        <w:t>” means April 15, 2026.</w:t>
      </w:r>
    </w:p>
    <w:p>
      <w:pPr>
        <w:spacing w:after="0" w:line="1" w:lineRule="exact"/>
        <w:rPr>
          <w:rFonts w:ascii="Times New Roman" w:cs="Times New Roman" w:eastAsia="Times New Roman" w:hAnsi="Times New Roman"/>
          <w:sz w:val="20"/>
          <w:szCs w:val="20"/>
          <w:color w:val="auto"/>
        </w:rPr>
      </w:pPr>
    </w:p>
    <w:p>
      <w:pPr>
        <w:ind w:left="130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Appropriate Federal Banking Agency</w:t>
      </w:r>
      <w:r>
        <w:rPr>
          <w:rFonts w:ascii="Times New Roman" w:cs="Times New Roman" w:eastAsia="Times New Roman" w:hAnsi="Times New Roman"/>
          <w:sz w:val="20"/>
          <w:szCs w:val="20"/>
          <w:color w:val="auto"/>
        </w:rPr>
        <w:t>” means the “appropriate Federal banking agency” with respect to the Corporation as</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defined in Section 3(q) of the Federal Deposit Insurance Act (12 U.S.C. Section 1813(q)), or any successor provision.</w:t>
      </w:r>
    </w:p>
    <w:p>
      <w:pPr>
        <w:spacing w:after="0" w:line="200"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Articles of Amendment</w:t>
      </w:r>
      <w:r>
        <w:rPr>
          <w:rFonts w:ascii="Times New Roman" w:cs="Times New Roman" w:eastAsia="Times New Roman" w:hAnsi="Times New Roman"/>
          <w:sz w:val="20"/>
          <w:szCs w:val="20"/>
          <w:color w:val="auto"/>
        </w:rPr>
        <w:t>” means the articles of amendment to the Corporation’s Articles of Incorporation filed by the Corporation with the State Corporation Commission of the Commonwealth of Virginia on May 2, 2024, establishing the Series 2021 Preferred Stock.</w:t>
      </w:r>
    </w:p>
    <w:p>
      <w:pPr>
        <w:spacing w:after="0" w:line="181" w:lineRule="exact"/>
        <w:rPr>
          <w:sz w:val="20"/>
          <w:szCs w:val="20"/>
          <w:color w:val="auto"/>
        </w:rPr>
      </w:pPr>
    </w:p>
    <w:p>
      <w:pPr>
        <w:jc w:val="both"/>
        <w:ind w:firstLine="1296"/>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Articles of Incorporation</w:t>
      </w:r>
      <w:r>
        <w:rPr>
          <w:rFonts w:ascii="Times New Roman" w:cs="Times New Roman" w:eastAsia="Times New Roman" w:hAnsi="Times New Roman"/>
          <w:sz w:val="20"/>
          <w:szCs w:val="20"/>
          <w:color w:val="auto"/>
        </w:rPr>
        <w:t>” means the Articles of Incorporation, as amended, of the Corporation, as it may be amended or restated from time to time.</w:t>
      </w:r>
    </w:p>
    <w:p>
      <w:pPr>
        <w:spacing w:after="0" w:line="146" w:lineRule="exact"/>
        <w:rPr>
          <w:sz w:val="20"/>
          <w:szCs w:val="20"/>
          <w:color w:val="auto"/>
        </w:rPr>
      </w:pPr>
    </w:p>
    <w:p>
      <w:pPr>
        <w:jc w:val="both"/>
        <w:ind w:firstLine="1296"/>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Business Day</w:t>
      </w:r>
      <w:r>
        <w:rPr>
          <w:rFonts w:ascii="Times New Roman" w:cs="Times New Roman" w:eastAsia="Times New Roman" w:hAnsi="Times New Roman"/>
          <w:sz w:val="20"/>
          <w:szCs w:val="20"/>
          <w:color w:val="auto"/>
        </w:rPr>
        <w:t>” means any day, other than a Saturday or Sunday, that is neither a legal holiday nor a day on which banking institutions are authorized or required by law or regulation to close in Alexandria, Virginia.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A-1</w:t>
      </w:r>
    </w:p>
    <w:p>
      <w:pPr>
        <w:sectPr>
          <w:pgSz w:w="11900" w:h="16838" w:orient="portrait"/>
          <w:cols w:equalWidth="0" w:num="1">
            <w:col w:w="11240"/>
          </w:cols>
          <w:pgMar w:left="320" w:top="1409" w:right="339" w:bottom="1440" w:gutter="0" w:footer="0" w:header="0"/>
        </w:sectPr>
      </w:pPr>
    </w:p>
    <w:bookmarkStart w:id="97" w:name="page98"/>
    <w:bookmarkEnd w:id="97"/>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Bylaws</w:t>
      </w:r>
      <w:r>
        <w:rPr>
          <w:rFonts w:ascii="Times New Roman" w:cs="Times New Roman" w:eastAsia="Times New Roman" w:hAnsi="Times New Roman"/>
          <w:sz w:val="20"/>
          <w:szCs w:val="20"/>
          <w:color w:val="auto"/>
        </w:rPr>
        <w:t>” means the Bylaws of the Corporation, as they may be amended or restated from time to time.</w:t>
      </w:r>
    </w:p>
    <w:p>
      <w:pPr>
        <w:spacing w:after="0" w:line="229"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Calculation Agent</w:t>
      </w:r>
      <w:r>
        <w:rPr>
          <w:rFonts w:ascii="Times New Roman" w:cs="Times New Roman" w:eastAsia="Times New Roman" w:hAnsi="Times New Roman"/>
          <w:sz w:val="20"/>
          <w:szCs w:val="20"/>
          <w:color w:val="auto"/>
        </w:rPr>
        <w:t>” means such bank or other entity (which may be the Corporation or an affiliate of the Corporation) as may be appointed by the Corporation to act as Calculation Agent for the Series 2021 Preferred Stock, including any successor calculation agent duly appointed by the Corporation.</w:t>
      </w:r>
    </w:p>
    <w:p>
      <w:pPr>
        <w:spacing w:after="0" w:line="16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Common Stock</w:t>
      </w:r>
      <w:r>
        <w:rPr>
          <w:rFonts w:ascii="Times New Roman" w:cs="Times New Roman" w:eastAsia="Times New Roman" w:hAnsi="Times New Roman"/>
          <w:sz w:val="20"/>
          <w:szCs w:val="20"/>
          <w:color w:val="auto"/>
        </w:rPr>
        <w:t>” means the common stock, par value $0.50 per share, of the Corporation.</w:t>
      </w:r>
    </w:p>
    <w:p>
      <w:pPr>
        <w:spacing w:after="0" w:line="22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Corporation</w:t>
      </w:r>
      <w:r>
        <w:rPr>
          <w:rFonts w:ascii="Times New Roman" w:cs="Times New Roman" w:eastAsia="Times New Roman" w:hAnsi="Times New Roman"/>
          <w:sz w:val="20"/>
          <w:szCs w:val="20"/>
          <w:color w:val="auto"/>
        </w:rPr>
        <w:t>” means Burke &amp; Herbert Financial Services Corp.</w:t>
      </w:r>
    </w:p>
    <w:p>
      <w:pPr>
        <w:spacing w:after="0" w:line="229" w:lineRule="exact"/>
        <w:rPr>
          <w:sz w:val="20"/>
          <w:szCs w:val="20"/>
          <w:color w:val="auto"/>
        </w:rPr>
      </w:pPr>
    </w:p>
    <w:p>
      <w:pPr>
        <w:jc w:val="both"/>
        <w:ind w:firstLine="1296"/>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Preferred Stock</w:t>
      </w:r>
      <w:r>
        <w:rPr>
          <w:rFonts w:ascii="Times New Roman" w:cs="Times New Roman" w:eastAsia="Times New Roman" w:hAnsi="Times New Roman"/>
          <w:sz w:val="20"/>
          <w:szCs w:val="20"/>
          <w:color w:val="auto"/>
        </w:rPr>
        <w:t>” means any and all series of preferred stock, having $1.00 par value, of the Corporation, including the Series 2021 Preferred Stock.</w:t>
      </w:r>
    </w:p>
    <w:p>
      <w:pPr>
        <w:spacing w:after="0" w:line="173"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Voting Preferred Stock</w:t>
      </w:r>
      <w:r>
        <w:rPr>
          <w:rFonts w:ascii="Times New Roman" w:cs="Times New Roman" w:eastAsia="Times New Roman" w:hAnsi="Times New Roman"/>
          <w:sz w:val="20"/>
          <w:szCs w:val="20"/>
          <w:color w:val="auto"/>
        </w:rPr>
        <w:t xml:space="preserve">” means, with regard to any other matter as to which the holders of Series 2021 Preferred Stock are entitled to vote as specified in </w:t>
      </w:r>
      <w:r>
        <w:rPr>
          <w:rFonts w:ascii="Times New Roman" w:cs="Times New Roman" w:eastAsia="Times New Roman" w:hAnsi="Times New Roman"/>
          <w:sz w:val="20"/>
          <w:szCs w:val="20"/>
          <w:u w:val="single" w:color="auto"/>
          <w:color w:val="auto"/>
        </w:rPr>
        <w:t>Section 4(h)</w:t>
      </w:r>
      <w:r>
        <w:rPr>
          <w:rFonts w:ascii="Times New Roman" w:cs="Times New Roman" w:eastAsia="Times New Roman" w:hAnsi="Times New Roman"/>
          <w:sz w:val="20"/>
          <w:szCs w:val="20"/>
          <w:color w:val="auto"/>
        </w:rPr>
        <w:t xml:space="preserve"> of this Article and any and all other series of Preferred Stock (other than Series 2021 Preferred Stock) that rank equally with Series 2021 Preferred Stock as to the payment of dividends and upon which like voting rights have been conferred and are exercisable with respect to such matter.</w:t>
      </w:r>
    </w:p>
    <w:p>
      <w:pPr>
        <w:spacing w:after="0" w:line="172" w:lineRule="exact"/>
        <w:rPr>
          <w:sz w:val="20"/>
          <w:szCs w:val="20"/>
          <w:color w:val="auto"/>
        </w:rPr>
      </w:pPr>
    </w:p>
    <w:p>
      <w:pPr>
        <w:ind w:left="1300" w:hanging="644"/>
        <w:spacing w:after="0"/>
        <w:tabs>
          <w:tab w:leader="none" w:pos="1300" w:val="left"/>
        </w:tabs>
        <w:numPr>
          <w:ilvl w:val="0"/>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Ranking</w:t>
      </w:r>
      <w:r>
        <w:rPr>
          <w:rFonts w:ascii="Times New Roman" w:cs="Times New Roman" w:eastAsia="Times New Roman" w:hAnsi="Times New Roman"/>
          <w:sz w:val="20"/>
          <w:szCs w:val="20"/>
          <w:color w:val="auto"/>
        </w:rPr>
        <w:t>. The shares of Series 2021 Preferred Stock shall rank:</w:t>
      </w:r>
    </w:p>
    <w:p>
      <w:pPr>
        <w:spacing w:after="0" w:line="229" w:lineRule="exact"/>
        <w:rPr>
          <w:rFonts w:ascii="Times New Roman" w:cs="Times New Roman" w:eastAsia="Times New Roman" w:hAnsi="Times New Roman"/>
          <w:sz w:val="20"/>
          <w:szCs w:val="20"/>
          <w:color w:val="auto"/>
        </w:rPr>
      </w:pPr>
    </w:p>
    <w:p>
      <w:pPr>
        <w:jc w:val="both"/>
        <w:ind w:firstLine="1304"/>
        <w:spacing w:after="0" w:line="253" w:lineRule="auto"/>
        <w:tabs>
          <w:tab w:leader="none" w:pos="1942" w:val="left"/>
        </w:tabs>
        <w:numPr>
          <w:ilvl w:val="1"/>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senior, as to dividends and upon liquidation, dissolution, and winding-up of the Corporation, to the Common Stock and to any other class or series of capital stock of the Corporation now or hereafter authorized, issued, or outstanding that, by its terms, does not expressly provide that such class or series ranks </w:t>
      </w:r>
      <w:r>
        <w:rPr>
          <w:rFonts w:ascii="Times New Roman" w:cs="Times New Roman" w:eastAsia="Times New Roman" w:hAnsi="Times New Roman"/>
          <w:sz w:val="20"/>
          <w:szCs w:val="20"/>
          <w:i w:val="1"/>
          <w:iCs w:val="1"/>
          <w:color w:val="auto"/>
        </w:rPr>
        <w:t>pari passu</w:t>
      </w:r>
      <w:r>
        <w:rPr>
          <w:rFonts w:ascii="Times New Roman" w:cs="Times New Roman" w:eastAsia="Times New Roman" w:hAnsi="Times New Roman"/>
          <w:sz w:val="20"/>
          <w:szCs w:val="20"/>
          <w:color w:val="auto"/>
        </w:rPr>
        <w:t xml:space="preserve"> with the Series 2021 Preferred Stock or senior to the Series 2021 Preferred Stock as to dividends and upon liquidation, dissolution, and winding-up of the Corporation, as the case may be (collectively, “</w:t>
      </w:r>
      <w:r>
        <w:rPr>
          <w:rFonts w:ascii="Times New Roman" w:cs="Times New Roman" w:eastAsia="Times New Roman" w:hAnsi="Times New Roman"/>
          <w:sz w:val="20"/>
          <w:szCs w:val="20"/>
          <w:u w:val="single" w:color="auto"/>
          <w:color w:val="auto"/>
        </w:rPr>
        <w:t>Series 2021</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Junior Securities</w:t>
      </w:r>
      <w:r>
        <w:rPr>
          <w:rFonts w:ascii="Times New Roman" w:cs="Times New Roman" w:eastAsia="Times New Roman" w:hAnsi="Times New Roman"/>
          <w:sz w:val="20"/>
          <w:szCs w:val="20"/>
          <w:color w:val="auto"/>
          <w:highlight w:val="white"/>
        </w:rPr>
        <w:t>”);</w:t>
      </w:r>
    </w:p>
    <w:p>
      <w:pPr>
        <w:spacing w:after="0" w:line="191" w:lineRule="exact"/>
        <w:rPr>
          <w:rFonts w:ascii="Times New Roman" w:cs="Times New Roman" w:eastAsia="Times New Roman" w:hAnsi="Times New Roman"/>
          <w:sz w:val="20"/>
          <w:szCs w:val="20"/>
          <w:color w:val="auto"/>
        </w:rPr>
      </w:pPr>
    </w:p>
    <w:p>
      <w:pPr>
        <w:jc w:val="both"/>
        <w:ind w:firstLine="1304"/>
        <w:spacing w:after="0" w:line="254" w:lineRule="auto"/>
        <w:tabs>
          <w:tab w:leader="none" w:pos="1943" w:val="left"/>
        </w:tabs>
        <w:numPr>
          <w:ilvl w:val="1"/>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on a parity, as to dividends and upon liquidation, dissolution, and winding-up of the Corporation, with any class or series of capital stock of the Corporation now or hereafter authorized, issued, or outstanding that, by its terms, expressly provides that such class or series ranks </w:t>
      </w:r>
      <w:r>
        <w:rPr>
          <w:rFonts w:ascii="Times New Roman" w:cs="Times New Roman" w:eastAsia="Times New Roman" w:hAnsi="Times New Roman"/>
          <w:sz w:val="20"/>
          <w:szCs w:val="20"/>
          <w:i w:val="1"/>
          <w:iCs w:val="1"/>
          <w:color w:val="auto"/>
        </w:rPr>
        <w:t>pari passu</w:t>
      </w:r>
      <w:r>
        <w:rPr>
          <w:rFonts w:ascii="Times New Roman" w:cs="Times New Roman" w:eastAsia="Times New Roman" w:hAnsi="Times New Roman"/>
          <w:sz w:val="20"/>
          <w:szCs w:val="20"/>
          <w:color w:val="auto"/>
        </w:rPr>
        <w:t xml:space="preserve"> with the Series 2021 Preferred Stock as to dividends and upon liquidation, dissolution, and winding-up of the Corporation, as the case may be (collectively, “</w:t>
      </w:r>
      <w:r>
        <w:rPr>
          <w:rFonts w:ascii="Times New Roman" w:cs="Times New Roman" w:eastAsia="Times New Roman" w:hAnsi="Times New Roman"/>
          <w:sz w:val="20"/>
          <w:szCs w:val="20"/>
          <w:u w:val="single" w:color="auto"/>
          <w:color w:val="auto"/>
        </w:rPr>
        <w:t>Series 2021 Parity Securities</w:t>
      </w:r>
      <w:r>
        <w:rPr>
          <w:rFonts w:ascii="Times New Roman" w:cs="Times New Roman" w:eastAsia="Times New Roman" w:hAnsi="Times New Roman"/>
          <w:sz w:val="20"/>
          <w:szCs w:val="20"/>
          <w:color w:val="auto"/>
        </w:rPr>
        <w:t>”); and</w:t>
      </w:r>
    </w:p>
    <w:p>
      <w:pPr>
        <w:spacing w:after="0" w:line="187" w:lineRule="exact"/>
        <w:rPr>
          <w:rFonts w:ascii="Times New Roman" w:cs="Times New Roman" w:eastAsia="Times New Roman" w:hAnsi="Times New Roman"/>
          <w:sz w:val="20"/>
          <w:szCs w:val="20"/>
          <w:color w:val="auto"/>
        </w:rPr>
      </w:pPr>
    </w:p>
    <w:p>
      <w:pPr>
        <w:jc w:val="both"/>
        <w:ind w:firstLine="1304"/>
        <w:spacing w:after="0" w:line="258" w:lineRule="auto"/>
        <w:tabs>
          <w:tab w:leader="none" w:pos="1944" w:val="left"/>
        </w:tabs>
        <w:numPr>
          <w:ilvl w:val="1"/>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junior, as to dividends and upon liquidation, dissolution, and winding-up of the Corporation, to any other class or series of capital stock of the Corporation now or hereafter authorized, issued, or outstanding that, by its terms, expressly provides that such class or series ranks senior to the Series 2021 Preferred Stock as to dividends and upon liquidation, dissolution, and winding-up of the Corporation, as the case may be.</w:t>
      </w:r>
    </w:p>
    <w:p>
      <w:pPr>
        <w:spacing w:after="0" w:line="172" w:lineRule="exact"/>
        <w:rPr>
          <w:sz w:val="20"/>
          <w:szCs w:val="20"/>
          <w:color w:val="auto"/>
        </w:rPr>
      </w:pPr>
    </w:p>
    <w:p>
      <w:pPr>
        <w:ind w:right="20"/>
        <w:spacing w:after="0" w:line="283" w:lineRule="auto"/>
        <w:rPr>
          <w:sz w:val="20"/>
          <w:szCs w:val="20"/>
          <w:color w:val="auto"/>
        </w:rPr>
      </w:pPr>
      <w:r>
        <w:rPr>
          <w:rFonts w:ascii="Times New Roman" w:cs="Times New Roman" w:eastAsia="Times New Roman" w:hAnsi="Times New Roman"/>
          <w:sz w:val="20"/>
          <w:szCs w:val="20"/>
          <w:color w:val="auto"/>
        </w:rPr>
        <w:t>The Corporation may authorize and issue additional shares of Series 2021 Junior Securities and Series 2021 Parity Securities from time to time without the consent of the holders of the Series 2021 Preferred Stock.</w:t>
      </w:r>
    </w:p>
    <w:p>
      <w:pPr>
        <w:spacing w:after="0" w:line="160" w:lineRule="exact"/>
        <w:rPr>
          <w:sz w:val="20"/>
          <w:szCs w:val="20"/>
          <w:color w:val="auto"/>
        </w:rPr>
      </w:pPr>
    </w:p>
    <w:p>
      <w:pPr>
        <w:ind w:left="1300" w:hanging="644"/>
        <w:spacing w:after="0"/>
        <w:tabs>
          <w:tab w:leader="none" w:pos="1300" w:val="left"/>
        </w:tabs>
        <w:numPr>
          <w:ilvl w:val="0"/>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Dividends</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A-2</w:t>
      </w:r>
    </w:p>
    <w:p>
      <w:pPr>
        <w:sectPr>
          <w:pgSz w:w="11900" w:h="16838" w:orient="portrait"/>
          <w:cols w:equalWidth="0" w:num="1">
            <w:col w:w="11240"/>
          </w:cols>
          <w:pgMar w:left="320" w:top="1413" w:right="339" w:bottom="1440" w:gutter="0" w:footer="0" w:header="0"/>
        </w:sectPr>
      </w:pPr>
    </w:p>
    <w:bookmarkStart w:id="98" w:name="page99"/>
    <w:bookmarkEnd w:id="98"/>
    <w:p>
      <w:pPr>
        <w:jc w:val="both"/>
        <w:ind w:firstLine="1304"/>
        <w:spacing w:after="0" w:line="258" w:lineRule="auto"/>
        <w:tabs>
          <w:tab w:leader="none" w:pos="1942" w:val="left"/>
        </w:tabs>
        <w:numPr>
          <w:ilvl w:val="0"/>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Holders of Series 2021 Preferred Stock shall be entitled to receive, only when, as, and if declared by the Board or a duly authorized committee of the Board, on each Series 2021 Dividend Payment Date (as defined below), out of assets legally available for the payment of dividends thereof, non-cumulative cash dividends based on the liquidation preference of the Series 2021 Preferred Stock of $10,000 per share, and no more, from the date of issuance at a rate equal to 6.0% per annum payable quarterly in arrears.</w:t>
      </w:r>
    </w:p>
    <w:p>
      <w:pPr>
        <w:spacing w:after="0" w:line="172" w:lineRule="exact"/>
        <w:rPr>
          <w:rFonts w:ascii="Times New Roman" w:cs="Times New Roman" w:eastAsia="Times New Roman" w:hAnsi="Times New Roman"/>
          <w:sz w:val="20"/>
          <w:szCs w:val="20"/>
          <w:color w:val="auto"/>
        </w:rPr>
      </w:pPr>
    </w:p>
    <w:p>
      <w:pPr>
        <w:jc w:val="both"/>
        <w:ind w:firstLine="1304"/>
        <w:spacing w:after="0" w:line="253" w:lineRule="auto"/>
        <w:tabs>
          <w:tab w:leader="none" w:pos="1943" w:val="left"/>
        </w:tabs>
        <w:numPr>
          <w:ilvl w:val="0"/>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declared by the Board or a duly authorized committee of the Board, dividends will be payable on the Series 2021 Preferred Stock quarterly in arrears on March 15, June 15, September 15 and December 15 of each year, beginning on June 15, 2021, each such day a “</w:t>
      </w:r>
      <w:r>
        <w:rPr>
          <w:rFonts w:ascii="Times New Roman" w:cs="Times New Roman" w:eastAsia="Times New Roman" w:hAnsi="Times New Roman"/>
          <w:sz w:val="20"/>
          <w:szCs w:val="20"/>
          <w:u w:val="single" w:color="auto"/>
          <w:color w:val="auto"/>
        </w:rPr>
        <w:t>Series 2021 Dividend Payment Date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however</w:t>
      </w:r>
      <w:r>
        <w:rPr>
          <w:rFonts w:ascii="Times New Roman" w:cs="Times New Roman" w:eastAsia="Times New Roman" w:hAnsi="Times New Roman"/>
          <w:sz w:val="20"/>
          <w:szCs w:val="20"/>
          <w:color w:val="auto"/>
        </w:rPr>
        <w:t>, that, if any such Series 2021 Dividend Payment Date is not a Business Day, then such date shall nevertheless be a Series 2021 Dividend Payment Date but dividends on the Series 2021 Preferred Stock shall be paid on the next succeeding Business Day (without interest or any other adjustment to the amount of dividends paid in respect of such delayed payment).</w:t>
      </w:r>
    </w:p>
    <w:p>
      <w:pPr>
        <w:spacing w:after="0" w:line="192" w:lineRule="exact"/>
        <w:rPr>
          <w:rFonts w:ascii="Times New Roman" w:cs="Times New Roman" w:eastAsia="Times New Roman" w:hAnsi="Times New Roman"/>
          <w:sz w:val="20"/>
          <w:szCs w:val="20"/>
          <w:color w:val="auto"/>
        </w:rPr>
      </w:pPr>
    </w:p>
    <w:p>
      <w:pPr>
        <w:jc w:val="both"/>
        <w:ind w:firstLine="1304"/>
        <w:spacing w:after="0" w:line="253" w:lineRule="auto"/>
        <w:tabs>
          <w:tab w:leader="none" w:pos="1944" w:val="left"/>
        </w:tabs>
        <w:numPr>
          <w:ilvl w:val="0"/>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Dividends will be payable to holders of record of Series 2021 Preferred Stock as they appear on the Corporation’s stock register on the applicable record date, which shall be the 15th calendar day before the applicable Series 2021 Dividend Payment Date, or such other record date, not less than 10 calendar days nor more than 30 calendar days before the applicable Series 2021 Dividend Payment Date, as such record date (the “</w:t>
      </w:r>
      <w:r>
        <w:rPr>
          <w:rFonts w:ascii="Times New Roman" w:cs="Times New Roman" w:eastAsia="Times New Roman" w:hAnsi="Times New Roman"/>
          <w:sz w:val="20"/>
          <w:szCs w:val="20"/>
          <w:u w:val="single" w:color="auto"/>
          <w:color w:val="auto"/>
        </w:rPr>
        <w:t>Dividend Record Date</w:t>
      </w:r>
      <w:r>
        <w:rPr>
          <w:rFonts w:ascii="Times New Roman" w:cs="Times New Roman" w:eastAsia="Times New Roman" w:hAnsi="Times New Roman"/>
          <w:sz w:val="20"/>
          <w:szCs w:val="20"/>
          <w:color w:val="auto"/>
        </w:rPr>
        <w:t>”) shall be fixed by the Board or a duly authorized committee of the Board. Any such day that is a Dividend Record Date shall be a Dividend Record Date whether or not such day is a Business Day.</w:t>
      </w:r>
    </w:p>
    <w:p>
      <w:pPr>
        <w:spacing w:after="0" w:line="191" w:lineRule="exact"/>
        <w:rPr>
          <w:rFonts w:ascii="Times New Roman" w:cs="Times New Roman" w:eastAsia="Times New Roman" w:hAnsi="Times New Roman"/>
          <w:sz w:val="20"/>
          <w:szCs w:val="20"/>
          <w:color w:val="auto"/>
        </w:rPr>
      </w:pPr>
    </w:p>
    <w:p>
      <w:pPr>
        <w:jc w:val="both"/>
        <w:ind w:firstLine="1304"/>
        <w:spacing w:after="0" w:line="251" w:lineRule="auto"/>
        <w:tabs>
          <w:tab w:leader="none" w:pos="1933" w:val="left"/>
        </w:tabs>
        <w:numPr>
          <w:ilvl w:val="0"/>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w:t>
      </w:r>
      <w:r>
        <w:rPr>
          <w:rFonts w:ascii="Times New Roman" w:cs="Times New Roman" w:eastAsia="Times New Roman" w:hAnsi="Times New Roman"/>
          <w:sz w:val="20"/>
          <w:szCs w:val="20"/>
          <w:u w:val="single" w:color="auto"/>
          <w:color w:val="auto"/>
        </w:rPr>
        <w:t>Series 2021 Dividend Period</w:t>
      </w:r>
      <w:r>
        <w:rPr>
          <w:rFonts w:ascii="Times New Roman" w:cs="Times New Roman" w:eastAsia="Times New Roman" w:hAnsi="Times New Roman"/>
          <w:sz w:val="20"/>
          <w:szCs w:val="20"/>
          <w:color w:val="auto"/>
        </w:rPr>
        <w:t>” is the period from and including a Series 2021 Dividend Payment Date to, but excluding, the next succeeding Series 2021 Dividend Payment Date, except that the initial Series 2021 Dividend Period will commence on and include the original issue date of Series 2021 Preferred Stock and continue to but exclude June 15, 2021. Dividends payable on Series 2021 Preferred Stock will be computed on the basis of a 360-day year consisting of twelve 30-day months. Dollar amounts resulting from the calculation will be rounded to the nearest cent, with one-half cent being rounded upward. Dividends on the Series 2021 Preferred Stock will cease to accrue on the redemption date, if any, with respect to the Series 2021 Preferred Stock redeemed, unless the Corporation defaults in the payment of the redemption price of the Series 2021 Preferred Stock called for redemption.</w:t>
      </w:r>
    </w:p>
    <w:p>
      <w:pPr>
        <w:spacing w:after="0" w:line="192" w:lineRule="exact"/>
        <w:rPr>
          <w:rFonts w:ascii="Times New Roman" w:cs="Times New Roman" w:eastAsia="Times New Roman" w:hAnsi="Times New Roman"/>
          <w:sz w:val="20"/>
          <w:szCs w:val="20"/>
          <w:color w:val="auto"/>
        </w:rPr>
      </w:pPr>
    </w:p>
    <w:p>
      <w:pPr>
        <w:jc w:val="both"/>
        <w:ind w:firstLine="1304"/>
        <w:spacing w:after="0" w:line="251" w:lineRule="auto"/>
        <w:tabs>
          <w:tab w:leader="none" w:pos="1932" w:val="left"/>
        </w:tabs>
        <w:numPr>
          <w:ilvl w:val="0"/>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Dividends on the Series 2021 Preferred Stock will not be cumulative and will not be mandatory. If the Board or a duly authorized committee of the Board does not declare a dividend, in full or otherwise, on the Series 2021 Preferred Stock in respect of a Series 2021 Dividend Period, then such unpaid dividends shall cease to accrue and shall not be payable on the applicable Series 2021 Dividend Payment Date or be cumulative, and the Corporation will have no obligation to pay (and the holders of the Series 2021 Preferred Stock will have no right to receive) dividends accrued for such Series 2021 Dividend Period after the Series 2021 Dividend Payment Date for such Series 2021 Dividend Period, whether or not the Board or a duly authorized committee of the Board declares a dividend for any future Series 2021 Dividend Period with respect to the Series 2021 Preferred Stock, the Common Stock, or any other class or series of the Corporation’s Preferred Stock. No interest, or sum of money in lieu of interest, shall be payable in respect of any dividend not declared.</w:t>
      </w:r>
    </w:p>
    <w:p>
      <w:pPr>
        <w:spacing w:after="0" w:line="195" w:lineRule="exact"/>
        <w:rPr>
          <w:rFonts w:ascii="Times New Roman" w:cs="Times New Roman" w:eastAsia="Times New Roman" w:hAnsi="Times New Roman"/>
          <w:sz w:val="20"/>
          <w:szCs w:val="20"/>
          <w:color w:val="auto"/>
        </w:rPr>
      </w:pPr>
    </w:p>
    <w:p>
      <w:pPr>
        <w:jc w:val="both"/>
        <w:ind w:firstLine="1304"/>
        <w:spacing w:after="0" w:line="261" w:lineRule="auto"/>
        <w:tabs>
          <w:tab w:leader="none" w:pos="1933" w:val="left"/>
        </w:tabs>
        <w:numPr>
          <w:ilvl w:val="0"/>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Notwithstanding any other provision hereof, dividends on the Series 2021 Preferred Stock shall not be declared, paid, or set aside for payment to the extent such act would cause the Corporation to fail to comply with the laws and regulations applicable to it, including applicable capital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A-3</w:t>
      </w:r>
    </w:p>
    <w:p>
      <w:pPr>
        <w:sectPr>
          <w:pgSz w:w="11900" w:h="16838" w:orient="portrait"/>
          <w:cols w:equalWidth="0" w:num="1">
            <w:col w:w="11240"/>
          </w:cols>
          <w:pgMar w:left="320" w:top="1413" w:right="339" w:bottom="1440" w:gutter="0" w:footer="0" w:header="0"/>
        </w:sectPr>
      </w:pPr>
    </w:p>
    <w:bookmarkStart w:id="99" w:name="page100"/>
    <w:bookmarkEnd w:id="99"/>
    <w:p>
      <w:pPr>
        <w:spacing w:after="0" w:line="283" w:lineRule="auto"/>
        <w:rPr>
          <w:sz w:val="20"/>
          <w:szCs w:val="20"/>
          <w:color w:val="auto"/>
        </w:rPr>
      </w:pPr>
      <w:r>
        <w:rPr>
          <w:rFonts w:ascii="Times New Roman" w:cs="Times New Roman" w:eastAsia="Times New Roman" w:hAnsi="Times New Roman"/>
          <w:sz w:val="20"/>
          <w:szCs w:val="20"/>
          <w:color w:val="auto"/>
        </w:rPr>
        <w:t>adequacy rules of the Board of Governors of the Federal Reserve System (the “</w:t>
      </w:r>
      <w:r>
        <w:rPr>
          <w:rFonts w:ascii="Times New Roman" w:cs="Times New Roman" w:eastAsia="Times New Roman" w:hAnsi="Times New Roman"/>
          <w:sz w:val="20"/>
          <w:szCs w:val="20"/>
          <w:u w:val="single" w:color="auto"/>
          <w:color w:val="auto"/>
        </w:rPr>
        <w:t>Federal Reserve</w:t>
      </w:r>
      <w:r>
        <w:rPr>
          <w:rFonts w:ascii="Times New Roman" w:cs="Times New Roman" w:eastAsia="Times New Roman" w:hAnsi="Times New Roman"/>
          <w:sz w:val="20"/>
          <w:szCs w:val="20"/>
          <w:color w:val="auto"/>
        </w:rPr>
        <w:t>”) or, as and if applicable, the capital adequacy rules or regulations of any Appropriate Federal Banking Agency.</w:t>
      </w:r>
    </w:p>
    <w:p>
      <w:pPr>
        <w:spacing w:after="0" w:line="146" w:lineRule="exact"/>
        <w:rPr>
          <w:sz w:val="20"/>
          <w:szCs w:val="20"/>
          <w:color w:val="auto"/>
        </w:rPr>
      </w:pPr>
    </w:p>
    <w:p>
      <w:pPr>
        <w:ind w:left="1940" w:hanging="636"/>
        <w:spacing w:after="0"/>
        <w:tabs>
          <w:tab w:leader="none" w:pos="1940" w:val="left"/>
        </w:tabs>
        <w:numPr>
          <w:ilvl w:val="1"/>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So long as any share of Series 2021 Preferred Stock remains outstanding:</w:t>
      </w:r>
    </w:p>
    <w:p>
      <w:pPr>
        <w:spacing w:after="0" w:line="229" w:lineRule="exact"/>
        <w:rPr>
          <w:rFonts w:ascii="Times New Roman" w:cs="Times New Roman" w:eastAsia="Times New Roman" w:hAnsi="Times New Roman"/>
          <w:sz w:val="20"/>
          <w:szCs w:val="20"/>
          <w:color w:val="auto"/>
        </w:rPr>
      </w:pPr>
    </w:p>
    <w:p>
      <w:pPr>
        <w:jc w:val="both"/>
        <w:ind w:firstLine="1952"/>
        <w:spacing w:after="0" w:line="253" w:lineRule="auto"/>
        <w:tabs>
          <w:tab w:leader="none" w:pos="2580" w:val="left"/>
        </w:tabs>
        <w:numPr>
          <w:ilvl w:val="2"/>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dividend shall be declared or paid or set aside for payment, and no distribution shall be declared or made or set aside for payment, on any Series 2021 Junior Securities, other than (i) a dividend payable on Series 2021 Junior Securities in the form of stock, warrants, options or other rights where the dividend stock or the stock issuable upon exercise of such warrants, options or other rights is the same stock as that on which the dividend is being paid, or ranks equal or junior to that stock, or is other Series 2021 Junior Securities, or (ii) any dividend in connection with the implementation of a shareholders’ rights plan, or the issuance of rights, stock, or other property under any such plan, or the redemption or repurchase of any rights under any such plan;</w:t>
      </w:r>
    </w:p>
    <w:p>
      <w:pPr>
        <w:spacing w:after="0" w:line="178" w:lineRule="exact"/>
        <w:rPr>
          <w:rFonts w:ascii="Times New Roman" w:cs="Times New Roman" w:eastAsia="Times New Roman" w:hAnsi="Times New Roman"/>
          <w:sz w:val="20"/>
          <w:szCs w:val="20"/>
          <w:color w:val="auto"/>
        </w:rPr>
      </w:pPr>
    </w:p>
    <w:p>
      <w:pPr>
        <w:jc w:val="both"/>
        <w:ind w:firstLine="1952"/>
        <w:spacing w:after="0" w:line="251" w:lineRule="auto"/>
        <w:tabs>
          <w:tab w:leader="none" w:pos="2580" w:val="left"/>
        </w:tabs>
        <w:numPr>
          <w:ilvl w:val="2"/>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shares of Series 2021 Junior Securities shall be repurchased, redeemed, or otherwise acquired for consideration by the Corporation, directly or indirectly, other than (i) as a result of a reclassification of Series 2021 Junior Securities for or into other Series 2021 Junior Securities, (ii) the exchange or conversion of one share of Series 2021 Junior Securities for or into another share of Series 2021 Junior Securities, (iii) through the use of the proceeds of a substantially contemporaneous sale of other shares of Series 2021 Junior Securities, (iv) purchases, redemptions, or other acquisitions of shares of Series 2021 Junior Securities in connection with any employment contract, benefit plan, or other similar arrangement with or for the benefit of employees, officers, directors, or consultants, (v) purchases of shares of Series 2021 Junior Securities pursuant to a contractually binding requirement to buy Series 2021 Junior Securities existing prior to the most recently completed Series 2021 Dividend Period, including under a contractually binding stock repurchase plan,</w:t>
      </w:r>
    </w:p>
    <w:p>
      <w:pPr>
        <w:spacing w:after="0" w:line="1" w:lineRule="exact"/>
        <w:rPr>
          <w:rFonts w:ascii="Times New Roman" w:cs="Times New Roman" w:eastAsia="Times New Roman" w:hAnsi="Times New Roman"/>
          <w:sz w:val="20"/>
          <w:szCs w:val="20"/>
          <w:color w:val="auto"/>
        </w:rPr>
      </w:pPr>
    </w:p>
    <w:p>
      <w:pPr>
        <w:ind w:left="360" w:hanging="352"/>
        <w:spacing w:after="0"/>
        <w:tabs>
          <w:tab w:leader="none" w:pos="360" w:val="left"/>
        </w:tabs>
        <w:numPr>
          <w:ilvl w:val="0"/>
          <w:numId w:val="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purchase of fractional interests in shares of Series 2021 Junior Securities pursuant to the conversion or exchange provisions of such</w:t>
      </w:r>
    </w:p>
    <w:p>
      <w:pPr>
        <w:spacing w:after="0" w:line="6"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0"/>
          <w:szCs w:val="20"/>
          <w:color w:val="auto"/>
        </w:rPr>
        <w:t>stock or the security being converted or exchanged or (vii) the acquisition by the Corporation or any of the Corporation’s subsidiaries of record ownership in Series 2021 Junior Stock for the beneficial ownership of any other persons (other than for the beneficial ownership by the Corporation or any of the Corporation’s subsidiaries), including as trustees or custodians; nor shall any monies be paid to or made available for a sinking fund for the redemption of any such Series 2021 Junior Securities by the Corporation; and</w:t>
      </w:r>
    </w:p>
    <w:p>
      <w:pPr>
        <w:spacing w:after="0" w:line="195" w:lineRule="exact"/>
        <w:rPr>
          <w:sz w:val="20"/>
          <w:szCs w:val="20"/>
          <w:color w:val="auto"/>
        </w:rPr>
      </w:pPr>
    </w:p>
    <w:p>
      <w:pPr>
        <w:jc w:val="both"/>
        <w:ind w:firstLine="1952"/>
        <w:spacing w:after="0" w:line="251" w:lineRule="auto"/>
        <w:tabs>
          <w:tab w:leader="none" w:pos="2580" w:val="left"/>
        </w:tabs>
        <w:numPr>
          <w:ilvl w:val="0"/>
          <w:numId w:val="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shares of Series 2021 Parity Securities shall be repurchased, redeemed, or otherwise acquired for consideration by the Corporation, directly or indirectly, other than (i) pursuant to pro rata offers to purchase all, or a pro rata portion, of the Series 2021 Preferred Stock and such Series 2021 Parity Securities, if any, (ii) as a result of a reclassification of Series 2021 Parity Securities for or into other Series 2021 Parity Securities, (iii) the exchange or conversion of one share of Series 2021 Parity Securities or Series 2021 Junior Securities for or into another share of Series 2021 Parity Securities, (iv) through the use of the proceeds of a substantially contemporaneous sale of other shares of Series 2021 Parity Securities, (v) purchases of shares of Series 2021 Parity Securities pursuant to a contractually binding requirement to buy Series 2021 Parity Securities existing prior to the most recently completed Series 2021 Dividend Period, including under a contractually binding stock repurchase plan, (vi) the purchase of fractional interests in shares of Series 2021 Parity Securities pursuant to the conversion or exchange provisions of such stock or the security being converted or exchanged or (vii) the acquisition by the Corporation or any of the Corporation’s subsidiaries of record ownership in Series 2021 Parity Securities for the beneficial ownership of any other persons (other than for the beneficial ownership by the Corporation or any of the Corporation’s subsidiaries), including as trustees or custodians; nor shall any monies be paid to or made available for a sinking fund for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A-4</w:t>
      </w:r>
    </w:p>
    <w:p>
      <w:pPr>
        <w:sectPr>
          <w:pgSz w:w="11900" w:h="16838" w:orient="portrait"/>
          <w:cols w:equalWidth="0" w:num="1">
            <w:col w:w="11240"/>
          </w:cols>
          <w:pgMar w:left="320" w:top="1413" w:right="339" w:bottom="1440" w:gutter="0" w:footer="0" w:header="0"/>
        </w:sectPr>
      </w:pPr>
    </w:p>
    <w:bookmarkStart w:id="100" w:name="page101"/>
    <w:bookmarkEnd w:id="100"/>
    <w:p>
      <w:pPr>
        <w:jc w:val="both"/>
        <w:spacing w:after="0" w:line="254" w:lineRule="auto"/>
        <w:rPr>
          <w:sz w:val="20"/>
          <w:szCs w:val="20"/>
          <w:color w:val="auto"/>
        </w:rPr>
      </w:pPr>
      <w:r>
        <w:rPr>
          <w:rFonts w:ascii="Times New Roman" w:cs="Times New Roman" w:eastAsia="Times New Roman" w:hAnsi="Times New Roman"/>
          <w:sz w:val="20"/>
          <w:szCs w:val="20"/>
          <w:color w:val="auto"/>
        </w:rPr>
        <w:t xml:space="preserve">redemption of any such securities by the Corporation; </w:t>
      </w:r>
      <w:r>
        <w:rPr>
          <w:rFonts w:ascii="Times New Roman" w:cs="Times New Roman" w:eastAsia="Times New Roman" w:hAnsi="Times New Roman"/>
          <w:sz w:val="20"/>
          <w:szCs w:val="20"/>
          <w:i w:val="1"/>
          <w:iCs w:val="1"/>
          <w:color w:val="auto"/>
        </w:rPr>
        <w:t>unless, in each case</w:t>
      </w:r>
      <w:r>
        <w:rPr>
          <w:rFonts w:ascii="Times New Roman" w:cs="Times New Roman" w:eastAsia="Times New Roman" w:hAnsi="Times New Roman"/>
          <w:sz w:val="20"/>
          <w:szCs w:val="20"/>
          <w:color w:val="auto"/>
        </w:rPr>
        <w:t xml:space="preserve">, the full dividends for the most recently completed Series 2021 Dividend Period on all outstanding shares of Series 2021 Preferred Stock have been declared and paid (or declared and a sum sufficient for the payment thereof has been set aside). Nothing in </w:t>
      </w:r>
      <w:r>
        <w:rPr>
          <w:rFonts w:ascii="Times New Roman" w:cs="Times New Roman" w:eastAsia="Times New Roman" w:hAnsi="Times New Roman"/>
          <w:sz w:val="20"/>
          <w:szCs w:val="20"/>
          <w:u w:val="single" w:color="auto"/>
          <w:color w:val="auto"/>
        </w:rPr>
        <w:t>Sections 4(e)(vii)(2)</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4(e)(vii)(3)</w:t>
      </w:r>
      <w:r>
        <w:rPr>
          <w:rFonts w:ascii="Times New Roman" w:cs="Times New Roman" w:eastAsia="Times New Roman" w:hAnsi="Times New Roman"/>
          <w:sz w:val="20"/>
          <w:szCs w:val="20"/>
          <w:color w:val="auto"/>
        </w:rPr>
        <w:t xml:space="preserve"> of this Article shall restrict the ability of the Corporation or any affiliate of the Corporation to engage in any market-making transactions or purchases in connection with the distribution of securities in the ordinary course of business.</w:t>
      </w:r>
    </w:p>
    <w:p>
      <w:pPr>
        <w:spacing w:after="0" w:line="191" w:lineRule="exact"/>
        <w:rPr>
          <w:sz w:val="20"/>
          <w:szCs w:val="20"/>
          <w:color w:val="auto"/>
        </w:rPr>
      </w:pPr>
    </w:p>
    <w:p>
      <w:pPr>
        <w:jc w:val="both"/>
        <w:ind w:firstLine="1952"/>
        <w:spacing w:after="0" w:line="250" w:lineRule="auto"/>
        <w:tabs>
          <w:tab w:leader="none" w:pos="2580" w:val="left"/>
        </w:tabs>
        <w:numPr>
          <w:ilvl w:val="2"/>
          <w:numId w:val="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When dividends are not paid (or declared and a sum sufficient for payment thereof set aside) on any Series 2021 Dividend Payment Date (or, in the case of Series 2021 Parity Securities having dividend payment dates different from the Series 2021 Dividend Payment Dates, on a dividend payment date falling within a Series 2021 Dividend Period) in full upon the Series 2021 Preferred Stock and any shares of Series 2021 Parity Securities, all dividends declared on the Series 2021 Preferred Stock and all such Series 2021 Parity Securities and payable on such Series 2021 Dividend Payment Date (or, in the case of Series 2021 Parity Securities having dividend payment dates different from the Series 2021 Dividend Payment Dates, on a dividend payment date falling within the Series 2021 Dividend Period related to such Series 2021 Dividend Payment Date) shall be declared pro rata so that the respective amounts of such dividends shall bear the same ratio to each other as all accrued but unpaid dividends per share on the Series 2021 Preferred Stock and all Series 2021 Parity Securities payable on such Series 2021 Dividend Payment Date (or, in the case of Series 2021 Parity Securities having dividend payment dates different from the Series 2021 Dividend Payment Dates, on a dividend payment date falling within the Series 2021 Dividend Period related to such Series 2021 Dividend Payment Date) bear to each other.</w:t>
      </w:r>
    </w:p>
    <w:p>
      <w:pPr>
        <w:spacing w:after="0" w:line="199" w:lineRule="exact"/>
        <w:rPr>
          <w:rFonts w:ascii="Times New Roman" w:cs="Times New Roman" w:eastAsia="Times New Roman" w:hAnsi="Times New Roman"/>
          <w:sz w:val="20"/>
          <w:szCs w:val="20"/>
          <w:color w:val="auto"/>
        </w:rPr>
      </w:pPr>
    </w:p>
    <w:p>
      <w:pPr>
        <w:jc w:val="both"/>
        <w:ind w:firstLine="1952"/>
        <w:spacing w:after="0" w:line="254" w:lineRule="auto"/>
        <w:tabs>
          <w:tab w:leader="none" w:pos="2580" w:val="left"/>
        </w:tabs>
        <w:numPr>
          <w:ilvl w:val="2"/>
          <w:numId w:val="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Subject to the foregoing, and not otherwise, dividends (payable in cash, securities, or otherwise), as may be determined by the Board or a duly authorized committee of the Board, may be declared and paid on the Common Stock and any other class or series of capital stock ranking equally with or junior to Series 2021 Preferred Stock from time to time out of any assets legally available for such payment, and the holders of Series 2021 Preferred Stock shall not be entitled to participate in any such dividend.</w:t>
      </w:r>
    </w:p>
    <w:p>
      <w:pPr>
        <w:spacing w:after="0" w:line="187"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Liquidation</w:t>
      </w:r>
      <w:r>
        <w:rPr>
          <w:rFonts w:ascii="Times New Roman" w:cs="Times New Roman" w:eastAsia="Times New Roman" w:hAnsi="Times New Roman"/>
          <w:sz w:val="20"/>
          <w:szCs w:val="20"/>
          <w:color w:val="auto"/>
        </w:rPr>
        <w:t>.</w:t>
      </w:r>
    </w:p>
    <w:p>
      <w:pPr>
        <w:spacing w:after="0" w:line="215" w:lineRule="exact"/>
        <w:rPr>
          <w:rFonts w:ascii="Times New Roman" w:cs="Times New Roman" w:eastAsia="Times New Roman" w:hAnsi="Times New Roman"/>
          <w:sz w:val="20"/>
          <w:szCs w:val="20"/>
          <w:color w:val="auto"/>
        </w:rPr>
      </w:pPr>
    </w:p>
    <w:p>
      <w:pPr>
        <w:jc w:val="both"/>
        <w:ind w:firstLine="1304"/>
        <w:spacing w:after="0" w:line="252" w:lineRule="auto"/>
        <w:tabs>
          <w:tab w:leader="none" w:pos="1942" w:val="left"/>
        </w:tabs>
        <w:numPr>
          <w:ilvl w:val="1"/>
          <w:numId w:val="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Upon any voluntary or involuntary liquidation, dissolution, or winding-up of the Corporation, holders of Series 2021 Preferred Stock shall be entitled to receive out of the assets of the Corporation available for distribution to shareholders, after satisfaction of liabilities and obligations to creditors, if any, and subject to the rights of holders of any securities then outstanding ranking senior to or on parity with Series 2021 Preferred Stock with respect to distributions of assets upon the liquidation, dissolution or winding-up of the Corporation, before any distribution or payment out of the assets of the Corporation is made to holders of Common Stock or any Series 2021 Junior Securities, a liquidating distribution in the amount of the liquidation preference of $10,000 per share plus the per share amount of any declared and unpaid dividends on the Series 2021 Preferred Stock prior to the payment of the liquidating distribution, without accumulation of any dividends that have not been declared prior to the payment of the liquidating distribution. After payment of the full amount of such liquidating distribution, the holders of the Series 2021 Preferred Stock shall not be entitled to any further participation in any distribution of assets of the Corporation.</w:t>
      </w:r>
    </w:p>
    <w:p>
      <w:pPr>
        <w:spacing w:after="0" w:line="177" w:lineRule="exact"/>
        <w:rPr>
          <w:rFonts w:ascii="Times New Roman" w:cs="Times New Roman" w:eastAsia="Times New Roman" w:hAnsi="Times New Roman"/>
          <w:sz w:val="20"/>
          <w:szCs w:val="20"/>
          <w:color w:val="auto"/>
        </w:rPr>
      </w:pPr>
    </w:p>
    <w:p>
      <w:pPr>
        <w:jc w:val="both"/>
        <w:ind w:firstLine="1304"/>
        <w:spacing w:after="0" w:line="268" w:lineRule="auto"/>
        <w:tabs>
          <w:tab w:leader="none" w:pos="1943" w:val="left"/>
        </w:tabs>
        <w:numPr>
          <w:ilvl w:val="1"/>
          <w:numId w:val="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any such liquidating distribution, if the assets of the Corporation are not sufficient to pay the liquidation preferences (as defined below) in full to all holders of Series 2021 Preferred Stock and all holders of any Series 2021 Parity Securities, the amounts paid to the holders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A-5</w:t>
      </w:r>
    </w:p>
    <w:p>
      <w:pPr>
        <w:sectPr>
          <w:pgSz w:w="11900" w:h="16838" w:orient="portrait"/>
          <w:cols w:equalWidth="0" w:num="1">
            <w:col w:w="11240"/>
          </w:cols>
          <w:pgMar w:left="320" w:top="1409" w:right="339" w:bottom="1440" w:gutter="0" w:footer="0" w:header="0"/>
        </w:sectPr>
      </w:pPr>
    </w:p>
    <w:bookmarkStart w:id="101" w:name="page102"/>
    <w:bookmarkEnd w:id="101"/>
    <w:p>
      <w:pPr>
        <w:jc w:val="both"/>
        <w:spacing w:after="0" w:line="253" w:lineRule="auto"/>
        <w:rPr>
          <w:sz w:val="20"/>
          <w:szCs w:val="20"/>
          <w:color w:val="auto"/>
        </w:rPr>
      </w:pPr>
      <w:r>
        <w:rPr>
          <w:rFonts w:ascii="Times New Roman" w:cs="Times New Roman" w:eastAsia="Times New Roman" w:hAnsi="Times New Roman"/>
          <w:sz w:val="20"/>
          <w:szCs w:val="20"/>
          <w:color w:val="auto"/>
        </w:rPr>
        <w:t>Series 2021 Preferred Stock and to the holders of all Series 2021 Parity Securities will be paid pro rata in accordance with the respective aggregate liquidation preferences owed to those holders. In any such distribution, the “liquidation preference” of any holder of Series 2021 Preferred Stock or any Series 2021 Parity Securities means the amount otherwise payable to such holder in such distribution (assuming no limitation on the Corporation’s assets available for such distribution), including any declared but unpaid dividends (and, in the case of any holder of stock other than the Series 2021 Preferred Stock on which dividends accrue on a cumulative basis, an amount equal to any unpaid, accrued, cumulative dividends, whether or not declared, as applicable).</w:t>
      </w:r>
    </w:p>
    <w:p>
      <w:pPr>
        <w:spacing w:after="0" w:line="192" w:lineRule="exact"/>
        <w:rPr>
          <w:sz w:val="20"/>
          <w:szCs w:val="20"/>
          <w:color w:val="auto"/>
        </w:rPr>
      </w:pPr>
    </w:p>
    <w:p>
      <w:pPr>
        <w:jc w:val="both"/>
        <w:ind w:firstLine="1304"/>
        <w:spacing w:after="0" w:line="261" w:lineRule="auto"/>
        <w:tabs>
          <w:tab w:leader="none" w:pos="1944" w:val="left"/>
        </w:tabs>
        <w:numPr>
          <w:ilvl w:val="1"/>
          <w:numId w:val="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the liquidation preference has been paid in full to all holders of Series 2021 Preferred Stock and any Series 2021 Parity Securities, the holders of the Corporation’s Series 2021 Junior Securities shall be entitled to receive all remaining assets of the Corporation according to their respective rights and preferences.</w:t>
      </w:r>
    </w:p>
    <w:p>
      <w:pPr>
        <w:spacing w:after="0" w:line="167" w:lineRule="exact"/>
        <w:rPr>
          <w:rFonts w:ascii="Times New Roman" w:cs="Times New Roman" w:eastAsia="Times New Roman" w:hAnsi="Times New Roman"/>
          <w:sz w:val="20"/>
          <w:szCs w:val="20"/>
          <w:color w:val="auto"/>
        </w:rPr>
      </w:pPr>
    </w:p>
    <w:p>
      <w:pPr>
        <w:jc w:val="both"/>
        <w:ind w:firstLine="1304"/>
        <w:spacing w:after="0" w:line="258" w:lineRule="auto"/>
        <w:tabs>
          <w:tab w:leader="none" w:pos="1933" w:val="left"/>
        </w:tabs>
        <w:numPr>
          <w:ilvl w:val="1"/>
          <w:numId w:val="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For purposes of this </w:t>
      </w:r>
      <w:r>
        <w:rPr>
          <w:rFonts w:ascii="Times New Roman" w:cs="Times New Roman" w:eastAsia="Times New Roman" w:hAnsi="Times New Roman"/>
          <w:sz w:val="20"/>
          <w:szCs w:val="20"/>
          <w:u w:val="single" w:color="auto"/>
          <w:color w:val="auto"/>
        </w:rPr>
        <w:t>Section 4(f)</w:t>
      </w:r>
      <w:r>
        <w:rPr>
          <w:rFonts w:ascii="Times New Roman" w:cs="Times New Roman" w:eastAsia="Times New Roman" w:hAnsi="Times New Roman"/>
          <w:sz w:val="20"/>
          <w:szCs w:val="20"/>
          <w:color w:val="auto"/>
        </w:rPr>
        <w:t>, neither the sale, conveyance, exchange, or transfer of all or substantially all of the assets or business of the Corporation for cash, securities, or other property, nor the merger or consolidation of the Corporation with any other entity, including a merger or consolidation in which the holders of Series 2021 Preferred Stock receive cash, securities, or property for their shares, shall constitute a liquidation, dissolution, or winding-up of the Corporation.</w:t>
      </w:r>
    </w:p>
    <w:p>
      <w:pPr>
        <w:spacing w:after="0" w:line="185"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Redemption</w:t>
      </w:r>
      <w:r>
        <w:rPr>
          <w:rFonts w:ascii="Times New Roman" w:cs="Times New Roman" w:eastAsia="Times New Roman" w:hAnsi="Times New Roman"/>
          <w:sz w:val="20"/>
          <w:szCs w:val="20"/>
          <w:color w:val="auto"/>
        </w:rPr>
        <w:t>.</w:t>
      </w:r>
    </w:p>
    <w:p>
      <w:pPr>
        <w:spacing w:after="0" w:line="215" w:lineRule="exact"/>
        <w:rPr>
          <w:rFonts w:ascii="Times New Roman" w:cs="Times New Roman" w:eastAsia="Times New Roman" w:hAnsi="Times New Roman"/>
          <w:sz w:val="20"/>
          <w:szCs w:val="20"/>
          <w:color w:val="auto"/>
        </w:rPr>
      </w:pPr>
    </w:p>
    <w:p>
      <w:pPr>
        <w:jc w:val="both"/>
        <w:ind w:firstLine="1304"/>
        <w:spacing w:after="0" w:line="253" w:lineRule="auto"/>
        <w:tabs>
          <w:tab w:leader="none" w:pos="1942" w:val="left"/>
        </w:tabs>
        <w:numPr>
          <w:ilvl w:val="1"/>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Series 2021 Preferred Stock is perpetual and has no maturity date. The Series 2021 Preferred Stock is not subject to any mandatory redemption, sinking fund, or other similar provision. The Series 2021 Preferred Stock is not redeemable prior to the 5-year Anniversary Date. On and after the 5-year Anniversary Date, shares of the Series 2021 Preferred Stock then outstanding will be redeemable at the option of the Corporation, in whole or in part, from time to time, on any Series 2021 Dividend Payment Date, at a redemption price equal to $10,000 per share, plus any declared and unpaid dividends, without accumulation of any undeclared dividends, to, but excluding, the date of redemption.</w:t>
      </w:r>
    </w:p>
    <w:p>
      <w:pPr>
        <w:spacing w:after="0" w:line="192"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20"/>
          <w:szCs w:val="20"/>
          <w:color w:val="auto"/>
        </w:rPr>
        <w:t xml:space="preserve">Holders of the Series 2021 Preferred Stock will have no right to require the redemption or repurchase of Series 2021 Preferred Stock. Notwithstanding the foregoing, within 90 days following the occurrence of a Regulatory Capital Treatment Event (as defined below), the Corporation, at its option, may redeem, at any time, all (but not less than all) of the shares of the Series 2021 Preferred Stock at the time outstanding, at a redemption price equal to $10,000 per share, plus any declared and unpaid dividends, without accumulation of any undeclared dividends, upon notice given as provided in </w:t>
      </w:r>
      <w:r>
        <w:rPr>
          <w:rFonts w:ascii="Times New Roman" w:cs="Times New Roman" w:eastAsia="Times New Roman" w:hAnsi="Times New Roman"/>
          <w:sz w:val="20"/>
          <w:szCs w:val="20"/>
          <w:u w:val="single" w:color="auto"/>
          <w:color w:val="auto"/>
        </w:rPr>
        <w:t>Subsection (g)(ii)</w:t>
      </w:r>
      <w:r>
        <w:rPr>
          <w:rFonts w:ascii="Times New Roman" w:cs="Times New Roman" w:eastAsia="Times New Roman" w:hAnsi="Times New Roman"/>
          <w:sz w:val="20"/>
          <w:szCs w:val="20"/>
          <w:color w:val="auto"/>
        </w:rPr>
        <w:t xml:space="preserve"> below. Any declared but unpaid dividends payable on a redemption date that occurs subsequent to the record date for a Series 2021 Dividend Period shall not be paid to the holder entitled to receive the redemption price on the redemption date, but rather shall be paid to the holder of record of the redeemed shares on such Dividend Record Date relating to the Series 2021 Dividend Payment Date as provided in </w:t>
      </w:r>
      <w:r>
        <w:rPr>
          <w:rFonts w:ascii="Times New Roman" w:cs="Times New Roman" w:eastAsia="Times New Roman" w:hAnsi="Times New Roman"/>
          <w:sz w:val="20"/>
          <w:szCs w:val="20"/>
          <w:u w:val="single" w:color="auto"/>
          <w:color w:val="auto"/>
        </w:rPr>
        <w:t>Section 4(e)(iii)</w:t>
      </w:r>
      <w:r>
        <w:rPr>
          <w:rFonts w:ascii="Times New Roman" w:cs="Times New Roman" w:eastAsia="Times New Roman" w:hAnsi="Times New Roman"/>
          <w:sz w:val="20"/>
          <w:szCs w:val="20"/>
          <w:color w:val="auto"/>
        </w:rPr>
        <w:t xml:space="preserve"> above. In all cases, the Corporation may not redeem shares of the Series 2021 Preferred Stock without having received the prior approval of the Federal Reserve or any Appropriate Federal Banking Agency if then required under capital rules or guidelines applicable to the Corporation.</w:t>
      </w:r>
    </w:p>
    <w:p>
      <w:pPr>
        <w:spacing w:after="0" w:line="196"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20"/>
          <w:szCs w:val="20"/>
          <w:color w:val="auto"/>
        </w:rPr>
        <w:t>A “</w:t>
      </w:r>
      <w:r>
        <w:rPr>
          <w:rFonts w:ascii="Times New Roman" w:cs="Times New Roman" w:eastAsia="Times New Roman" w:hAnsi="Times New Roman"/>
          <w:sz w:val="20"/>
          <w:szCs w:val="20"/>
          <w:u w:val="single" w:color="auto"/>
          <w:color w:val="auto"/>
        </w:rPr>
        <w:t>Regulatory Capital Treatment Event</w:t>
      </w:r>
      <w:r>
        <w:rPr>
          <w:rFonts w:ascii="Times New Roman" w:cs="Times New Roman" w:eastAsia="Times New Roman" w:hAnsi="Times New Roman"/>
          <w:sz w:val="20"/>
          <w:szCs w:val="20"/>
          <w:color w:val="auto"/>
        </w:rPr>
        <w:t>” means the good faith determination by the Corporation that, as a result of (i) any amendment to, clarification of, or change in, the laws, rules, or regulations of the United States (including, for the avoidance of doubt, any agency or instrumentality of the United States, including the Federal Reserve and other appropriate federal bank regulatory agencies) or any political subdivision of or in the United States (including, for the avoidance of doubt, any agency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A-6</w:t>
      </w:r>
    </w:p>
    <w:p>
      <w:pPr>
        <w:sectPr>
          <w:pgSz w:w="11900" w:h="16838" w:orient="portrait"/>
          <w:cols w:equalWidth="0" w:num="1">
            <w:col w:w="11240"/>
          </w:cols>
          <w:pgMar w:left="320" w:top="1413" w:right="339" w:bottom="1440" w:gutter="0" w:footer="0" w:header="0"/>
        </w:sectPr>
      </w:pPr>
    </w:p>
    <w:bookmarkStart w:id="102" w:name="page103"/>
    <w:bookmarkEnd w:id="102"/>
    <w:p>
      <w:pPr>
        <w:jc w:val="both"/>
        <w:spacing w:after="0" w:line="250" w:lineRule="auto"/>
        <w:rPr>
          <w:sz w:val="20"/>
          <w:szCs w:val="20"/>
          <w:color w:val="auto"/>
        </w:rPr>
      </w:pPr>
      <w:r>
        <w:rPr>
          <w:rFonts w:ascii="Times New Roman" w:cs="Times New Roman" w:eastAsia="Times New Roman" w:hAnsi="Times New Roman"/>
          <w:sz w:val="20"/>
          <w:szCs w:val="20"/>
          <w:color w:val="auto"/>
        </w:rPr>
        <w:t>or instrumentality of the United States, including the Federal Reserve and other federal bank regulatory agencies) that is enacted or becomes effective after the initial issuance of any share of the Series 2021 Preferred Stock; (ii) any proposed change in those laws, rules, or regulations that is announced or becomes effective after the initial issuance of any share of the Series 2021 Preferred Stock; or (iii) any official administrative decision or judicial decision or administrative action or other official pronouncement interpreting or applying those laws, rules, or regulations or policies with respect thereto that is announced or becomes effective after the initial issuance of any share of the Series 2021 Preferred Stock, there is more than an insubstantial risk that the Corporation will not be entitled to treat the full liquidation value of $10,000 per share of the Series 2021 Preferred Stock then outstanding as “tier 1 capital” (or its equivalent) for purposes of the capital adequacy guidelines, rules or regulations of the Federal Reserve (or, as and if applicable, the capital adequacy rules, guidelines or regulations of any successor Appropriate Federal Banking Agency), as then in effect and applicable, for so long as any share of the Series 2021 Preferred Stock is outstanding.</w:t>
      </w:r>
    </w:p>
    <w:p>
      <w:pPr>
        <w:spacing w:after="0" w:line="196" w:lineRule="exact"/>
        <w:rPr>
          <w:sz w:val="20"/>
          <w:szCs w:val="20"/>
          <w:color w:val="auto"/>
        </w:rPr>
      </w:pPr>
    </w:p>
    <w:p>
      <w:pPr>
        <w:jc w:val="both"/>
        <w:ind w:firstLine="1304"/>
        <w:spacing w:after="0" w:line="250" w:lineRule="auto"/>
        <w:tabs>
          <w:tab w:leader="none" w:pos="1943" w:val="left"/>
        </w:tabs>
        <w:numPr>
          <w:ilvl w:val="0"/>
          <w:numId w:val="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shares of Series 2021 Preferred Stock are to be redeemed, the notice of redemption shall be given to the holders of record of Series 2021 Preferred Stock to be redeemed by first class mail, postage prepaid, addressed to the holders of record of such shares to be redeemed at their respective last addresses appearing on the Corporation’s stock register not less than 30 days nor more than 60 days prior to the date fixed for redemption thereof (provided that, if the shares of Series 2021 Preferred Stock or the depositary shares representing Series 2021 Preferred Stock, if any, are held in book-entry form through The Depository Trust Company (“</w:t>
      </w:r>
      <w:r>
        <w:rPr>
          <w:rFonts w:ascii="Times New Roman" w:cs="Times New Roman" w:eastAsia="Times New Roman" w:hAnsi="Times New Roman"/>
          <w:sz w:val="20"/>
          <w:szCs w:val="20"/>
          <w:u w:val="single" w:color="auto"/>
          <w:color w:val="auto"/>
        </w:rPr>
        <w:t>DTC</w:t>
      </w:r>
      <w:r>
        <w:rPr>
          <w:rFonts w:ascii="Times New Roman" w:cs="Times New Roman" w:eastAsia="Times New Roman" w:hAnsi="Times New Roman"/>
          <w:sz w:val="20"/>
          <w:szCs w:val="20"/>
          <w:color w:val="auto"/>
        </w:rPr>
        <w:t>”), the Corporation may give such notice in any manner permitted by DTC). Each notice of redemption will include a statement setting forth (i) the redemption date; (ii) the number of shares of Series 2021 Preferred Stock to be redeemed and, if less than all the shares held by such holder are to be redeemed, the number of such shares to be redeemed from such holder; (iii) the redemption price; (iv) the place or places where certificates for such shares are to be surrendered for payment of the redemption price; and (v) that dividends on the shares to be redeemed will cease to accrue on the redemption date. If notice of redemption of any shares of Series 2021 Preferred Stock has been duly given and if the funds necessary for such redemption have been set aside by the Corporation for the benefit of the holders of any shares of Series 2021 Preferred Stock so called for redemption, then, on and after the redemption date, dividends will cease to accrue on such shares of Series 2021 Preferred Stock; such shares of Series 2021 Preferred Stock shall no longer be deemed outstanding; and all rights of the holders of such shares will terminate, except the right to receive the redemption price described in S</w:t>
      </w:r>
      <w:r>
        <w:rPr>
          <w:rFonts w:ascii="Times New Roman" w:cs="Times New Roman" w:eastAsia="Times New Roman" w:hAnsi="Times New Roman"/>
          <w:sz w:val="20"/>
          <w:szCs w:val="20"/>
          <w:u w:val="single" w:color="auto"/>
          <w:color w:val="auto"/>
        </w:rPr>
        <w:t>ubsection (g)(i)</w:t>
      </w:r>
      <w:r>
        <w:rPr>
          <w:rFonts w:ascii="Times New Roman" w:cs="Times New Roman" w:eastAsia="Times New Roman" w:hAnsi="Times New Roman"/>
          <w:sz w:val="20"/>
          <w:szCs w:val="20"/>
          <w:color w:val="auto"/>
        </w:rPr>
        <w:t xml:space="preserve"> above, without interest.</w:t>
      </w:r>
    </w:p>
    <w:p>
      <w:pPr>
        <w:spacing w:after="0" w:line="183" w:lineRule="exact"/>
        <w:rPr>
          <w:rFonts w:ascii="Times New Roman" w:cs="Times New Roman" w:eastAsia="Times New Roman" w:hAnsi="Times New Roman"/>
          <w:sz w:val="20"/>
          <w:szCs w:val="20"/>
          <w:color w:val="auto"/>
        </w:rPr>
      </w:pPr>
    </w:p>
    <w:p>
      <w:pPr>
        <w:jc w:val="both"/>
        <w:ind w:firstLine="1304"/>
        <w:spacing w:after="0" w:line="258" w:lineRule="auto"/>
        <w:tabs>
          <w:tab w:leader="none" w:pos="1944" w:val="left"/>
        </w:tabs>
        <w:numPr>
          <w:ilvl w:val="0"/>
          <w:numId w:val="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case of any redemption of only part of the shares of Series 2021 Preferred Stock at the time outstanding, the shares to be redeemed shall be selected (1) pro rata from the holders of record of the Series 2021 Preferred Stock in proportion to the number of shares of the Series 2021 Preferred Stock held by such holders, (2) by lot, or (3) in such other manner as the Corporation may determine to be equitable and permitted by DTC.</w:t>
      </w:r>
    </w:p>
    <w:p>
      <w:pPr>
        <w:spacing w:after="0" w:line="186"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20"/>
          <w:szCs w:val="20"/>
          <w:color w:val="auto"/>
        </w:rPr>
        <w:t>Subject to the provisions hereof, the Board (or a duly authorized committee of the Board) shall have full power and authority to prescribe the terms and conditions on which shares of the Series 2021 Preferred Stock shall be redeemed from time to time. If the Corporation shall have issued certificates for the Series 2021 Preferred Stock and fewer than all shares represented by any certificates are redeemed, new certificates shall be issued representing the unredeemed shares without charge to the holders thereof.</w:t>
      </w:r>
    </w:p>
    <w:p>
      <w:pPr>
        <w:spacing w:after="0" w:line="187" w:lineRule="exact"/>
        <w:rPr>
          <w:sz w:val="20"/>
          <w:szCs w:val="20"/>
          <w:color w:val="auto"/>
        </w:rPr>
      </w:pPr>
    </w:p>
    <w:p>
      <w:pPr>
        <w:ind w:left="1300" w:hanging="644"/>
        <w:spacing w:after="0"/>
        <w:tabs>
          <w:tab w:leader="none" w:pos="1300" w:val="left"/>
        </w:tabs>
        <w:numPr>
          <w:ilvl w:val="0"/>
          <w:numId w:val="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Voting Rights</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A-7</w:t>
      </w:r>
    </w:p>
    <w:p>
      <w:pPr>
        <w:sectPr>
          <w:pgSz w:w="11900" w:h="16838" w:orient="portrait"/>
          <w:cols w:equalWidth="0" w:num="1">
            <w:col w:w="11240"/>
          </w:cols>
          <w:pgMar w:left="320" w:top="1413" w:right="339" w:bottom="1440" w:gutter="0" w:footer="0" w:header="0"/>
        </w:sectPr>
      </w:pPr>
    </w:p>
    <w:bookmarkStart w:id="103" w:name="page104"/>
    <w:bookmarkEnd w:id="103"/>
    <w:p>
      <w:pPr>
        <w:jc w:val="both"/>
        <w:ind w:firstLine="1304"/>
        <w:spacing w:after="0" w:line="253" w:lineRule="auto"/>
        <w:tabs>
          <w:tab w:leader="none" w:pos="1942" w:val="left"/>
        </w:tabs>
        <w:numPr>
          <w:ilvl w:val="0"/>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Except as provided below or as expressly required by law, the holders of shares of Series 2021 Preferred Stock shall have no voting power, and no right to vote on any matter at any time, either as a separate series or class or together with any other series or class of shares of capital stock of the Corporation, and shall not be entitled to call a meeting of the holders of any series or class of shares of capital stock of the Corporation for any purpose, nor shall they be entitled to participate in any meeting of the holders of the Common Stock. Each holder of Series 2021 Preferred Stock shall have one vote per share on any matter on which holders of Series 2021 Preferred Stock are entitled to vote.</w:t>
      </w:r>
    </w:p>
    <w:p>
      <w:pPr>
        <w:spacing w:after="0" w:line="192" w:lineRule="exact"/>
        <w:rPr>
          <w:rFonts w:ascii="Times New Roman" w:cs="Times New Roman" w:eastAsia="Times New Roman" w:hAnsi="Times New Roman"/>
          <w:sz w:val="20"/>
          <w:szCs w:val="20"/>
          <w:color w:val="auto"/>
        </w:rPr>
      </w:pPr>
    </w:p>
    <w:p>
      <w:pPr>
        <w:jc w:val="both"/>
        <w:ind w:firstLine="1304"/>
        <w:spacing w:after="0" w:line="254" w:lineRule="auto"/>
        <w:tabs>
          <w:tab w:leader="none" w:pos="1943" w:val="left"/>
        </w:tabs>
        <w:numPr>
          <w:ilvl w:val="0"/>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So long as any shares of Series 2021 Preferred Stock are outstanding, in addition to any other vote or consent of shareholders required by law or by the Articles of Incorporation, the vote or consent of the holders of at least two-thirds of all of the shares of Series 2021 Preferred Stock and Voting Preferred Stock at the time outstanding and entitled to vote thereon, voting together as a single class, shall be necessary for effecting or validating:</w:t>
      </w:r>
    </w:p>
    <w:p>
      <w:pPr>
        <w:spacing w:after="0" w:line="187" w:lineRule="exact"/>
        <w:rPr>
          <w:rFonts w:ascii="Times New Roman" w:cs="Times New Roman" w:eastAsia="Times New Roman" w:hAnsi="Times New Roman"/>
          <w:sz w:val="20"/>
          <w:szCs w:val="20"/>
          <w:color w:val="auto"/>
        </w:rPr>
      </w:pPr>
    </w:p>
    <w:p>
      <w:pPr>
        <w:jc w:val="both"/>
        <w:ind w:firstLine="1952"/>
        <w:spacing w:after="0" w:line="258" w:lineRule="auto"/>
        <w:tabs>
          <w:tab w:leader="none" w:pos="2580" w:val="left"/>
        </w:tabs>
        <w:numPr>
          <w:ilvl w:val="1"/>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amendment or alteration of the Articles of Incorporation to authorize or create, or increase the authorized amount of, any shares of any class or series of capital stock of the Corporation ranking senior to the Series 2021 Preferred Stock with respect to either or both the payment of dividends and/or the distribution of assets on any liquidation, dissolution or winding up of the Corporation;</w:t>
      </w:r>
    </w:p>
    <w:p>
      <w:pPr>
        <w:spacing w:after="0" w:line="172" w:lineRule="exact"/>
        <w:rPr>
          <w:rFonts w:ascii="Times New Roman" w:cs="Times New Roman" w:eastAsia="Times New Roman" w:hAnsi="Times New Roman"/>
          <w:sz w:val="20"/>
          <w:szCs w:val="20"/>
          <w:color w:val="auto"/>
        </w:rPr>
      </w:pPr>
    </w:p>
    <w:p>
      <w:pPr>
        <w:jc w:val="both"/>
        <w:ind w:firstLine="1952"/>
        <w:spacing w:after="0" w:line="253" w:lineRule="auto"/>
        <w:tabs>
          <w:tab w:leader="none" w:pos="2580" w:val="left"/>
        </w:tabs>
        <w:numPr>
          <w:ilvl w:val="1"/>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Any amendment, alteration or repeal of any provision of the Articles of Incorporation so as to materially and adversely affect the special rights, preferences, privileges or voting powers of the Series 2021 Preferred Stock, taken as a whole;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however</w:t>
      </w:r>
      <w:r>
        <w:rPr>
          <w:rFonts w:ascii="Times New Roman" w:cs="Times New Roman" w:eastAsia="Times New Roman" w:hAnsi="Times New Roman"/>
          <w:sz w:val="20"/>
          <w:szCs w:val="20"/>
          <w:color w:val="auto"/>
        </w:rPr>
        <w:t>, that any amendment to authorize, create, or issue, or increase the authorized amount of, any Series 2021 Junior Securities or any</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Series 2021 Parity Securities, or any securities convertible into or exchangeable for Series 2021 Junior Securities or Series 2021 Parity Securities will not be deemed to materially and adversely affect the powers, preferences, privileges, or rights of Series 2021 Preferred Stock; or</w:t>
      </w:r>
    </w:p>
    <w:p>
      <w:pPr>
        <w:spacing w:after="0" w:line="192" w:lineRule="exact"/>
        <w:rPr>
          <w:rFonts w:ascii="Times New Roman" w:cs="Times New Roman" w:eastAsia="Times New Roman" w:hAnsi="Times New Roman"/>
          <w:sz w:val="20"/>
          <w:szCs w:val="20"/>
          <w:color w:val="auto"/>
        </w:rPr>
      </w:pPr>
    </w:p>
    <w:p>
      <w:pPr>
        <w:jc w:val="both"/>
        <w:ind w:firstLine="1952"/>
        <w:spacing w:after="0" w:line="249" w:lineRule="auto"/>
        <w:tabs>
          <w:tab w:leader="none" w:pos="2580" w:val="left"/>
        </w:tabs>
        <w:numPr>
          <w:ilvl w:val="1"/>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consummation of a binding share exchange or reclassification involving the Series 2021 Preferred Stock, or of a merger or consolidation of the Corporation with another corporation or other entity, unless in each case (1) the shares of Series 2021 Preferred Stock remain outstanding or, in the case of any such merger or consolidation with respect to which the Corporation is not the surviving or resulting entity, are converted into or exchanged for preference securities of the surviving or resulting entity or its ultimate parent, and (2) such shares remaining outstanding or such preference securities, as the case may be, have such rights, preferences, privileges and voting powers, and limitations and restrictions thereof, taken as a whole, as are not materially less favorable to the holders thereof than the rights, preferences, privileges and voting powers, and limitations and restrictions thereof, of the Series 2021 Preferred Stock immediately prior to such consummation, taken as a whole;</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however</w:t>
      </w:r>
      <w:r>
        <w:rPr>
          <w:rFonts w:ascii="Times New Roman" w:cs="Times New Roman" w:eastAsia="Times New Roman" w:hAnsi="Times New Roman"/>
          <w:sz w:val="20"/>
          <w:szCs w:val="20"/>
          <w:color w:val="auto"/>
        </w:rPr>
        <w:t xml:space="preserve">, that for all purposes of this </w:t>
      </w:r>
      <w:r>
        <w:rPr>
          <w:rFonts w:ascii="Times New Roman" w:cs="Times New Roman" w:eastAsia="Times New Roman" w:hAnsi="Times New Roman"/>
          <w:sz w:val="20"/>
          <w:szCs w:val="20"/>
          <w:u w:val="single" w:color="auto"/>
          <w:color w:val="auto"/>
        </w:rPr>
        <w:t>Subsection (h)(ii)</w:t>
      </w:r>
      <w:r>
        <w:rPr>
          <w:rFonts w:ascii="Times New Roman" w:cs="Times New Roman" w:eastAsia="Times New Roman" w:hAnsi="Times New Roman"/>
          <w:sz w:val="20"/>
          <w:szCs w:val="20"/>
          <w:color w:val="auto"/>
        </w:rPr>
        <w:t>, any increase in the amount of the authorized or issued Series 2021 Preferred Stock or authorized Preferred Stock, or the creation and issuance, or an increase in the authorized or issued amount, of any Series 2021 Parity Securities or Series 2021 Junior Securities (whether dividends payable on such securities, if any, are cumulative or non-cumulative) will not be deemed to adversely affect the rights, preferences, privileges or voting powers of the Series 2021 Preferred Stock.</w:t>
      </w:r>
    </w:p>
    <w:p>
      <w:pPr>
        <w:spacing w:after="0" w:line="20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 xml:space="preserve">If any amendment, alteration, repeal, share exchange, reclassification, merger or consolidation specified in this </w:t>
      </w:r>
      <w:r>
        <w:rPr>
          <w:rFonts w:ascii="Times New Roman" w:cs="Times New Roman" w:eastAsia="Times New Roman" w:hAnsi="Times New Roman"/>
          <w:sz w:val="20"/>
          <w:szCs w:val="20"/>
          <w:u w:val="single" w:color="auto"/>
          <w:color w:val="auto"/>
        </w:rPr>
        <w:t>Subsection (h)(ii)</w:t>
      </w:r>
      <w:r>
        <w:rPr>
          <w:rFonts w:ascii="Times New Roman" w:cs="Times New Roman" w:eastAsia="Times New Roman" w:hAnsi="Times New Roman"/>
          <w:sz w:val="20"/>
          <w:szCs w:val="20"/>
          <w:color w:val="auto"/>
        </w:rPr>
        <w:t xml:space="preserve"> would adversely affect the Series 2021 Preferred Stock and one or more but not all other series of Preferred Stock, then only the Series 2021 Preferred Stock and such series of Preferred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A-8</w:t>
      </w:r>
    </w:p>
    <w:p>
      <w:pPr>
        <w:sectPr>
          <w:pgSz w:w="11900" w:h="16838" w:orient="portrait"/>
          <w:cols w:equalWidth="0" w:num="1">
            <w:col w:w="11240"/>
          </w:cols>
          <w:pgMar w:left="320" w:top="1413" w:right="339" w:bottom="1440" w:gutter="0" w:footer="0" w:header="0"/>
        </w:sectPr>
      </w:pPr>
    </w:p>
    <w:bookmarkStart w:id="104" w:name="page105"/>
    <w:bookmarkEnd w:id="104"/>
    <w:p>
      <w:pPr>
        <w:spacing w:after="0" w:line="283" w:lineRule="auto"/>
        <w:rPr>
          <w:sz w:val="20"/>
          <w:szCs w:val="20"/>
          <w:color w:val="auto"/>
        </w:rPr>
      </w:pPr>
      <w:r>
        <w:rPr>
          <w:rFonts w:ascii="Times New Roman" w:cs="Times New Roman" w:eastAsia="Times New Roman" w:hAnsi="Times New Roman"/>
          <w:sz w:val="20"/>
          <w:szCs w:val="20"/>
          <w:color w:val="auto"/>
        </w:rPr>
        <w:t>Stock as are adversely affected by and entitled to vote on the matter shall vote on the matter together as a single class (in lieu of all other series of Preferred Stock).</w:t>
      </w:r>
    </w:p>
    <w:p>
      <w:pPr>
        <w:spacing w:after="0" w:line="146" w:lineRule="exact"/>
        <w:rPr>
          <w:sz w:val="20"/>
          <w:szCs w:val="20"/>
          <w:color w:val="auto"/>
        </w:rPr>
      </w:pPr>
    </w:p>
    <w:p>
      <w:pPr>
        <w:jc w:val="both"/>
        <w:ind w:firstLine="1304"/>
        <w:spacing w:after="0" w:line="261" w:lineRule="auto"/>
        <w:tabs>
          <w:tab w:leader="none" w:pos="1944" w:val="left"/>
        </w:tabs>
        <w:numPr>
          <w:ilvl w:val="1"/>
          <w:numId w:val="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Without the consent of the holders of the Series 2021 Preferred Stock, so long as such action does not adversely affect the rights, preferences, privileges and voting powers, and limitations and restrictions thereof, of the Series 2021 Preferred Stock, the Corporation may amend, alter, supplement or repeal any terms of the Series 2021 Preferred Stock:</w:t>
      </w:r>
    </w:p>
    <w:p>
      <w:pPr>
        <w:spacing w:after="0" w:line="181" w:lineRule="exact"/>
        <w:rPr>
          <w:rFonts w:ascii="Times New Roman" w:cs="Times New Roman" w:eastAsia="Times New Roman" w:hAnsi="Times New Roman"/>
          <w:sz w:val="20"/>
          <w:szCs w:val="20"/>
          <w:color w:val="auto"/>
        </w:rPr>
      </w:pPr>
    </w:p>
    <w:p>
      <w:pPr>
        <w:ind w:firstLine="1952"/>
        <w:spacing w:after="0" w:line="283" w:lineRule="auto"/>
        <w:tabs>
          <w:tab w:leader="none" w:pos="2580" w:val="left"/>
        </w:tabs>
        <w:numPr>
          <w:ilvl w:val="2"/>
          <w:numId w:val="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to cure any ambiguity, or to cure, correct or supplement any provision contained in these Articles of Amendment that may be defective or inconsistent; or</w:t>
      </w:r>
    </w:p>
    <w:p>
      <w:pPr>
        <w:spacing w:after="0" w:line="146" w:lineRule="exact"/>
        <w:rPr>
          <w:rFonts w:ascii="Times New Roman" w:cs="Times New Roman" w:eastAsia="Times New Roman" w:hAnsi="Times New Roman"/>
          <w:sz w:val="20"/>
          <w:szCs w:val="20"/>
          <w:color w:val="auto"/>
        </w:rPr>
      </w:pPr>
    </w:p>
    <w:p>
      <w:pPr>
        <w:ind w:firstLine="1952"/>
        <w:spacing w:after="0" w:line="283" w:lineRule="auto"/>
        <w:tabs>
          <w:tab w:leader="none" w:pos="2580" w:val="left"/>
        </w:tabs>
        <w:numPr>
          <w:ilvl w:val="2"/>
          <w:numId w:val="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(ii) to make any provision with respect to matters or questions arising with respect to the Series 2021 Preferred Stock that is not inconsistent with the provisions of the Articles of Incorporation (including this </w:t>
      </w:r>
      <w:r>
        <w:rPr>
          <w:rFonts w:ascii="Times New Roman" w:cs="Times New Roman" w:eastAsia="Times New Roman" w:hAnsi="Times New Roman"/>
          <w:sz w:val="20"/>
          <w:szCs w:val="20"/>
          <w:u w:val="single" w:color="auto"/>
          <w:color w:val="auto"/>
        </w:rPr>
        <w:t>Section 4</w:t>
      </w:r>
      <w:r>
        <w:rPr>
          <w:rFonts w:ascii="Times New Roman" w:cs="Times New Roman" w:eastAsia="Times New Roman" w:hAnsi="Times New Roman"/>
          <w:sz w:val="20"/>
          <w:szCs w:val="20"/>
          <w:color w:val="auto"/>
        </w:rPr>
        <w:t>).</w:t>
      </w:r>
    </w:p>
    <w:p>
      <w:pPr>
        <w:spacing w:after="0" w:line="146" w:lineRule="exact"/>
        <w:rPr>
          <w:rFonts w:ascii="Times New Roman" w:cs="Times New Roman" w:eastAsia="Times New Roman" w:hAnsi="Times New Roman"/>
          <w:sz w:val="20"/>
          <w:szCs w:val="20"/>
          <w:color w:val="auto"/>
        </w:rPr>
      </w:pPr>
    </w:p>
    <w:p>
      <w:pPr>
        <w:jc w:val="both"/>
        <w:ind w:firstLine="1304"/>
        <w:spacing w:after="0" w:line="258" w:lineRule="auto"/>
        <w:tabs>
          <w:tab w:leader="none" w:pos="1933" w:val="left"/>
        </w:tabs>
        <w:numPr>
          <w:ilvl w:val="1"/>
          <w:numId w:val="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No vote or consent of the holders of Series 2021 Preferred Stock shall be required pursuant to </w:t>
      </w:r>
      <w:r>
        <w:rPr>
          <w:rFonts w:ascii="Times New Roman" w:cs="Times New Roman" w:eastAsia="Times New Roman" w:hAnsi="Times New Roman"/>
          <w:sz w:val="20"/>
          <w:szCs w:val="20"/>
          <w:u w:val="single" w:color="auto"/>
          <w:color w:val="auto"/>
        </w:rPr>
        <w:t>Subsections (h)(i)</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(ii)</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(iii)</w:t>
      </w:r>
      <w:r>
        <w:rPr>
          <w:rFonts w:ascii="Times New Roman" w:cs="Times New Roman" w:eastAsia="Times New Roman" w:hAnsi="Times New Roman"/>
          <w:sz w:val="20"/>
          <w:szCs w:val="20"/>
          <w:color w:val="auto"/>
        </w:rPr>
        <w:t xml:space="preserve"> above if, at or prior to the time when any such vote or consent would otherwise be required pursuant to such Section, all outstanding shares of Series 2021 Preferred Stock shall have been redeemed, or shall have been called for redemption upon proper notice and sufficient funds shall have been set aside for such redemption, in each case pursuant to </w:t>
      </w:r>
      <w:r>
        <w:rPr>
          <w:rFonts w:ascii="Times New Roman" w:cs="Times New Roman" w:eastAsia="Times New Roman" w:hAnsi="Times New Roman"/>
          <w:sz w:val="20"/>
          <w:szCs w:val="20"/>
          <w:u w:val="single" w:color="auto"/>
          <w:color w:val="auto"/>
        </w:rPr>
        <w:t>Section 4(g)</w:t>
      </w:r>
      <w:r>
        <w:rPr>
          <w:rFonts w:ascii="Times New Roman" w:cs="Times New Roman" w:eastAsia="Times New Roman" w:hAnsi="Times New Roman"/>
          <w:sz w:val="20"/>
          <w:szCs w:val="20"/>
          <w:color w:val="auto"/>
        </w:rPr>
        <w:t xml:space="preserve"> above.</w:t>
      </w:r>
    </w:p>
    <w:p>
      <w:pPr>
        <w:spacing w:after="0" w:line="185" w:lineRule="exact"/>
        <w:rPr>
          <w:rFonts w:ascii="Times New Roman" w:cs="Times New Roman" w:eastAsia="Times New Roman" w:hAnsi="Times New Roman"/>
          <w:sz w:val="20"/>
          <w:szCs w:val="20"/>
          <w:color w:val="auto"/>
        </w:rPr>
      </w:pPr>
    </w:p>
    <w:p>
      <w:pPr>
        <w:jc w:val="both"/>
        <w:ind w:firstLine="1304"/>
        <w:spacing w:after="0" w:line="251" w:lineRule="auto"/>
        <w:tabs>
          <w:tab w:leader="none" w:pos="1932" w:val="left"/>
        </w:tabs>
        <w:numPr>
          <w:ilvl w:val="1"/>
          <w:numId w:val="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rules and procedures for calling and conducting any meeting of the holders of Series 2021 Preferred Stock (including, without limitation, the fixing of a record date in connection therewith), the solicitation and use of proxies at such a meeting, the obtaining of written consents and any other aspect or matter with regard to such a meeting or such consents shall be governed by any rules the Board (or any duly authorized committee of the Board), in its discretion, may adopt from time to time, which rules and procedures shall conform to the requirements of the Articles of Incorporation, the Bylaws and applicable law. Whether the vote or consent of the holders of a plurality, majority or other portion of the shares of Series 2021 Preferred Stock, Series 2021 Parity Securities and/or Voting Preferred Stock has been cast or given on any matter on which the holders of shares of Series 2021 Preferred Stock are entitled to vote shall be determined by the Corporation by reference to the specified liquidation amounts of the shares voted or covered by the consent.</w:t>
      </w:r>
    </w:p>
    <w:p>
      <w:pPr>
        <w:spacing w:after="0" w:line="181" w:lineRule="exact"/>
        <w:rPr>
          <w:rFonts w:ascii="Times New Roman" w:cs="Times New Roman" w:eastAsia="Times New Roman" w:hAnsi="Times New Roman"/>
          <w:sz w:val="20"/>
          <w:szCs w:val="20"/>
          <w:color w:val="auto"/>
        </w:rPr>
      </w:pPr>
    </w:p>
    <w:p>
      <w:pPr>
        <w:ind w:firstLine="656"/>
        <w:spacing w:after="0" w:line="283" w:lineRule="auto"/>
        <w:tabs>
          <w:tab w:leader="none" w:pos="1294" w:val="left"/>
        </w:tabs>
        <w:numPr>
          <w:ilvl w:val="0"/>
          <w:numId w:val="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Conversion Rights</w:t>
      </w:r>
      <w:r>
        <w:rPr>
          <w:rFonts w:ascii="Times New Roman" w:cs="Times New Roman" w:eastAsia="Times New Roman" w:hAnsi="Times New Roman"/>
          <w:sz w:val="20"/>
          <w:szCs w:val="20"/>
          <w:color w:val="auto"/>
        </w:rPr>
        <w:t>. The holders of shares of Series 2021 Preferred Stock shall not have any rights to convert such shares into shares of any other class or series of securities of the Corporation.</w:t>
      </w:r>
    </w:p>
    <w:p>
      <w:pPr>
        <w:spacing w:after="0" w:line="159" w:lineRule="exact"/>
        <w:rPr>
          <w:rFonts w:ascii="Times New Roman" w:cs="Times New Roman" w:eastAsia="Times New Roman" w:hAnsi="Times New Roman"/>
          <w:sz w:val="20"/>
          <w:szCs w:val="20"/>
          <w:color w:val="auto"/>
        </w:rPr>
      </w:pPr>
    </w:p>
    <w:p>
      <w:pPr>
        <w:jc w:val="both"/>
        <w:ind w:firstLine="656"/>
        <w:spacing w:after="0" w:line="261" w:lineRule="auto"/>
        <w:tabs>
          <w:tab w:leader="none" w:pos="1294" w:val="left"/>
        </w:tabs>
        <w:numPr>
          <w:ilvl w:val="0"/>
          <w:numId w:val="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Preemptive Rights</w:t>
      </w:r>
      <w:r>
        <w:rPr>
          <w:rFonts w:ascii="Times New Roman" w:cs="Times New Roman" w:eastAsia="Times New Roman" w:hAnsi="Times New Roman"/>
          <w:sz w:val="20"/>
          <w:szCs w:val="20"/>
          <w:color w:val="auto"/>
        </w:rPr>
        <w:t>. The holders of shares of Series 2021 Preferred Stock will have no preemptive rights with respect to any shares of the Corporation’s capital stock or any of its other securities convertible into or carrying rights or options to purchase or otherwise acquire any such capital stock or any interest therein, regardless of how any such securities may be designated, issued, or granted.</w:t>
      </w:r>
    </w:p>
    <w:p>
      <w:pPr>
        <w:spacing w:after="0" w:line="167"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Certificates</w:t>
      </w:r>
      <w:r>
        <w:rPr>
          <w:rFonts w:ascii="Times New Roman" w:cs="Times New Roman" w:eastAsia="Times New Roman" w:hAnsi="Times New Roman"/>
          <w:sz w:val="20"/>
          <w:szCs w:val="20"/>
          <w:color w:val="auto"/>
        </w:rPr>
        <w:t>. The Corporation may at its option issue shares of Series 2021 Preferred Stock without certificates.</w:t>
      </w:r>
    </w:p>
    <w:p>
      <w:pPr>
        <w:spacing w:after="0" w:line="229" w:lineRule="exact"/>
        <w:rPr>
          <w:rFonts w:ascii="Times New Roman" w:cs="Times New Roman" w:eastAsia="Times New Roman" w:hAnsi="Times New Roman"/>
          <w:sz w:val="20"/>
          <w:szCs w:val="20"/>
          <w:color w:val="auto"/>
        </w:rPr>
      </w:pPr>
    </w:p>
    <w:p>
      <w:pPr>
        <w:jc w:val="both"/>
        <w:ind w:firstLine="656"/>
        <w:spacing w:after="0" w:line="261" w:lineRule="auto"/>
        <w:tabs>
          <w:tab w:leader="none" w:pos="1294" w:val="left"/>
        </w:tabs>
        <w:numPr>
          <w:ilvl w:val="0"/>
          <w:numId w:val="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Record Holders</w:t>
      </w:r>
      <w:r>
        <w:rPr>
          <w:rFonts w:ascii="Times New Roman" w:cs="Times New Roman" w:eastAsia="Times New Roman" w:hAnsi="Times New Roman"/>
          <w:sz w:val="20"/>
          <w:szCs w:val="20"/>
          <w:color w:val="auto"/>
        </w:rPr>
        <w:t>. To the fullest extent permitted by applicable law, the Corporation and the transfer agent for the Series 2021 Preferred Stock may deem and treat the record holder of any share of Series 2021 Preferred Stock as the true and lawful owner thereof for all purposes, and neither the Corporation nor such transfer agent shall be affected by any notice to the contrary.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A-9</w:t>
      </w:r>
    </w:p>
    <w:p>
      <w:pPr>
        <w:sectPr>
          <w:pgSz w:w="11900" w:h="16838" w:orient="portrait"/>
          <w:cols w:equalWidth="0" w:num="1">
            <w:col w:w="11240"/>
          </w:cols>
          <w:pgMar w:left="320" w:top="1413" w:right="339" w:bottom="1440" w:gutter="0" w:footer="0" w:header="0"/>
        </w:sectPr>
      </w:pPr>
    </w:p>
    <w:bookmarkStart w:id="105" w:name="page106"/>
    <w:bookmarkEnd w:id="105"/>
    <w:p>
      <w:pPr>
        <w:jc w:val="both"/>
        <w:ind w:left="-20" w:firstLine="656"/>
        <w:spacing w:after="0" w:line="261" w:lineRule="auto"/>
        <w:tabs>
          <w:tab w:leader="none" w:pos="1265" w:val="left"/>
        </w:tabs>
        <w:numPr>
          <w:ilvl w:val="0"/>
          <w:numId w:val="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Notices</w:t>
      </w:r>
      <w:r>
        <w:rPr>
          <w:rFonts w:ascii="Times New Roman" w:cs="Times New Roman" w:eastAsia="Times New Roman" w:hAnsi="Times New Roman"/>
          <w:sz w:val="20"/>
          <w:szCs w:val="20"/>
          <w:color w:val="auto"/>
        </w:rPr>
        <w:t>. All notices or communications in respect of Series 2021 Preferred Stock shall be sufficiently given if given in writing and delivered in person or by first class mail, postage prepaid, or if given in such other manner as may be permitted herein, in the Articles of Incorporation or Bylaws or by applicable law.</w:t>
      </w:r>
    </w:p>
    <w:p>
      <w:pPr>
        <w:spacing w:after="0" w:line="181" w:lineRule="exact"/>
        <w:rPr>
          <w:rFonts w:ascii="Times New Roman" w:cs="Times New Roman" w:eastAsia="Times New Roman" w:hAnsi="Times New Roman"/>
          <w:sz w:val="20"/>
          <w:szCs w:val="20"/>
          <w:color w:val="auto"/>
        </w:rPr>
      </w:pPr>
    </w:p>
    <w:p>
      <w:pPr>
        <w:ind w:left="-20" w:right="20" w:firstLine="656"/>
        <w:spacing w:after="0" w:line="269" w:lineRule="auto"/>
        <w:tabs>
          <w:tab w:leader="none" w:pos="1264" w:val="left"/>
        </w:tabs>
        <w:numPr>
          <w:ilvl w:val="0"/>
          <w:numId w:val="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Rank</w:t>
      </w:r>
      <w:r>
        <w:rPr>
          <w:rFonts w:ascii="Times New Roman" w:cs="Times New Roman" w:eastAsia="Times New Roman" w:hAnsi="Times New Roman"/>
          <w:sz w:val="20"/>
          <w:szCs w:val="20"/>
          <w:color w:val="auto"/>
        </w:rPr>
        <w:t>. For the avoidance of doubt, the Board (or any duly authorized committee of the Board) may, without the vote of the holders of Series 2021 Preferred Stock, authorize and issue shares of Series 2021 Junior Securities or Series 2021 Parity Securities.</w:t>
      </w:r>
    </w:p>
    <w:p>
      <w:pPr>
        <w:spacing w:after="0" w:line="172" w:lineRule="exact"/>
        <w:rPr>
          <w:rFonts w:ascii="Times New Roman" w:cs="Times New Roman" w:eastAsia="Times New Roman" w:hAnsi="Times New Roman"/>
          <w:sz w:val="20"/>
          <w:szCs w:val="20"/>
          <w:color w:val="auto"/>
        </w:rPr>
      </w:pPr>
    </w:p>
    <w:p>
      <w:pPr>
        <w:jc w:val="both"/>
        <w:ind w:left="-20" w:firstLine="656"/>
        <w:spacing w:after="0" w:line="261" w:lineRule="auto"/>
        <w:tabs>
          <w:tab w:leader="none" w:pos="1264" w:val="left"/>
        </w:tabs>
        <w:numPr>
          <w:ilvl w:val="0"/>
          <w:numId w:val="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 Other Rights</w:t>
      </w:r>
      <w:r>
        <w:rPr>
          <w:rFonts w:ascii="Times New Roman" w:cs="Times New Roman" w:eastAsia="Times New Roman" w:hAnsi="Times New Roman"/>
          <w:sz w:val="20"/>
          <w:szCs w:val="20"/>
          <w:color w:val="auto"/>
        </w:rPr>
        <w:t>. The shares of Series 2021 Preferred Stock shall not have any rights, preferences, privileges, or voting powers or relative, participating, optional, or other special rights, or qualifications, limitations, or restrictions thereof, other than as set forth herein or in the Articles of Incorporation, or as provided by applicable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A-10</w:t>
      </w:r>
    </w:p>
    <w:p>
      <w:pPr>
        <w:sectPr>
          <w:pgSz w:w="11900" w:h="16838" w:orient="portrait"/>
          <w:cols w:equalWidth="0" w:num="1">
            <w:col w:w="11220"/>
          </w:cols>
          <w:pgMar w:left="340" w:top="1413" w:right="339" w:bottom="1440" w:gutter="0" w:footer="0" w:header="0"/>
        </w:sectPr>
      </w:pPr>
    </w:p>
    <w:bookmarkStart w:id="106" w:name="page107"/>
    <w:bookmarkEnd w:id="10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2822575</wp:posOffset>
            </wp:positionH>
            <wp:positionV relativeFrom="page">
              <wp:posOffset>500380</wp:posOffset>
            </wp:positionV>
            <wp:extent cx="1903095" cy="7454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31">
                      <a:clrChange>
                        <a:clrFrom>
                          <a:srgbClr val="FFFFFF"/>
                        </a:clrFrom>
                        <a:clrTo>
                          <a:srgbClr val="FFFFFF">
                            <a:alpha val="0"/>
                          </a:srgbClr>
                        </a:clrTo>
                      </a:clrChange>
                      <a:extLst>
                        <a:ext uri="{28A0092B-C50C-407E-A947-70E740481C1C}"/>
                      </a:extLst>
                    </a:blip>
                    <a:srcRect/>
                    <a:stretch>
                      <a:fillRect/>
                    </a:stretch>
                  </pic:blipFill>
                  <pic:spPr bwMode="auto">
                    <a:xfrm>
                      <a:off x="0" y="0"/>
                      <a:ext cx="1903095" cy="7454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ARTICLES OF AMENDMENT TO</w:t>
      </w: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THE ARTICLES OF INCORPORATION OF</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BURKE &amp; HERBERT FINANCIAL SERVICES CORP.</w:t>
      </w:r>
    </w:p>
    <w:p>
      <w:pPr>
        <w:spacing w:after="0" w:line="215" w:lineRule="exact"/>
        <w:rPr>
          <w:sz w:val="20"/>
          <w:szCs w:val="20"/>
          <w:color w:val="auto"/>
        </w:rPr>
      </w:pPr>
    </w:p>
    <w:p>
      <w:pPr>
        <w:ind w:firstLine="648"/>
        <w:spacing w:after="0" w:line="283" w:lineRule="auto"/>
        <w:rPr>
          <w:sz w:val="20"/>
          <w:szCs w:val="20"/>
          <w:color w:val="auto"/>
        </w:rPr>
      </w:pPr>
      <w:r>
        <w:rPr>
          <w:rFonts w:ascii="Times New Roman" w:cs="Times New Roman" w:eastAsia="Times New Roman" w:hAnsi="Times New Roman"/>
          <w:sz w:val="20"/>
          <w:szCs w:val="20"/>
          <w:color w:val="auto"/>
        </w:rPr>
        <w:t>The undersigned, on behalf of the corporation set forth below, pursuant to Article 11 of the Virginia Stock Corporation Act (the “Act”), states as follows:</w:t>
      </w:r>
    </w:p>
    <w:p>
      <w:pPr>
        <w:spacing w:after="0" w:line="146" w:lineRule="exact"/>
        <w:rPr>
          <w:sz w:val="20"/>
          <w:szCs w:val="20"/>
          <w:color w:val="auto"/>
        </w:rPr>
      </w:pPr>
    </w:p>
    <w:p>
      <w:pPr>
        <w:ind w:left="660" w:hanging="652"/>
        <w:spacing w:after="0"/>
        <w:tabs>
          <w:tab w:leader="none" w:pos="660" w:val="left"/>
        </w:tabs>
        <w:numPr>
          <w:ilvl w:val="0"/>
          <w:numId w:val="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name of the corporation is Burke &amp; Herbert Financial Services Corp.</w:t>
      </w:r>
    </w:p>
    <w:p>
      <w:pPr>
        <w:spacing w:after="0" w:line="229" w:lineRule="exact"/>
        <w:rPr>
          <w:rFonts w:ascii="Times New Roman" w:cs="Times New Roman" w:eastAsia="Times New Roman" w:hAnsi="Times New Roman"/>
          <w:sz w:val="20"/>
          <w:szCs w:val="20"/>
          <w:color w:val="auto"/>
        </w:rPr>
      </w:pPr>
    </w:p>
    <w:p>
      <w:pPr>
        <w:jc w:val="both"/>
        <w:ind w:right="20" w:firstLine="8"/>
        <w:spacing w:after="0" w:line="261" w:lineRule="auto"/>
        <w:tabs>
          <w:tab w:leader="none" w:pos="648" w:val="left"/>
        </w:tabs>
        <w:numPr>
          <w:ilvl w:val="0"/>
          <w:numId w:val="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introductory paragraph to Article III of the corporation’s Articles of Incorporation is hereby amended in its entirety to read as follows, in connection with an increase in the number of authorized Common Stock of the corporation from twenty million (20,000,000) to forty million (40,000,000) authorized shares, which increase was approved by the corporation’s Board of Directors on March 28, 2024:</w:t>
      </w:r>
    </w:p>
    <w:p>
      <w:pPr>
        <w:spacing w:after="0" w:line="181" w:lineRule="exact"/>
        <w:rPr>
          <w:sz w:val="20"/>
          <w:szCs w:val="20"/>
          <w:color w:val="auto"/>
        </w:rPr>
      </w:pPr>
    </w:p>
    <w:p>
      <w:pPr>
        <w:jc w:val="both"/>
        <w:ind w:left="980"/>
        <w:spacing w:after="0" w:line="261" w:lineRule="auto"/>
        <w:rPr>
          <w:sz w:val="20"/>
          <w:szCs w:val="20"/>
          <w:color w:val="auto"/>
        </w:rPr>
      </w:pPr>
      <w:r>
        <w:rPr>
          <w:rFonts w:ascii="Times New Roman" w:cs="Times New Roman" w:eastAsia="Times New Roman" w:hAnsi="Times New Roman"/>
          <w:sz w:val="20"/>
          <w:szCs w:val="20"/>
          <w:color w:val="auto"/>
        </w:rPr>
        <w:t>The aggregate number of shares which the Corporation shall be authorized to issue is forty million (40,000,000) shares of common stock, par value $0.50 per share (“Common Stock”), and two million (2,000,000) shares of serial preferred stock, par value $1.00 per share (“Serial Preferred Stock”).</w:t>
      </w:r>
    </w:p>
    <w:p>
      <w:pPr>
        <w:spacing w:after="0" w:line="168" w:lineRule="exact"/>
        <w:rPr>
          <w:sz w:val="20"/>
          <w:szCs w:val="20"/>
          <w:color w:val="auto"/>
        </w:rPr>
      </w:pPr>
    </w:p>
    <w:p>
      <w:pPr>
        <w:jc w:val="both"/>
        <w:ind w:firstLine="8"/>
        <w:spacing w:after="0" w:line="258" w:lineRule="auto"/>
        <w:tabs>
          <w:tab w:leader="none" w:pos="648" w:val="left"/>
        </w:tabs>
        <w:numPr>
          <w:ilvl w:val="0"/>
          <w:numId w:val="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Directors of the corporation, at a meeting duly held on March 28, 2024 at which a quorum was present and acting throughout, found said amendment to be in the best interests of the corporation. Pursuant to the authority granted to the Board of Directors under Section 13.1-707 of the Act, the Board of Directors adopted the foregoing amendment and directed that such amendment be put to the shareholders for their approval.</w:t>
      </w:r>
    </w:p>
    <w:p>
      <w:pPr>
        <w:spacing w:after="0" w:line="185" w:lineRule="exact"/>
        <w:rPr>
          <w:rFonts w:ascii="Times New Roman" w:cs="Times New Roman" w:eastAsia="Times New Roman" w:hAnsi="Times New Roman"/>
          <w:sz w:val="20"/>
          <w:szCs w:val="20"/>
          <w:color w:val="auto"/>
        </w:rPr>
      </w:pPr>
    </w:p>
    <w:p>
      <w:pPr>
        <w:jc w:val="both"/>
        <w:ind w:firstLine="8"/>
        <w:spacing w:after="0" w:line="261" w:lineRule="auto"/>
        <w:tabs>
          <w:tab w:leader="none" w:pos="648" w:val="left"/>
        </w:tabs>
        <w:numPr>
          <w:ilvl w:val="0"/>
          <w:numId w:val="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Pursuant to Article IX of the corporation’s Articles of Incorporation, a vote of a majority of all the votes entitled be cast by the Shareholders approved the foregoing amendments at the Burke &amp; Herbert Financial Services Corp. annual meeting of shareholders on July 15, 2024.</w:t>
      </w:r>
    </w:p>
    <w:p>
      <w:pPr>
        <w:spacing w:after="0" w:line="167" w:lineRule="exact"/>
        <w:rPr>
          <w:rFonts w:ascii="Times New Roman" w:cs="Times New Roman" w:eastAsia="Times New Roman" w:hAnsi="Times New Roman"/>
          <w:sz w:val="20"/>
          <w:szCs w:val="20"/>
          <w:color w:val="auto"/>
        </w:rPr>
      </w:pPr>
    </w:p>
    <w:p>
      <w:pPr>
        <w:jc w:val="both"/>
        <w:ind w:right="20" w:firstLine="656"/>
        <w:spacing w:after="0" w:line="310" w:lineRule="auto"/>
        <w:tabs>
          <w:tab w:leader="none" w:pos="1286" w:val="left"/>
        </w:tabs>
        <w:numPr>
          <w:ilvl w:val="1"/>
          <w:numId w:val="6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number of shares outstanding as of the close of business on May 7, 2024, the record date for the annual meeting, the number of votes entitled to be cast on the proposed amendment, and the number of votes cast for and against the amendment were as follows:</w:t>
      </w:r>
    </w:p>
    <w:p>
      <w:pPr>
        <w:spacing w:after="0" w:line="174" w:lineRule="exact"/>
        <w:rPr>
          <w:sz w:val="20"/>
          <w:szCs w:val="20"/>
          <w:color w:val="auto"/>
        </w:rPr>
      </w:pPr>
    </w:p>
    <w:tbl>
      <w:tblPr>
        <w:tblLayout w:type="fixed"/>
        <w:tblInd w:w="1140" w:type="dxa"/>
        <w:tblCellMar>
          <w:top w:w="0" w:type="dxa"/>
          <w:left w:w="0" w:type="dxa"/>
          <w:bottom w:w="0" w:type="dxa"/>
          <w:right w:w="0" w:type="dxa"/>
        </w:tblCellMar>
      </w:tblPr>
      <w:tr>
        <w:trPr>
          <w:trHeight w:val="260"/>
        </w:trPr>
        <w:tc>
          <w:tcPr>
            <w:tcW w:w="5040" w:type="dxa"/>
            <w:vAlign w:val="bottom"/>
          </w:tcPr>
          <w:p>
            <w:pPr>
              <w:ind w:left="2140"/>
              <w:spacing w:after="0"/>
              <w:rPr>
                <w:sz w:val="20"/>
                <w:szCs w:val="20"/>
                <w:color w:val="auto"/>
              </w:rPr>
            </w:pPr>
            <w:r>
              <w:rPr>
                <w:rFonts w:ascii="Times New Roman" w:cs="Times New Roman" w:eastAsia="Times New Roman" w:hAnsi="Times New Roman"/>
                <w:sz w:val="20"/>
                <w:szCs w:val="20"/>
                <w:b w:val="1"/>
                <w:bCs w:val="1"/>
                <w:color w:val="auto"/>
              </w:rPr>
              <w:t>Designation: Common Stock</w:t>
            </w:r>
          </w:p>
        </w:tc>
        <w:tc>
          <w:tcPr>
            <w:tcW w:w="1360" w:type="dxa"/>
            <w:vAlign w:val="bottom"/>
          </w:tcPr>
          <w:p>
            <w:pPr>
              <w:spacing w:after="0"/>
              <w:rPr>
                <w:sz w:val="22"/>
                <w:szCs w:val="22"/>
                <w:color w:val="auto"/>
              </w:rPr>
            </w:pPr>
          </w:p>
        </w:tc>
      </w:tr>
      <w:tr>
        <w:trPr>
          <w:trHeight w:val="272"/>
        </w:trPr>
        <w:tc>
          <w:tcPr>
            <w:tcW w:w="5040" w:type="dxa"/>
            <w:vAlign w:val="bottom"/>
          </w:tcPr>
          <w:p>
            <w:pPr>
              <w:spacing w:after="0"/>
              <w:rPr>
                <w:sz w:val="20"/>
                <w:szCs w:val="20"/>
                <w:color w:val="auto"/>
              </w:rPr>
            </w:pPr>
            <w:r>
              <w:rPr>
                <w:rFonts w:ascii="Times New Roman" w:cs="Times New Roman" w:eastAsia="Times New Roman" w:hAnsi="Times New Roman"/>
                <w:sz w:val="20"/>
                <w:szCs w:val="20"/>
                <w:color w:val="auto"/>
              </w:rPr>
              <w:t>Number of shares outstanding:</w:t>
            </w:r>
          </w:p>
        </w:tc>
        <w:tc>
          <w:tcPr>
            <w:tcW w:w="13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14,847,927</w:t>
            </w:r>
          </w:p>
        </w:tc>
      </w:tr>
      <w:tr>
        <w:trPr>
          <w:trHeight w:val="297"/>
        </w:trPr>
        <w:tc>
          <w:tcPr>
            <w:tcW w:w="5040" w:type="dxa"/>
            <w:vAlign w:val="bottom"/>
          </w:tcPr>
          <w:p>
            <w:pPr>
              <w:spacing w:after="0"/>
              <w:rPr>
                <w:sz w:val="20"/>
                <w:szCs w:val="20"/>
                <w:color w:val="auto"/>
              </w:rPr>
            </w:pPr>
            <w:r>
              <w:rPr>
                <w:rFonts w:ascii="Times New Roman" w:cs="Times New Roman" w:eastAsia="Times New Roman" w:hAnsi="Times New Roman"/>
                <w:sz w:val="20"/>
                <w:szCs w:val="20"/>
                <w:color w:val="auto"/>
              </w:rPr>
              <w:t>Number of votes cast:</w:t>
            </w:r>
          </w:p>
        </w:tc>
        <w:tc>
          <w:tcPr>
            <w:tcW w:w="13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10,974,794</w:t>
            </w:r>
          </w:p>
        </w:tc>
      </w:tr>
      <w:tr>
        <w:trPr>
          <w:trHeight w:val="297"/>
        </w:trPr>
        <w:tc>
          <w:tcPr>
            <w:tcW w:w="5040" w:type="dxa"/>
            <w:vAlign w:val="bottom"/>
          </w:tcPr>
          <w:p>
            <w:pPr>
              <w:spacing w:after="0"/>
              <w:rPr>
                <w:sz w:val="20"/>
                <w:szCs w:val="20"/>
                <w:color w:val="auto"/>
              </w:rPr>
            </w:pPr>
            <w:r>
              <w:rPr>
                <w:rFonts w:ascii="Times New Roman" w:cs="Times New Roman" w:eastAsia="Times New Roman" w:hAnsi="Times New Roman"/>
                <w:sz w:val="20"/>
                <w:szCs w:val="20"/>
                <w:color w:val="auto"/>
              </w:rPr>
              <w:t>Number of votes for:</w:t>
            </w:r>
          </w:p>
        </w:tc>
        <w:tc>
          <w:tcPr>
            <w:tcW w:w="13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9,948,922</w:t>
            </w:r>
          </w:p>
        </w:tc>
      </w:tr>
      <w:tr>
        <w:trPr>
          <w:trHeight w:val="297"/>
        </w:trPr>
        <w:tc>
          <w:tcPr>
            <w:tcW w:w="5040" w:type="dxa"/>
            <w:vAlign w:val="bottom"/>
          </w:tcPr>
          <w:p>
            <w:pPr>
              <w:spacing w:after="0"/>
              <w:rPr>
                <w:sz w:val="20"/>
                <w:szCs w:val="20"/>
                <w:color w:val="auto"/>
              </w:rPr>
            </w:pPr>
            <w:r>
              <w:rPr>
                <w:rFonts w:ascii="Times New Roman" w:cs="Times New Roman" w:eastAsia="Times New Roman" w:hAnsi="Times New Roman"/>
                <w:sz w:val="20"/>
                <w:szCs w:val="20"/>
                <w:color w:val="auto"/>
              </w:rPr>
              <w:t>Number of votes against:</w:t>
            </w:r>
          </w:p>
        </w:tc>
        <w:tc>
          <w:tcPr>
            <w:tcW w:w="13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1,025,871</w:t>
            </w:r>
          </w:p>
        </w:tc>
      </w:tr>
    </w:tbl>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Signature page follows</w:t>
      </w:r>
      <w:r>
        <w:rPr>
          <w:rFonts w:ascii="Times New Roman" w:cs="Times New Roman" w:eastAsia="Times New Roman" w:hAnsi="Times New Roman"/>
          <w:sz w:val="20"/>
          <w:szCs w:val="20"/>
          <w:color w:val="auto"/>
        </w:rPr>
        <w:t>]</w:t>
      </w:r>
    </w:p>
    <w:p>
      <w:pPr>
        <w:sectPr>
          <w:pgSz w:w="11900" w:h="16838" w:orient="portrait"/>
          <w:cols w:equalWidth="0" w:num="1">
            <w:col w:w="11240"/>
          </w:cols>
          <w:pgMar w:left="320" w:top="1440" w:right="339" w:bottom="1440" w:gutter="0" w:footer="0" w:header="0"/>
        </w:sectPr>
      </w:pPr>
    </w:p>
    <w:bookmarkStart w:id="107" w:name="page108"/>
    <w:bookmarkEnd w:id="107"/>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IN WITNESS WHEREOF, the undersigned has caused these Articles of Amendment to be executed as of this 15th day of July, 2024.</w:t>
      </w:r>
    </w:p>
    <w:p>
      <w:pPr>
        <w:sectPr>
          <w:pgSz w:w="11900" w:h="16838" w:orient="portrait"/>
          <w:cols w:equalWidth="0" w:num="1">
            <w:col w:w="10560"/>
          </w:cols>
          <w:pgMar w:left="980" w:top="1440" w:right="359" w:bottom="1440" w:gutter="0" w:footer="0" w:header="0"/>
        </w:sectPr>
      </w:pPr>
    </w:p>
    <w:p>
      <w:pPr>
        <w:spacing w:after="0" w:line="241"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20"/>
          <w:szCs w:val="20"/>
          <w:color w:val="auto"/>
        </w:rPr>
        <w:t>/s/ David P. Boyle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2466340</wp:posOffset>
            </wp:positionH>
            <wp:positionV relativeFrom="paragraph">
              <wp:posOffset>-10795</wp:posOffset>
            </wp:positionV>
            <wp:extent cx="128397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32">
                      <a:extLst>
                        <a:ext uri="{28A0092B-C50C-407E-A947-70E740481C1C}"/>
                      </a:extLst>
                    </a:blip>
                    <a:srcRect/>
                    <a:stretch>
                      <a:fillRect/>
                    </a:stretch>
                  </pic:blipFill>
                  <pic:spPr bwMode="auto">
                    <a:xfrm>
                      <a:off x="0" y="0"/>
                      <a:ext cx="1283970" cy="8255"/>
                    </a:xfrm>
                    <a:prstGeom prst="rect">
                      <a:avLst/>
                    </a:prstGeom>
                    <a:noFill/>
                  </pic:spPr>
                </pic:pic>
              </a:graphicData>
            </a:graphic>
          </wp:anchor>
        </w:drawing>
      </w:r>
    </w:p>
    <w:p>
      <w:pPr>
        <w:spacing w:after="0" w:line="2"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20"/>
          <w:szCs w:val="20"/>
          <w:color w:val="auto"/>
        </w:rPr>
        <w:t>David P. Boyle</w:t>
      </w:r>
    </w:p>
    <w:p>
      <w:pPr>
        <w:spacing w:after="0" w:line="6"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20"/>
          <w:szCs w:val="20"/>
          <w:color w:val="auto"/>
        </w:rPr>
        <w:t>President and 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Signature page to Articles of Amendment of Burke &amp; Herbert Financial Services Corp.</w:t>
      </w:r>
      <w:r>
        <w:rPr>
          <w:rFonts w:ascii="Times New Roman" w:cs="Times New Roman" w:eastAsia="Times New Roman" w:hAnsi="Times New Roman"/>
          <w:sz w:val="17"/>
          <w:szCs w:val="17"/>
          <w:color w:val="auto"/>
        </w:rPr>
        <w:t>]</w:t>
      </w:r>
    </w:p>
    <w:p>
      <w:pPr>
        <w:sectPr>
          <w:pgSz w:w="11900" w:h="16838" w:orient="portrait"/>
          <w:cols w:equalWidth="0" w:num="1">
            <w:col w:w="10560"/>
          </w:cols>
          <w:pgMar w:left="980" w:top="1440" w:right="359" w:bottom="1440" w:gutter="0" w:footer="0" w:header="0"/>
          <w:type w:val="continuous"/>
        </w:sectPr>
      </w:pPr>
    </w:p>
    <w:bookmarkStart w:id="108" w:name="page109"/>
    <w:bookmarkEnd w:id="108"/>
    <w:p>
      <w:pPr>
        <w:spacing w:after="0"/>
        <w:rPr>
          <w:sz w:val="20"/>
          <w:szCs w:val="20"/>
          <w:color w:val="auto"/>
        </w:rPr>
      </w:pPr>
      <w:r>
        <w:rPr>
          <w:rFonts w:ascii="Times New Roman" w:cs="Times New Roman" w:eastAsia="Times New Roman" w:hAnsi="Times New Roman"/>
          <w:sz w:val="20"/>
          <w:szCs w:val="20"/>
          <w:b w:val="1"/>
          <w:bCs w:val="1"/>
          <w:color w:val="auto"/>
        </w:rPr>
        <w:t>Exhibit 31.1</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u w:val="single" w:color="auto"/>
          <w:color w:val="auto"/>
        </w:rPr>
        <w:t>CERTIFICATION</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 David P. Boyle, certify that:</w:t>
      </w:r>
    </w:p>
    <w:p>
      <w:pPr>
        <w:spacing w:after="0" w:line="175" w:lineRule="exact"/>
        <w:rPr>
          <w:sz w:val="20"/>
          <w:szCs w:val="20"/>
          <w:color w:val="auto"/>
        </w:rPr>
      </w:pPr>
    </w:p>
    <w:p>
      <w:pPr>
        <w:ind w:left="340" w:hanging="332"/>
        <w:spacing w:after="0"/>
        <w:tabs>
          <w:tab w:leader="none" w:pos="340" w:val="left"/>
        </w:tabs>
        <w:numPr>
          <w:ilvl w:val="0"/>
          <w:numId w:val="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have reviewed this quarterly report on Form 10-Q of Burke &amp; Herbert Financial Services Corp.;</w:t>
      </w:r>
    </w:p>
    <w:p>
      <w:pPr>
        <w:spacing w:after="0" w:line="188" w:lineRule="exact"/>
        <w:rPr>
          <w:rFonts w:ascii="Times New Roman" w:cs="Times New Roman" w:eastAsia="Times New Roman" w:hAnsi="Times New Roman"/>
          <w:sz w:val="20"/>
          <w:szCs w:val="20"/>
          <w:color w:val="auto"/>
        </w:rPr>
      </w:pPr>
    </w:p>
    <w:p>
      <w:pPr>
        <w:jc w:val="both"/>
        <w:ind w:left="340" w:hanging="332"/>
        <w:spacing w:after="0" w:line="226" w:lineRule="auto"/>
        <w:tabs>
          <w:tab w:leader="none" w:pos="340" w:val="left"/>
        </w:tabs>
        <w:numPr>
          <w:ilvl w:val="0"/>
          <w:numId w:val="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0" w:lineRule="exact"/>
        <w:rPr>
          <w:rFonts w:ascii="Times New Roman" w:cs="Times New Roman" w:eastAsia="Times New Roman" w:hAnsi="Times New Roman"/>
          <w:sz w:val="20"/>
          <w:szCs w:val="20"/>
          <w:color w:val="auto"/>
        </w:rPr>
      </w:pPr>
    </w:p>
    <w:p>
      <w:pPr>
        <w:ind w:left="340" w:right="20" w:hanging="332"/>
        <w:spacing w:after="0" w:line="233" w:lineRule="auto"/>
        <w:tabs>
          <w:tab w:leader="none" w:pos="340" w:val="left"/>
        </w:tabs>
        <w:numPr>
          <w:ilvl w:val="0"/>
          <w:numId w:val="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0" w:lineRule="exact"/>
        <w:rPr>
          <w:rFonts w:ascii="Times New Roman" w:cs="Times New Roman" w:eastAsia="Times New Roman" w:hAnsi="Times New Roman"/>
          <w:sz w:val="20"/>
          <w:szCs w:val="20"/>
          <w:color w:val="auto"/>
        </w:rPr>
      </w:pPr>
    </w:p>
    <w:p>
      <w:pPr>
        <w:ind w:left="340" w:right="20" w:hanging="332"/>
        <w:spacing w:after="0"/>
        <w:tabs>
          <w:tab w:leader="none" w:pos="340" w:val="left"/>
        </w:tabs>
        <w:numPr>
          <w:ilvl w:val="0"/>
          <w:numId w:val="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registrant’s other certifying officer and I are responsible for establishing and maintaining disclosure controls and procedures (as defined in Exchange Act Rules 13a-15(e) and 15d-15(e)) for the registrant and have:</w:t>
      </w:r>
    </w:p>
    <w:p>
      <w:pPr>
        <w:spacing w:after="0" w:line="147" w:lineRule="exact"/>
        <w:rPr>
          <w:rFonts w:ascii="Times New Roman" w:cs="Times New Roman" w:eastAsia="Times New Roman" w:hAnsi="Times New Roman"/>
          <w:sz w:val="20"/>
          <w:szCs w:val="20"/>
          <w:color w:val="auto"/>
        </w:rPr>
      </w:pPr>
    </w:p>
    <w:p>
      <w:pPr>
        <w:jc w:val="both"/>
        <w:ind w:left="980" w:hanging="324"/>
        <w:spacing w:after="0" w:line="230" w:lineRule="auto"/>
        <w:tabs>
          <w:tab w:leader="none" w:pos="970" w:val="left"/>
        </w:tabs>
        <w:numPr>
          <w:ilvl w:val="2"/>
          <w:numId w:val="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8" w:lineRule="exact"/>
        <w:rPr>
          <w:rFonts w:ascii="Times New Roman" w:cs="Times New Roman" w:eastAsia="Times New Roman" w:hAnsi="Times New Roman"/>
          <w:sz w:val="20"/>
          <w:szCs w:val="20"/>
          <w:color w:val="auto"/>
        </w:rPr>
      </w:pPr>
    </w:p>
    <w:p>
      <w:pPr>
        <w:ind w:left="960" w:hanging="304"/>
        <w:spacing w:after="0"/>
        <w:tabs>
          <w:tab w:leader="none" w:pos="960" w:val="left"/>
        </w:tabs>
        <w:numPr>
          <w:ilvl w:val="2"/>
          <w:numId w:val="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[reserved]</w:t>
      </w:r>
    </w:p>
    <w:p>
      <w:pPr>
        <w:spacing w:after="0" w:line="188" w:lineRule="exact"/>
        <w:rPr>
          <w:rFonts w:ascii="Times New Roman" w:cs="Times New Roman" w:eastAsia="Times New Roman" w:hAnsi="Times New Roman"/>
          <w:sz w:val="20"/>
          <w:szCs w:val="20"/>
          <w:color w:val="auto"/>
        </w:rPr>
      </w:pPr>
    </w:p>
    <w:p>
      <w:pPr>
        <w:jc w:val="both"/>
        <w:ind w:left="980" w:hanging="324"/>
        <w:spacing w:after="0" w:line="226" w:lineRule="auto"/>
        <w:tabs>
          <w:tab w:leader="none" w:pos="950" w:val="left"/>
        </w:tabs>
        <w:numPr>
          <w:ilvl w:val="2"/>
          <w:numId w:val="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0" w:lineRule="exact"/>
        <w:rPr>
          <w:rFonts w:ascii="Times New Roman" w:cs="Times New Roman" w:eastAsia="Times New Roman" w:hAnsi="Times New Roman"/>
          <w:sz w:val="20"/>
          <w:szCs w:val="20"/>
          <w:color w:val="auto"/>
        </w:rPr>
      </w:pPr>
    </w:p>
    <w:p>
      <w:pPr>
        <w:jc w:val="both"/>
        <w:ind w:left="980" w:hanging="324"/>
        <w:spacing w:after="0" w:line="226" w:lineRule="auto"/>
        <w:tabs>
          <w:tab w:leader="none" w:pos="1244" w:val="left"/>
        </w:tabs>
        <w:numPr>
          <w:ilvl w:val="2"/>
          <w:numId w:val="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0" w:lineRule="exact"/>
        <w:rPr>
          <w:rFonts w:ascii="Times New Roman" w:cs="Times New Roman" w:eastAsia="Times New Roman" w:hAnsi="Times New Roman"/>
          <w:sz w:val="20"/>
          <w:szCs w:val="20"/>
          <w:color w:val="auto"/>
        </w:rPr>
      </w:pPr>
    </w:p>
    <w:p>
      <w:pPr>
        <w:jc w:val="both"/>
        <w:ind w:left="660" w:hanging="328"/>
        <w:spacing w:after="0" w:line="226" w:lineRule="auto"/>
        <w:tabs>
          <w:tab w:leader="none" w:pos="766" w:val="left"/>
        </w:tabs>
        <w:numPr>
          <w:ilvl w:val="1"/>
          <w:numId w:val="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0" w:lineRule="exact"/>
        <w:rPr>
          <w:rFonts w:ascii="Times New Roman" w:cs="Times New Roman" w:eastAsia="Times New Roman" w:hAnsi="Times New Roman"/>
          <w:sz w:val="20"/>
          <w:szCs w:val="20"/>
          <w:color w:val="auto"/>
        </w:rPr>
      </w:pPr>
    </w:p>
    <w:p>
      <w:pPr>
        <w:jc w:val="both"/>
        <w:ind w:left="980" w:hanging="324"/>
        <w:spacing w:after="0" w:line="226" w:lineRule="auto"/>
        <w:tabs>
          <w:tab w:leader="none" w:pos="925" w:val="left"/>
        </w:tabs>
        <w:numPr>
          <w:ilvl w:val="2"/>
          <w:numId w:val="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0" w:lineRule="exact"/>
        <w:rPr>
          <w:rFonts w:ascii="Times New Roman" w:cs="Times New Roman" w:eastAsia="Times New Roman" w:hAnsi="Times New Roman"/>
          <w:sz w:val="20"/>
          <w:szCs w:val="20"/>
          <w:color w:val="auto"/>
        </w:rPr>
      </w:pPr>
    </w:p>
    <w:p>
      <w:pPr>
        <w:ind w:left="980" w:hanging="324"/>
        <w:spacing w:after="0"/>
        <w:tabs>
          <w:tab w:leader="none" w:pos="936" w:val="left"/>
        </w:tabs>
        <w:numPr>
          <w:ilvl w:val="2"/>
          <w:numId w:val="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u w:val="single" w:color="auto"/>
          <w:color w:val="auto"/>
        </w:rPr>
        <w:t xml:space="preserve">Date: </w:t>
      </w:r>
      <w:r>
        <w:rPr>
          <w:rFonts w:ascii="Times New Roman" w:cs="Times New Roman" w:eastAsia="Times New Roman" w:hAnsi="Times New Roman"/>
          <w:sz w:val="21"/>
          <w:szCs w:val="21"/>
          <w:u w:val="single" w:color="auto"/>
          <w:color w:val="auto"/>
        </w:rPr>
        <w:t>August 13, 2024</w:t>
      </w:r>
    </w:p>
    <w:p>
      <w:pPr>
        <w:ind w:left="4540"/>
        <w:spacing w:after="0" w:line="212" w:lineRule="auto"/>
        <w:rPr>
          <w:sz w:val="20"/>
          <w:szCs w:val="20"/>
          <w:color w:val="auto"/>
        </w:rPr>
      </w:pPr>
      <w:r>
        <w:rPr>
          <w:rFonts w:ascii="Times New Roman" w:cs="Times New Roman" w:eastAsia="Times New Roman" w:hAnsi="Times New Roman"/>
          <w:sz w:val="20"/>
          <w:szCs w:val="20"/>
          <w:color w:val="auto"/>
        </w:rPr>
        <w:t>/s/ David P. Boyle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2885440</wp:posOffset>
            </wp:positionH>
            <wp:positionV relativeFrom="paragraph">
              <wp:posOffset>-6985</wp:posOffset>
            </wp:positionV>
            <wp:extent cx="1033145"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33">
                      <a:extLst>
                        <a:ext uri="{28A0092B-C50C-407E-A947-70E740481C1C}"/>
                      </a:extLst>
                    </a:blip>
                    <a:srcRect/>
                    <a:stretch>
                      <a:fillRect/>
                    </a:stretch>
                  </pic:blipFill>
                  <pic:spPr bwMode="auto">
                    <a:xfrm>
                      <a:off x="0" y="0"/>
                      <a:ext cx="1033145" cy="8255"/>
                    </a:xfrm>
                    <a:prstGeom prst="rect">
                      <a:avLst/>
                    </a:prstGeom>
                    <a:noFill/>
                  </pic:spPr>
                </pic:pic>
              </a:graphicData>
            </a:graphic>
          </wp:anchor>
        </w:drawing>
      </w:r>
    </w:p>
    <w:p>
      <w:pPr>
        <w:ind w:left="4540"/>
        <w:spacing w:after="0" w:line="197" w:lineRule="auto"/>
        <w:rPr>
          <w:sz w:val="20"/>
          <w:szCs w:val="20"/>
          <w:color w:val="auto"/>
        </w:rPr>
      </w:pPr>
      <w:r>
        <w:rPr>
          <w:rFonts w:ascii="Times New Roman" w:cs="Times New Roman" w:eastAsia="Times New Roman" w:hAnsi="Times New Roman"/>
          <w:sz w:val="20"/>
          <w:szCs w:val="20"/>
          <w:color w:val="auto"/>
        </w:rPr>
        <w:t>David P. Boyle</w:t>
      </w:r>
    </w:p>
    <w:p>
      <w:pPr>
        <w:spacing w:after="0" w:line="1" w:lineRule="exact"/>
        <w:rPr>
          <w:sz w:val="20"/>
          <w:szCs w:val="20"/>
          <w:color w:val="auto"/>
        </w:rPr>
      </w:pPr>
    </w:p>
    <w:p>
      <w:pPr>
        <w:jc w:val="center"/>
        <w:ind w:right="260"/>
        <w:spacing w:after="0"/>
        <w:rPr>
          <w:sz w:val="20"/>
          <w:szCs w:val="20"/>
          <w:color w:val="auto"/>
        </w:rPr>
      </w:pPr>
      <w:r>
        <w:rPr>
          <w:rFonts w:ascii="Times New Roman" w:cs="Times New Roman" w:eastAsia="Times New Roman" w:hAnsi="Times New Roman"/>
          <w:sz w:val="20"/>
          <w:szCs w:val="20"/>
          <w:color w:val="auto"/>
        </w:rPr>
        <w:t>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157842105v1</w:t>
      </w:r>
    </w:p>
    <w:p>
      <w:pPr>
        <w:sectPr>
          <w:pgSz w:w="11900" w:h="16838" w:orient="portrait"/>
          <w:cols w:equalWidth="0" w:num="1">
            <w:col w:w="11240"/>
          </w:cols>
          <w:pgMar w:left="320" w:top="990" w:right="339" w:bottom="1440" w:gutter="0" w:footer="0" w:header="0"/>
        </w:sectPr>
      </w:pPr>
    </w:p>
    <w:bookmarkStart w:id="109" w:name="page110"/>
    <w:bookmarkEnd w:id="109"/>
    <w:p>
      <w:pPr>
        <w:spacing w:after="0"/>
        <w:rPr>
          <w:sz w:val="20"/>
          <w:szCs w:val="20"/>
          <w:color w:val="auto"/>
        </w:rPr>
      </w:pPr>
      <w:r>
        <w:rPr>
          <w:rFonts w:ascii="Times New Roman" w:cs="Times New Roman" w:eastAsia="Times New Roman" w:hAnsi="Times New Roman"/>
          <w:sz w:val="20"/>
          <w:szCs w:val="20"/>
          <w:b w:val="1"/>
          <w:bCs w:val="1"/>
          <w:color w:val="auto"/>
        </w:rPr>
        <w:t>Exhibit 31.2</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u w:val="single" w:color="auto"/>
          <w:color w:val="auto"/>
        </w:rPr>
        <w:t>CERTIFICATION</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 Roy E. Halyama, certify that:</w:t>
      </w:r>
    </w:p>
    <w:p>
      <w:pPr>
        <w:spacing w:after="0" w:line="175" w:lineRule="exact"/>
        <w:rPr>
          <w:sz w:val="20"/>
          <w:szCs w:val="20"/>
          <w:color w:val="auto"/>
        </w:rPr>
      </w:pPr>
    </w:p>
    <w:p>
      <w:pPr>
        <w:ind w:left="340" w:hanging="332"/>
        <w:spacing w:after="0"/>
        <w:tabs>
          <w:tab w:leader="none" w:pos="340" w:val="left"/>
        </w:tabs>
        <w:numPr>
          <w:ilvl w:val="0"/>
          <w:numId w:val="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have reviewed this quarterly report on Form 10-Q of Burke &amp; Herbert Financial Services Corp.;</w:t>
      </w:r>
    </w:p>
    <w:p>
      <w:pPr>
        <w:spacing w:after="0" w:line="188" w:lineRule="exact"/>
        <w:rPr>
          <w:rFonts w:ascii="Times New Roman" w:cs="Times New Roman" w:eastAsia="Times New Roman" w:hAnsi="Times New Roman"/>
          <w:sz w:val="20"/>
          <w:szCs w:val="20"/>
          <w:color w:val="auto"/>
        </w:rPr>
      </w:pPr>
    </w:p>
    <w:p>
      <w:pPr>
        <w:jc w:val="both"/>
        <w:ind w:left="340" w:hanging="332"/>
        <w:spacing w:after="0" w:line="226" w:lineRule="auto"/>
        <w:tabs>
          <w:tab w:leader="none" w:pos="340" w:val="left"/>
        </w:tabs>
        <w:numPr>
          <w:ilvl w:val="0"/>
          <w:numId w:val="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0" w:lineRule="exact"/>
        <w:rPr>
          <w:rFonts w:ascii="Times New Roman" w:cs="Times New Roman" w:eastAsia="Times New Roman" w:hAnsi="Times New Roman"/>
          <w:sz w:val="20"/>
          <w:szCs w:val="20"/>
          <w:color w:val="auto"/>
        </w:rPr>
      </w:pPr>
    </w:p>
    <w:p>
      <w:pPr>
        <w:ind w:left="340" w:right="20" w:hanging="332"/>
        <w:spacing w:after="0" w:line="233" w:lineRule="auto"/>
        <w:tabs>
          <w:tab w:leader="none" w:pos="340" w:val="left"/>
        </w:tabs>
        <w:numPr>
          <w:ilvl w:val="0"/>
          <w:numId w:val="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0" w:lineRule="exact"/>
        <w:rPr>
          <w:rFonts w:ascii="Times New Roman" w:cs="Times New Roman" w:eastAsia="Times New Roman" w:hAnsi="Times New Roman"/>
          <w:sz w:val="20"/>
          <w:szCs w:val="20"/>
          <w:color w:val="auto"/>
        </w:rPr>
      </w:pPr>
    </w:p>
    <w:p>
      <w:pPr>
        <w:ind w:left="340" w:right="20" w:hanging="332"/>
        <w:spacing w:after="0"/>
        <w:tabs>
          <w:tab w:leader="none" w:pos="340" w:val="left"/>
        </w:tabs>
        <w:numPr>
          <w:ilvl w:val="0"/>
          <w:numId w:val="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registrant’s other certifying officer and I are responsible for establishing and maintaining disclosure controls and procedures (as defined in Exchange Act Rules 13a-15(e) and 15d-15(e)) for the registrant and have:</w:t>
      </w:r>
    </w:p>
    <w:p>
      <w:pPr>
        <w:spacing w:after="0" w:line="147" w:lineRule="exact"/>
        <w:rPr>
          <w:rFonts w:ascii="Times New Roman" w:cs="Times New Roman" w:eastAsia="Times New Roman" w:hAnsi="Times New Roman"/>
          <w:sz w:val="20"/>
          <w:szCs w:val="20"/>
          <w:color w:val="auto"/>
        </w:rPr>
      </w:pPr>
    </w:p>
    <w:p>
      <w:pPr>
        <w:jc w:val="both"/>
        <w:ind w:left="980" w:hanging="324"/>
        <w:spacing w:after="0" w:line="230" w:lineRule="auto"/>
        <w:tabs>
          <w:tab w:leader="none" w:pos="970" w:val="left"/>
        </w:tabs>
        <w:numPr>
          <w:ilvl w:val="2"/>
          <w:numId w:val="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8" w:lineRule="exact"/>
        <w:rPr>
          <w:rFonts w:ascii="Times New Roman" w:cs="Times New Roman" w:eastAsia="Times New Roman" w:hAnsi="Times New Roman"/>
          <w:sz w:val="20"/>
          <w:szCs w:val="20"/>
          <w:color w:val="auto"/>
        </w:rPr>
      </w:pPr>
    </w:p>
    <w:p>
      <w:pPr>
        <w:ind w:left="960" w:hanging="304"/>
        <w:spacing w:after="0"/>
        <w:tabs>
          <w:tab w:leader="none" w:pos="960" w:val="left"/>
        </w:tabs>
        <w:numPr>
          <w:ilvl w:val="2"/>
          <w:numId w:val="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[reserved]</w:t>
      </w:r>
    </w:p>
    <w:p>
      <w:pPr>
        <w:spacing w:after="0" w:line="188" w:lineRule="exact"/>
        <w:rPr>
          <w:rFonts w:ascii="Times New Roman" w:cs="Times New Roman" w:eastAsia="Times New Roman" w:hAnsi="Times New Roman"/>
          <w:sz w:val="20"/>
          <w:szCs w:val="20"/>
          <w:color w:val="auto"/>
        </w:rPr>
      </w:pPr>
    </w:p>
    <w:p>
      <w:pPr>
        <w:jc w:val="both"/>
        <w:ind w:left="980" w:hanging="324"/>
        <w:spacing w:after="0" w:line="226" w:lineRule="auto"/>
        <w:tabs>
          <w:tab w:leader="none" w:pos="950" w:val="left"/>
        </w:tabs>
        <w:numPr>
          <w:ilvl w:val="2"/>
          <w:numId w:val="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0" w:lineRule="exact"/>
        <w:rPr>
          <w:rFonts w:ascii="Times New Roman" w:cs="Times New Roman" w:eastAsia="Times New Roman" w:hAnsi="Times New Roman"/>
          <w:sz w:val="20"/>
          <w:szCs w:val="20"/>
          <w:color w:val="auto"/>
        </w:rPr>
      </w:pPr>
    </w:p>
    <w:p>
      <w:pPr>
        <w:jc w:val="both"/>
        <w:ind w:left="980" w:hanging="324"/>
        <w:spacing w:after="0" w:line="226" w:lineRule="auto"/>
        <w:tabs>
          <w:tab w:leader="none" w:pos="1244" w:val="left"/>
        </w:tabs>
        <w:numPr>
          <w:ilvl w:val="2"/>
          <w:numId w:val="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0" w:lineRule="exact"/>
        <w:rPr>
          <w:rFonts w:ascii="Times New Roman" w:cs="Times New Roman" w:eastAsia="Times New Roman" w:hAnsi="Times New Roman"/>
          <w:sz w:val="20"/>
          <w:szCs w:val="20"/>
          <w:color w:val="auto"/>
        </w:rPr>
      </w:pPr>
    </w:p>
    <w:p>
      <w:pPr>
        <w:jc w:val="both"/>
        <w:ind w:left="660" w:hanging="328"/>
        <w:spacing w:after="0" w:line="226" w:lineRule="auto"/>
        <w:tabs>
          <w:tab w:leader="none" w:pos="766" w:val="left"/>
        </w:tabs>
        <w:numPr>
          <w:ilvl w:val="1"/>
          <w:numId w:val="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0" w:lineRule="exact"/>
        <w:rPr>
          <w:rFonts w:ascii="Times New Roman" w:cs="Times New Roman" w:eastAsia="Times New Roman" w:hAnsi="Times New Roman"/>
          <w:sz w:val="20"/>
          <w:szCs w:val="20"/>
          <w:color w:val="auto"/>
        </w:rPr>
      </w:pPr>
    </w:p>
    <w:p>
      <w:pPr>
        <w:jc w:val="both"/>
        <w:ind w:left="980" w:hanging="324"/>
        <w:spacing w:after="0" w:line="226" w:lineRule="auto"/>
        <w:tabs>
          <w:tab w:leader="none" w:pos="925" w:val="left"/>
        </w:tabs>
        <w:numPr>
          <w:ilvl w:val="2"/>
          <w:numId w:val="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0" w:lineRule="exact"/>
        <w:rPr>
          <w:rFonts w:ascii="Times New Roman" w:cs="Times New Roman" w:eastAsia="Times New Roman" w:hAnsi="Times New Roman"/>
          <w:sz w:val="20"/>
          <w:szCs w:val="20"/>
          <w:color w:val="auto"/>
        </w:rPr>
      </w:pPr>
    </w:p>
    <w:p>
      <w:pPr>
        <w:ind w:left="980" w:hanging="324"/>
        <w:spacing w:after="0"/>
        <w:tabs>
          <w:tab w:leader="none" w:pos="936" w:val="left"/>
        </w:tabs>
        <w:numPr>
          <w:ilvl w:val="2"/>
          <w:numId w:val="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u w:val="single" w:color="auto"/>
          <w:color w:val="auto"/>
        </w:rPr>
        <w:t xml:space="preserve">Date: </w:t>
      </w:r>
      <w:r>
        <w:rPr>
          <w:rFonts w:ascii="Times New Roman" w:cs="Times New Roman" w:eastAsia="Times New Roman" w:hAnsi="Times New Roman"/>
          <w:sz w:val="21"/>
          <w:szCs w:val="21"/>
          <w:u w:val="single" w:color="auto"/>
          <w:color w:val="auto"/>
        </w:rPr>
        <w:t>August 13, 2024</w:t>
      </w:r>
    </w:p>
    <w:p>
      <w:pPr>
        <w:ind w:left="4540"/>
        <w:spacing w:after="0" w:line="212" w:lineRule="auto"/>
        <w:rPr>
          <w:sz w:val="20"/>
          <w:szCs w:val="20"/>
          <w:color w:val="auto"/>
        </w:rPr>
      </w:pPr>
      <w:r>
        <w:rPr>
          <w:rFonts w:ascii="Times New Roman" w:cs="Times New Roman" w:eastAsia="Times New Roman" w:hAnsi="Times New Roman"/>
          <w:sz w:val="20"/>
          <w:szCs w:val="20"/>
          <w:color w:val="auto"/>
        </w:rPr>
        <w:t>/s/ Roy E. Halyama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2885440</wp:posOffset>
            </wp:positionH>
            <wp:positionV relativeFrom="paragraph">
              <wp:posOffset>-6985</wp:posOffset>
            </wp:positionV>
            <wp:extent cx="1109345"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34">
                      <a:extLst>
                        <a:ext uri="{28A0092B-C50C-407E-A947-70E740481C1C}"/>
                      </a:extLst>
                    </a:blip>
                    <a:srcRect/>
                    <a:stretch>
                      <a:fillRect/>
                    </a:stretch>
                  </pic:blipFill>
                  <pic:spPr bwMode="auto">
                    <a:xfrm>
                      <a:off x="0" y="0"/>
                      <a:ext cx="1109345" cy="8255"/>
                    </a:xfrm>
                    <a:prstGeom prst="rect">
                      <a:avLst/>
                    </a:prstGeom>
                    <a:noFill/>
                  </pic:spPr>
                </pic:pic>
              </a:graphicData>
            </a:graphic>
          </wp:anchor>
        </w:drawing>
      </w:r>
    </w:p>
    <w:p>
      <w:pPr>
        <w:ind w:left="4540"/>
        <w:spacing w:after="0" w:line="197" w:lineRule="auto"/>
        <w:rPr>
          <w:sz w:val="20"/>
          <w:szCs w:val="20"/>
          <w:color w:val="auto"/>
        </w:rPr>
      </w:pPr>
      <w:r>
        <w:rPr>
          <w:rFonts w:ascii="Times New Roman" w:cs="Times New Roman" w:eastAsia="Times New Roman" w:hAnsi="Times New Roman"/>
          <w:sz w:val="20"/>
          <w:szCs w:val="20"/>
          <w:color w:val="auto"/>
        </w:rPr>
        <w:t>Roy E. Halyama</w:t>
      </w:r>
    </w:p>
    <w:p>
      <w:pPr>
        <w:spacing w:after="0" w:line="1"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0"/>
          <w:szCs w:val="20"/>
          <w:color w:val="auto"/>
        </w:rPr>
        <w:t>Executive Vice President &amp; Chief Financial Officer</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157842164v1</w:t>
      </w:r>
    </w:p>
    <w:p>
      <w:pPr>
        <w:sectPr>
          <w:pgSz w:w="11900" w:h="16838" w:orient="portrait"/>
          <w:cols w:equalWidth="0" w:num="1">
            <w:col w:w="11240"/>
          </w:cols>
          <w:pgMar w:left="320" w:top="990" w:right="339" w:bottom="1440" w:gutter="0" w:footer="0" w:header="0"/>
        </w:sectPr>
      </w:pPr>
    </w:p>
    <w:bookmarkStart w:id="110" w:name="page111"/>
    <w:bookmarkEnd w:id="110"/>
    <w:p>
      <w:pPr>
        <w:jc w:val="right"/>
        <w:spacing w:after="0"/>
        <w:rPr>
          <w:sz w:val="20"/>
          <w:szCs w:val="20"/>
          <w:color w:val="auto"/>
        </w:rPr>
      </w:pPr>
      <w:r>
        <w:rPr>
          <w:rFonts w:ascii="Times New Roman" w:cs="Times New Roman" w:eastAsia="Times New Roman" w:hAnsi="Times New Roman"/>
          <w:sz w:val="22"/>
          <w:szCs w:val="22"/>
          <w:b w:val="1"/>
          <w:bCs w:val="1"/>
          <w:color w:val="auto"/>
        </w:rPr>
        <w:t>Exhibit 32.1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CERTIFICATION OF PRINCIPAL EXECUTIVE OFFICER AND PRINCIPAL FINANCIAL OFFICER</w:t>
      </w:r>
    </w:p>
    <w:p>
      <w:pPr>
        <w:jc w:val="center"/>
        <w:spacing w:after="0"/>
        <w:rPr>
          <w:sz w:val="20"/>
          <w:szCs w:val="20"/>
          <w:color w:val="auto"/>
        </w:rPr>
      </w:pPr>
      <w:r>
        <w:rPr>
          <w:rFonts w:ascii="Times New Roman" w:cs="Times New Roman" w:eastAsia="Times New Roman" w:hAnsi="Times New Roman"/>
          <w:sz w:val="16"/>
          <w:szCs w:val="16"/>
          <w:b w:val="1"/>
          <w:bCs w:val="1"/>
          <w:color w:val="auto"/>
        </w:rPr>
        <w:t>PURSUANT TO SECTION 906</w:t>
      </w:r>
    </w:p>
    <w:p>
      <w:pPr>
        <w:spacing w:after="0" w:line="176" w:lineRule="exact"/>
        <w:rPr>
          <w:sz w:val="20"/>
          <w:szCs w:val="20"/>
          <w:color w:val="auto"/>
        </w:rPr>
      </w:pPr>
    </w:p>
    <w:p>
      <w:pPr>
        <w:jc w:val="both"/>
        <w:spacing w:after="0" w:line="227" w:lineRule="auto"/>
        <w:rPr>
          <w:sz w:val="20"/>
          <w:szCs w:val="20"/>
          <w:color w:val="auto"/>
        </w:rPr>
      </w:pPr>
      <w:r>
        <w:rPr>
          <w:rFonts w:ascii="Times New Roman" w:cs="Times New Roman" w:eastAsia="Times New Roman" w:hAnsi="Times New Roman"/>
          <w:sz w:val="16"/>
          <w:szCs w:val="16"/>
          <w:color w:val="auto"/>
        </w:rPr>
        <w:t>In connection with the Quarterly Report on Form 10-Q of Burke &amp; Herbert Financial Services Corp. (the “Company”) for the period ended June 30, 2024, as filed with the Securities and Exchange Commission on the date hereof (the “Report”), the undersigned, as the Principal Executive Officer of the Company and the Principal Financial Officer of the Company, respectively, certify, pursuant to and for purposes of 18 U.S.C. Section 1350, as adopted pursuant to Section 906 of the Sarbanes-Oxley Act of 2002, that to their knowledge:</w:t>
      </w:r>
    </w:p>
    <w:p>
      <w:pPr>
        <w:spacing w:after="0" w:line="114" w:lineRule="exact"/>
        <w:rPr>
          <w:sz w:val="20"/>
          <w:szCs w:val="20"/>
          <w:color w:val="auto"/>
        </w:rPr>
      </w:pPr>
    </w:p>
    <w:p>
      <w:pPr>
        <w:ind w:left="1600" w:hanging="791"/>
        <w:spacing w:after="0"/>
        <w:tabs>
          <w:tab w:leader="none" w:pos="1600" w:val="left"/>
        </w:tabs>
        <w:numPr>
          <w:ilvl w:val="0"/>
          <w:numId w:val="6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Report fully complies with the requirements of Section 13(a) or 15(d) of the Securities Exchange Act of 1934; and</w:t>
      </w:r>
    </w:p>
    <w:p>
      <w:pPr>
        <w:spacing w:after="0" w:line="32" w:lineRule="exact"/>
        <w:rPr>
          <w:rFonts w:ascii="Times New Roman" w:cs="Times New Roman" w:eastAsia="Times New Roman" w:hAnsi="Times New Roman"/>
          <w:sz w:val="16"/>
          <w:szCs w:val="16"/>
          <w:color w:val="auto"/>
        </w:rPr>
      </w:pPr>
    </w:p>
    <w:p>
      <w:pPr>
        <w:ind w:left="1600" w:hanging="791"/>
        <w:spacing w:after="0"/>
        <w:tabs>
          <w:tab w:leader="none" w:pos="1600" w:val="left"/>
        </w:tabs>
        <w:numPr>
          <w:ilvl w:val="0"/>
          <w:numId w:val="6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information contained in the Report fairly presents, in all material respects, the financial condition and results of operations of the Company.</w:t>
      </w:r>
    </w:p>
    <w:p>
      <w:pPr>
        <w:spacing w:after="0" w:line="397" w:lineRule="exact"/>
        <w:rPr>
          <w:sz w:val="20"/>
          <w:szCs w:val="20"/>
          <w:color w:val="auto"/>
        </w:rPr>
      </w:pPr>
    </w:p>
    <w:p>
      <w:pPr>
        <w:ind w:left="20"/>
        <w:spacing w:after="0"/>
        <w:tabs>
          <w:tab w:leader="none" w:pos="5620" w:val="left"/>
        </w:tabs>
        <w:rPr>
          <w:sz w:val="20"/>
          <w:szCs w:val="20"/>
          <w:color w:val="auto"/>
        </w:rPr>
      </w:pPr>
      <w:r>
        <w:rPr>
          <w:rFonts w:ascii="Times New Roman" w:cs="Times New Roman" w:eastAsia="Times New Roman" w:hAnsi="Times New Roman"/>
          <w:sz w:val="16"/>
          <w:szCs w:val="16"/>
          <w:color w:val="auto"/>
        </w:rPr>
        <w:t>Date: August 13, 2024</w:t>
      </w:r>
      <w:r>
        <w:rPr>
          <w:sz w:val="20"/>
          <w:szCs w:val="20"/>
          <w:color w:val="auto"/>
        </w:rPr>
        <w:tab/>
      </w:r>
      <w:r>
        <w:rPr>
          <w:rFonts w:ascii="Times New Roman" w:cs="Times New Roman" w:eastAsia="Times New Roman" w:hAnsi="Times New Roman"/>
          <w:sz w:val="16"/>
          <w:szCs w:val="16"/>
          <w:color w:val="auto"/>
        </w:rPr>
        <w:t>/s/ David P. Boyle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20320</wp:posOffset>
            </wp:positionV>
            <wp:extent cx="356616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35">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2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6"/>
          <w:szCs w:val="16"/>
          <w:color w:val="auto"/>
        </w:rPr>
        <w:t>David P. Boyle</w:t>
      </w:r>
    </w:p>
    <w:p>
      <w:pPr>
        <w:spacing w:after="0" w:line="3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6"/>
          <w:szCs w:val="16"/>
          <w:color w:val="auto"/>
        </w:rPr>
        <w:t>Chief Executive Officer</w:t>
      </w:r>
    </w:p>
    <w:p>
      <w:pPr>
        <w:spacing w:after="0" w:line="3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6"/>
          <w:szCs w:val="16"/>
          <w:color w:val="auto"/>
        </w:rPr>
        <w:t>(Principal Executive Officer)</w:t>
      </w:r>
    </w:p>
    <w:p>
      <w:pPr>
        <w:spacing w:after="0" w:line="200" w:lineRule="exact"/>
        <w:rPr>
          <w:sz w:val="20"/>
          <w:szCs w:val="20"/>
          <w:color w:val="auto"/>
        </w:rPr>
      </w:pPr>
    </w:p>
    <w:p>
      <w:pPr>
        <w:spacing w:after="0" w:line="264" w:lineRule="exact"/>
        <w:rPr>
          <w:sz w:val="20"/>
          <w:szCs w:val="20"/>
          <w:color w:val="auto"/>
        </w:rPr>
      </w:pPr>
    </w:p>
    <w:p>
      <w:pPr>
        <w:ind w:left="20"/>
        <w:spacing w:after="0"/>
        <w:tabs>
          <w:tab w:leader="none" w:pos="5620" w:val="left"/>
        </w:tabs>
        <w:rPr>
          <w:sz w:val="20"/>
          <w:szCs w:val="20"/>
          <w:color w:val="auto"/>
        </w:rPr>
      </w:pPr>
      <w:r>
        <w:rPr>
          <w:rFonts w:ascii="Times New Roman" w:cs="Times New Roman" w:eastAsia="Times New Roman" w:hAnsi="Times New Roman"/>
          <w:sz w:val="16"/>
          <w:szCs w:val="16"/>
          <w:color w:val="auto"/>
        </w:rPr>
        <w:t>Date: August 13, 2024</w:t>
      </w:r>
      <w:r>
        <w:rPr>
          <w:sz w:val="20"/>
          <w:szCs w:val="20"/>
          <w:color w:val="auto"/>
        </w:rPr>
        <w:tab/>
      </w:r>
      <w:r>
        <w:rPr>
          <w:rFonts w:ascii="Times New Roman" w:cs="Times New Roman" w:eastAsia="Times New Roman" w:hAnsi="Times New Roman"/>
          <w:sz w:val="16"/>
          <w:szCs w:val="16"/>
          <w:color w:val="auto"/>
        </w:rPr>
        <w:t>/s/ Roy E. Halyama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20320</wp:posOffset>
            </wp:positionV>
            <wp:extent cx="356616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6">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2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6"/>
          <w:szCs w:val="16"/>
          <w:color w:val="auto"/>
        </w:rPr>
        <w:t>Roy E. Halyama</w:t>
      </w:r>
    </w:p>
    <w:p>
      <w:pPr>
        <w:spacing w:after="0" w:line="3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6"/>
          <w:szCs w:val="16"/>
          <w:color w:val="auto"/>
        </w:rPr>
        <w:t>Executive Vice President &amp; Chief Financial Officer</w:t>
      </w:r>
    </w:p>
    <w:p>
      <w:pPr>
        <w:spacing w:after="0" w:line="3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6"/>
          <w:szCs w:val="16"/>
          <w:color w:val="auto"/>
        </w:rPr>
        <w:t>(Principal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157842178v1</w:t>
      </w:r>
    </w:p>
    <w:sectPr>
      <w:pgSz w:w="11900" w:h="16838" w:orient="portrait"/>
      <w:cols w:equalWidth="0" w:num="1">
        <w:col w:w="11240"/>
      </w:cols>
      <w:pgMar w:left="320" w:top="9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4516DDE9"/>
    <w:multiLevelType w:val="hybridMultilevel"/>
    <w:lvl w:ilvl="0">
      <w:lvlJc w:val="left"/>
      <w:lvlText w:val="☒"/>
      <w:numFmt w:val="bullet"/>
      <w:start w:val="1"/>
    </w:lvl>
  </w:abstractNum>
  <w:abstractNum w:abstractNumId="1">
    <w:nsid w:val="3006C83E"/>
    <w:multiLevelType w:val="hybridMultilevel"/>
    <w:lvl w:ilvl="0">
      <w:lvlJc w:val="left"/>
      <w:lvlText w:val="o"/>
      <w:numFmt w:val="bullet"/>
      <w:start w:val="1"/>
    </w:lvl>
  </w:abstractNum>
  <w:abstractNum w:abstractNumId="2">
    <w:nsid w:val="614FD4A1"/>
    <w:multiLevelType w:val="hybridMultilevel"/>
    <w:lvl w:ilvl="0">
      <w:lvlJc w:val="left"/>
      <w:lvlText w:val="•"/>
      <w:numFmt w:val="bullet"/>
      <w:start w:val="1"/>
    </w:lvl>
  </w:abstractNum>
  <w:abstractNum w:abstractNumId="3">
    <w:nsid w:val="419AC241"/>
    <w:multiLevelType w:val="hybridMultilevel"/>
    <w:lvl w:ilvl="0">
      <w:lvlJc w:val="left"/>
      <w:lvlText w:val="(%1)"/>
      <w:numFmt w:val="decimal"/>
      <w:start w:val="1"/>
    </w:lvl>
  </w:abstractNum>
  <w:abstractNum w:abstractNumId="4">
    <w:nsid w:val="5577F8E1"/>
    <w:multiLevelType w:val="hybridMultilevel"/>
    <w:lvl w:ilvl="0">
      <w:lvlJc w:val="left"/>
      <w:lvlText w:val="&amp;"/>
      <w:numFmt w:val="bullet"/>
      <w:start w:val="1"/>
    </w:lvl>
  </w:abstractNum>
  <w:abstractNum w:abstractNumId="5">
    <w:nsid w:val="440BADFC"/>
    <w:multiLevelType w:val="hybridMultilevel"/>
    <w:lvl w:ilvl="0">
      <w:lvlJc w:val="left"/>
      <w:lvlText w:val="(%1)"/>
      <w:numFmt w:val="lowerRoman"/>
      <w:start w:val="3"/>
    </w:lvl>
  </w:abstractNum>
  <w:abstractNum w:abstractNumId="6">
    <w:nsid w:val="5072367"/>
    <w:multiLevelType w:val="hybridMultilevel"/>
    <w:lvl w:ilvl="0">
      <w:lvlJc w:val="left"/>
      <w:lvlText w:val="•"/>
      <w:numFmt w:val="bullet"/>
      <w:start w:val="1"/>
    </w:lvl>
  </w:abstractNum>
  <w:abstractNum w:abstractNumId="7">
    <w:nsid w:val="3804823E"/>
    <w:multiLevelType w:val="hybridMultilevel"/>
    <w:lvl w:ilvl="0">
      <w:lvlJc w:val="left"/>
      <w:lvlText w:val="•"/>
      <w:numFmt w:val="bullet"/>
      <w:start w:val="1"/>
    </w:lvl>
  </w:abstractNum>
  <w:abstractNum w:abstractNumId="8">
    <w:nsid w:val="77465F01"/>
    <w:multiLevelType w:val="hybridMultilevel"/>
    <w:lvl w:ilvl="0">
      <w:lvlJc w:val="left"/>
      <w:lvlText w:val="•"/>
      <w:numFmt w:val="bullet"/>
      <w:start w:val="1"/>
    </w:lvl>
    <w:lvl w:ilvl="1">
      <w:lvlJc w:val="left"/>
      <w:lvlText w:val="•"/>
      <w:numFmt w:val="bullet"/>
      <w:start w:val="1"/>
    </w:lvl>
  </w:abstractNum>
  <w:abstractNum w:abstractNumId="9">
    <w:nsid w:val="7724C67E"/>
    <w:multiLevelType w:val="hybridMultilevel"/>
    <w:lvl w:ilvl="0">
      <w:lvlJc w:val="left"/>
      <w:lvlText w:val="•"/>
      <w:numFmt w:val="bullet"/>
      <w:start w:val="1"/>
    </w:lvl>
  </w:abstractNum>
  <w:abstractNum w:abstractNumId="10">
    <w:nsid w:val="5C482A97"/>
    <w:multiLevelType w:val="hybridMultilevel"/>
    <w:lvl w:ilvl="0">
      <w:lvlJc w:val="left"/>
      <w:lvlText w:val="•"/>
      <w:numFmt w:val="bullet"/>
      <w:start w:val="1"/>
    </w:lvl>
  </w:abstractNum>
  <w:abstractNum w:abstractNumId="11">
    <w:nsid w:val="2463B9EA"/>
    <w:multiLevelType w:val="hybridMultilevel"/>
    <w:lvl w:ilvl="0">
      <w:lvlJc w:val="left"/>
      <w:lvlText w:val="(%1)"/>
      <w:numFmt w:val="decimal"/>
      <w:start w:val="1"/>
    </w:lvl>
  </w:abstractNum>
  <w:abstractNum w:abstractNumId="12">
    <w:nsid w:val="5E884ADC"/>
    <w:multiLevelType w:val="hybridMultilevel"/>
    <w:lvl w:ilvl="0">
      <w:lvlJc w:val="left"/>
      <w:lvlText w:val="(%1)"/>
      <w:numFmt w:val="decimal"/>
      <w:start w:val="1"/>
    </w:lvl>
  </w:abstractNum>
  <w:abstractNum w:abstractNumId="13">
    <w:nsid w:val="51EAD36B"/>
    <w:multiLevelType w:val="hybridMultilevel"/>
    <w:lvl w:ilvl="0">
      <w:lvlJc w:val="left"/>
      <w:lvlText w:val="(%1)"/>
      <w:numFmt w:val="decimal"/>
      <w:start w:val="1"/>
    </w:lvl>
  </w:abstractNum>
  <w:abstractNum w:abstractNumId="14">
    <w:nsid w:val="2D517796"/>
    <w:multiLevelType w:val="hybridMultilevel"/>
    <w:lvl w:ilvl="0">
      <w:lvlJc w:val="left"/>
      <w:lvlText w:val="(%1)"/>
      <w:numFmt w:val="decimal"/>
      <w:start w:val="1"/>
    </w:lvl>
  </w:abstractNum>
  <w:abstractNum w:abstractNumId="15">
    <w:nsid w:val="580BD78F"/>
    <w:multiLevelType w:val="hybridMultilevel"/>
    <w:lvl w:ilvl="0">
      <w:lvlJc w:val="left"/>
      <w:lvlText w:val="(%1)"/>
      <w:numFmt w:val="decimal"/>
      <w:start w:val="1"/>
    </w:lvl>
  </w:abstractNum>
  <w:abstractNum w:abstractNumId="16">
    <w:nsid w:val="153EA438"/>
    <w:multiLevelType w:val="hybridMultilevel"/>
    <w:lvl w:ilvl="0">
      <w:lvlJc w:val="left"/>
      <w:lvlText w:val="(%1)"/>
      <w:numFmt w:val="decimal"/>
      <w:start w:val="1"/>
    </w:lvl>
  </w:abstractNum>
  <w:abstractNum w:abstractNumId="17">
    <w:nsid w:val="3855585C"/>
    <w:multiLevelType w:val="hybridMultilevel"/>
    <w:lvl w:ilvl="0">
      <w:lvlJc w:val="left"/>
      <w:lvlText w:val="(%1)"/>
      <w:numFmt w:val="decimal"/>
      <w:start w:val="1"/>
    </w:lvl>
  </w:abstractNum>
  <w:abstractNum w:abstractNumId="18">
    <w:nsid w:val="70A64E2A"/>
    <w:multiLevelType w:val="hybridMultilevel"/>
    <w:lvl w:ilvl="0">
      <w:lvlJc w:val="left"/>
      <w:lvlText w:val="(%1)"/>
      <w:numFmt w:val="decimal"/>
      <w:start w:val="1"/>
    </w:lvl>
  </w:abstractNum>
  <w:abstractNum w:abstractNumId="19">
    <w:nsid w:val="6A2342EC"/>
    <w:multiLevelType w:val="hybridMultilevel"/>
    <w:lvl w:ilvl="0">
      <w:lvlJc w:val="left"/>
      <w:lvlText w:val="*"/>
      <w:numFmt w:val="bullet"/>
      <w:start w:val="1"/>
    </w:lvl>
  </w:abstractNum>
  <w:abstractNum w:abstractNumId="20">
    <w:nsid w:val="2A487CB0"/>
    <w:multiLevelType w:val="hybridMultilevel"/>
    <w:lvl w:ilvl="0">
      <w:lvlJc w:val="left"/>
      <w:lvlText w:val="†"/>
      <w:numFmt w:val="bullet"/>
      <w:start w:val="1"/>
    </w:lvl>
  </w:abstractNum>
  <w:abstractNum w:abstractNumId="21">
    <w:nsid w:val="1D4ED43B"/>
    <w:multiLevelType w:val="hybridMultilevel"/>
    <w:lvl w:ilvl="0">
      <w:lvlJc w:val="left"/>
      <w:lvlText w:val="%1."/>
      <w:numFmt w:val="upperLetter"/>
      <w:start w:val="9"/>
    </w:lvl>
  </w:abstractNum>
  <w:abstractNum w:abstractNumId="22">
    <w:nsid w:val="725A06FB"/>
    <w:multiLevelType w:val="hybridMultilevel"/>
    <w:lvl w:ilvl="0">
      <w:lvlJc w:val="left"/>
      <w:lvlText w:val="%1."/>
      <w:numFmt w:val="upperLetter"/>
      <w:start w:val="35"/>
    </w:lvl>
  </w:abstractNum>
  <w:abstractNum w:abstractNumId="23">
    <w:nsid w:val="2CD89A32"/>
    <w:multiLevelType w:val="hybridMultilevel"/>
    <w:lvl w:ilvl="0">
      <w:lvlJc w:val="left"/>
      <w:lvlText w:val="%1."/>
      <w:numFmt w:val="upperLetter"/>
      <w:start w:val="61"/>
    </w:lvl>
  </w:abstractNum>
  <w:abstractNum w:abstractNumId="24">
    <w:nsid w:val="57E4CCAF"/>
    <w:multiLevelType w:val="hybridMultilevel"/>
    <w:lvl w:ilvl="0">
      <w:lvlJc w:val="left"/>
      <w:lvlText w:val="%1"/>
      <w:numFmt w:val="decimal"/>
      <w:start w:val="1"/>
    </w:lvl>
    <w:lvl w:ilvl="1">
      <w:lvlJc w:val="left"/>
      <w:lvlText w:val="%2"/>
      <w:numFmt w:val="lowerLetter"/>
      <w:start w:val="1"/>
    </w:lvl>
    <w:lvl w:ilvl="2">
      <w:lvlJc w:val="left"/>
      <w:lvlText w:val="%3."/>
      <w:numFmt w:val="upperLetter"/>
      <w:start w:val="1"/>
    </w:lvl>
  </w:abstractNum>
  <w:abstractNum w:abstractNumId="25">
    <w:nsid w:val="7A6D8D3C"/>
    <w:multiLevelType w:val="hybridMultilevel"/>
    <w:lvl w:ilvl="0">
      <w:lvlJc w:val="left"/>
      <w:lvlText w:val="%1."/>
      <w:numFmt w:val="decimal"/>
      <w:start w:val="1"/>
    </w:lvl>
    <w:lvl w:ilvl="1">
      <w:lvlJc w:val="left"/>
      <w:lvlText w:val="(%2)"/>
      <w:numFmt w:val="lowerLetter"/>
      <w:start w:val="1"/>
    </w:lvl>
    <w:lvl w:ilvl="2">
      <w:lvlJc w:val="left"/>
      <w:lvlText w:val="%3"/>
      <w:numFmt w:val="upperLetter"/>
      <w:start w:val="1"/>
    </w:lvl>
  </w:abstractNum>
  <w:abstractNum w:abstractNumId="26">
    <w:nsid w:val="4B588F54"/>
    <w:multiLevelType w:val="hybridMultilevel"/>
    <w:lvl w:ilvl="0">
      <w:lvlJc w:val="left"/>
      <w:lvlText w:val="%1"/>
      <w:numFmt w:val="decimal"/>
      <w:start w:val="1"/>
    </w:lvl>
    <w:lvl w:ilvl="1">
      <w:lvlJc w:val="left"/>
      <w:lvlText w:val="(%2)"/>
      <w:numFmt w:val="lowerLetter"/>
      <w:start w:val="6"/>
    </w:lvl>
  </w:abstractNum>
  <w:abstractNum w:abstractNumId="27">
    <w:nsid w:val="542289EC"/>
    <w:multiLevelType w:val="hybridMultilevel"/>
    <w:lvl w:ilvl="0">
      <w:lvlJc w:val="left"/>
      <w:lvlText w:val="%1."/>
      <w:numFmt w:val="decimal"/>
      <w:start w:val="2"/>
    </w:lvl>
    <w:lvl w:ilvl="1">
      <w:lvlJc w:val="left"/>
      <w:lvlText w:val="%2"/>
      <w:numFmt w:val="lowerLetter"/>
      <w:start w:val="1"/>
    </w:lvl>
  </w:abstractNum>
  <w:abstractNum w:abstractNumId="28">
    <w:nsid w:val="6DE91B18"/>
    <w:multiLevelType w:val="hybridMultilevel"/>
    <w:lvl w:ilvl="0">
      <w:lvlJc w:val="left"/>
      <w:lvlText w:val="%1."/>
      <w:numFmt w:val="decimal"/>
      <w:start w:val="3"/>
    </w:lvl>
  </w:abstractNum>
  <w:abstractNum w:abstractNumId="29">
    <w:nsid w:val="38437FDB"/>
    <w:multiLevelType w:val="hybridMultilevel"/>
    <w:lvl w:ilvl="0">
      <w:lvlJc w:val="left"/>
      <w:lvlText w:val="%1"/>
      <w:numFmt w:val="decimal"/>
      <w:start w:val="1"/>
    </w:lvl>
    <w:lvl w:ilvl="1">
      <w:lvlJc w:val="left"/>
      <w:lvlText w:val="%2."/>
      <w:numFmt w:val="upperLetter"/>
      <w:start w:val="2"/>
    </w:lvl>
  </w:abstractNum>
  <w:abstractNum w:abstractNumId="30">
    <w:nsid w:val="7644A45C"/>
    <w:multiLevelType w:val="hybridMultilevel"/>
    <w:lvl w:ilvl="0">
      <w:lvlJc w:val="left"/>
      <w:lvlText w:val="%1."/>
      <w:numFmt w:val="decimal"/>
      <w:start w:val="1"/>
    </w:lvl>
    <w:lvl w:ilvl="1">
      <w:lvlJc w:val="left"/>
      <w:lvlText w:val="%2"/>
      <w:numFmt w:val="upperLetter"/>
      <w:start w:val="1"/>
    </w:lvl>
  </w:abstractNum>
  <w:abstractNum w:abstractNumId="31">
    <w:nsid w:val="32FFF902"/>
    <w:multiLevelType w:val="hybridMultilevel"/>
    <w:lvl w:ilvl="0">
      <w:lvlJc w:val="left"/>
      <w:lvlText w:val="%1."/>
      <w:numFmt w:val="upperLetter"/>
      <w:start w:val="22"/>
    </w:lvl>
  </w:abstractNum>
  <w:abstractNum w:abstractNumId="32">
    <w:nsid w:val="684A481A"/>
    <w:multiLevelType w:val="hybridMultilevel"/>
    <w:lvl w:ilvl="0">
      <w:lvlJc w:val="left"/>
      <w:lvlText w:val="%1."/>
      <w:numFmt w:val="decimal"/>
      <w:start w:val="1"/>
    </w:lvl>
  </w:abstractNum>
  <w:abstractNum w:abstractNumId="33">
    <w:nsid w:val="579478FE"/>
    <w:multiLevelType w:val="hybridMultilevel"/>
    <w:lvl w:ilvl="0">
      <w:lvlJc w:val="left"/>
      <w:lvlText w:val="%1."/>
      <w:numFmt w:val="decimal"/>
      <w:start w:val="5"/>
    </w:lvl>
  </w:abstractNum>
  <w:abstractNum w:abstractNumId="34">
    <w:nsid w:val="749ABB43"/>
    <w:multiLevelType w:val="hybridMultilevel"/>
    <w:lvl w:ilvl="0">
      <w:lvlJc w:val="left"/>
      <w:lvlText w:val="%1."/>
      <w:numFmt w:val="decimal"/>
      <w:start w:val="1"/>
    </w:lvl>
  </w:abstractNum>
  <w:abstractNum w:abstractNumId="35">
    <w:nsid w:val="3DC240FB"/>
    <w:multiLevelType w:val="hybridMultilevel"/>
    <w:lvl w:ilvl="0">
      <w:lvlJc w:val="left"/>
      <w:lvlText w:val="%1."/>
      <w:numFmt w:val="decimal"/>
      <w:start w:val="4"/>
    </w:lvl>
  </w:abstractNum>
  <w:abstractNum w:abstractNumId="36">
    <w:nsid w:val="1BA026FA"/>
    <w:multiLevelType w:val="hybridMultilevel"/>
    <w:lvl w:ilvl="0">
      <w:lvlJc w:val="left"/>
      <w:lvlText w:val="%1."/>
      <w:numFmt w:val="decimal"/>
      <w:start w:val="5"/>
    </w:lvl>
  </w:abstractNum>
  <w:abstractNum w:abstractNumId="37">
    <w:nsid w:val="79A1DEAA"/>
    <w:multiLevelType w:val="hybridMultilevel"/>
    <w:lvl w:ilvl="0">
      <w:lvlJc w:val="left"/>
      <w:lvlText w:val="%1."/>
      <w:numFmt w:val="decimal"/>
      <w:start w:val="8"/>
    </w:lvl>
    <w:lvl w:ilvl="1">
      <w:lvlJc w:val="left"/>
      <w:lvlText w:val="(%2)"/>
      <w:numFmt w:val="lowerLetter"/>
      <w:start w:val="1"/>
    </w:lvl>
  </w:abstractNum>
  <w:abstractNum w:abstractNumId="38">
    <w:nsid w:val="75C6C33A"/>
    <w:multiLevelType w:val="hybridMultilevel"/>
    <w:lvl w:ilvl="0">
      <w:lvlJc w:val="left"/>
      <w:lvlText w:val="%1."/>
      <w:numFmt w:val="upperLetter"/>
      <w:start w:val="24"/>
    </w:lvl>
  </w:abstractNum>
  <w:abstractNum w:abstractNumId="39">
    <w:nsid w:val="12E685FB"/>
    <w:multiLevelType w:val="hybridMultilevel"/>
    <w:lvl w:ilvl="0">
      <w:lvlJc w:val="left"/>
      <w:lvlText w:val="%1."/>
      <w:numFmt w:val="decimal"/>
      <w:start w:val="1"/>
    </w:lvl>
  </w:abstractNum>
  <w:abstractNum w:abstractNumId="40">
    <w:nsid w:val="70C6A529"/>
    <w:multiLevelType w:val="hybridMultilevel"/>
    <w:lvl w:ilvl="0">
      <w:lvlJc w:val="left"/>
      <w:lvlText w:val="%1."/>
      <w:numFmt w:val="decimal"/>
      <w:start w:val="3"/>
    </w:lvl>
  </w:abstractNum>
  <w:abstractNum w:abstractNumId="41">
    <w:nsid w:val="520EEDD1"/>
    <w:multiLevelType w:val="hybridMultilevel"/>
    <w:lvl w:ilvl="0">
      <w:lvlJc w:val="left"/>
      <w:lvlText w:val="%1."/>
      <w:numFmt w:val="decimal"/>
      <w:start w:val="1"/>
    </w:lvl>
  </w:abstractNum>
  <w:abstractNum w:abstractNumId="42">
    <w:nsid w:val="374A3FE6"/>
    <w:multiLevelType w:val="hybridMultilevel"/>
    <w:lvl w:ilvl="0">
      <w:lvlJc w:val="left"/>
      <w:lvlText w:val="%1"/>
      <w:numFmt w:val="lowerLetter"/>
      <w:start w:val="1"/>
    </w:lvl>
    <w:lvl w:ilvl="1">
      <w:lvlJc w:val="left"/>
      <w:lvlText w:val="%2."/>
      <w:numFmt w:val="decimal"/>
      <w:start w:val="4"/>
    </w:lvl>
  </w:abstractNum>
  <w:abstractNum w:abstractNumId="43">
    <w:nsid w:val="4F4EF005"/>
    <w:multiLevelType w:val="hybridMultilevel"/>
    <w:lvl w:ilvl="0">
      <w:lvlJc w:val="left"/>
      <w:lvlText w:val="(%1)"/>
      <w:numFmt w:val="lowerLetter"/>
      <w:start w:val="1"/>
    </w:lvl>
    <w:lvl w:ilvl="1">
      <w:lvlJc w:val="left"/>
      <w:lvlText w:val="%2"/>
      <w:numFmt w:val="decimal"/>
      <w:start w:val="1"/>
    </w:lvl>
  </w:abstractNum>
  <w:abstractNum w:abstractNumId="44">
    <w:nsid w:val="23F9C13C"/>
    <w:multiLevelType w:val="hybridMultilevel"/>
    <w:lvl w:ilvl="0">
      <w:lvlJc w:val="left"/>
      <w:lvlText w:val="(%1)"/>
      <w:numFmt w:val="lowerLetter"/>
      <w:start w:val="4"/>
    </w:lvl>
    <w:lvl w:ilvl="1">
      <w:lvlJc w:val="left"/>
      <w:lvlText w:val="(%2)"/>
      <w:numFmt w:val="lowerRoman"/>
      <w:start w:val="1"/>
    </w:lvl>
  </w:abstractNum>
  <w:abstractNum w:abstractNumId="45">
    <w:nsid w:val="649BB77C"/>
    <w:multiLevelType w:val="hybridMultilevel"/>
    <w:lvl w:ilvl="0">
      <w:lvlJc w:val="left"/>
      <w:lvlText w:val="(%1)"/>
      <w:numFmt w:val="lowerLetter"/>
      <w:start w:val="5"/>
    </w:lvl>
  </w:abstractNum>
  <w:abstractNum w:abstractNumId="46">
    <w:nsid w:val="275AC794"/>
    <w:multiLevelType w:val="hybridMultilevel"/>
    <w:lvl w:ilvl="0">
      <w:lvlJc w:val="left"/>
      <w:lvlText w:val="(%1)"/>
      <w:numFmt w:val="lowerRoman"/>
      <w:start w:val="1"/>
    </w:lvl>
  </w:abstractNum>
  <w:abstractNum w:abstractNumId="47">
    <w:nsid w:val="39386575"/>
    <w:multiLevelType w:val="hybridMultilevel"/>
    <w:lvl w:ilvl="0">
      <w:lvlJc w:val="left"/>
      <w:lvlText w:val="%1"/>
      <w:numFmt w:val="lowerRoman"/>
      <w:start w:val="1"/>
    </w:lvl>
    <w:lvl w:ilvl="1">
      <w:lvlJc w:val="left"/>
      <w:lvlText w:val="(%2)"/>
      <w:numFmt w:val="lowerRoman"/>
      <w:start w:val="7"/>
    </w:lvl>
    <w:lvl w:ilvl="2">
      <w:lvlJc w:val="left"/>
      <w:lvlText w:val="(%3)"/>
      <w:numFmt w:val="decimal"/>
      <w:start w:val="1"/>
    </w:lvl>
  </w:abstractNum>
  <w:abstractNum w:abstractNumId="48">
    <w:nsid w:val="1CF10FD8"/>
    <w:multiLevelType w:val="hybridMultilevel"/>
    <w:lvl w:ilvl="0">
      <w:lvlJc w:val="left"/>
      <w:lvlText w:val="(%1)"/>
      <w:numFmt w:val="lowerRoman"/>
      <w:start w:val="6"/>
    </w:lvl>
    <w:lvl w:ilvl="1">
      <w:lvlJc w:val="left"/>
      <w:lvlText w:val="%2"/>
      <w:numFmt w:val="lowerRoman"/>
      <w:start w:val="1"/>
    </w:lvl>
    <w:lvl w:ilvl="2">
      <w:lvlJc w:val="left"/>
      <w:lvlText w:val="%3"/>
      <w:numFmt w:val="decimal"/>
      <w:start w:val="1"/>
    </w:lvl>
  </w:abstractNum>
  <w:abstractNum w:abstractNumId="49">
    <w:nsid w:val="180115BE"/>
    <w:multiLevelType w:val="hybridMultilevel"/>
    <w:lvl w:ilvl="0">
      <w:lvlJc w:val="left"/>
      <w:lvlText w:val="(%1)"/>
      <w:numFmt w:val="decimal"/>
      <w:start w:val="3"/>
    </w:lvl>
  </w:abstractNum>
  <w:abstractNum w:abstractNumId="50">
    <w:nsid w:val="235BA861"/>
    <w:multiLevelType w:val="hybridMultilevel"/>
    <w:lvl w:ilvl="0">
      <w:lvlJc w:val="left"/>
      <w:lvlText w:val="%1"/>
      <w:numFmt w:val="lowerLetter"/>
      <w:start w:val="1"/>
    </w:lvl>
    <w:lvl w:ilvl="1">
      <w:lvlJc w:val="left"/>
      <w:lvlText w:val="%2"/>
      <w:numFmt w:val="lowerRoman"/>
      <w:start w:val="1"/>
    </w:lvl>
    <w:lvl w:ilvl="2">
      <w:lvlJc w:val="left"/>
      <w:lvlText w:val="(%3)"/>
      <w:numFmt w:val="decimal"/>
      <w:start w:val="4"/>
    </w:lvl>
  </w:abstractNum>
  <w:abstractNum w:abstractNumId="51">
    <w:nsid w:val="47398C89"/>
    <w:multiLevelType w:val="hybridMultilevel"/>
    <w:lvl w:ilvl="0">
      <w:lvlJc w:val="left"/>
      <w:lvlText w:val="(%1)"/>
      <w:numFmt w:val="lowerLetter"/>
      <w:start w:val="6"/>
    </w:lvl>
    <w:lvl w:ilvl="1">
      <w:lvlJc w:val="left"/>
      <w:lvlText w:val="(%2)"/>
      <w:numFmt w:val="lowerRoman"/>
      <w:start w:val="1"/>
    </w:lvl>
    <w:lvl w:ilvl="2">
      <w:lvlJc w:val="left"/>
      <w:lvlText w:val="%3"/>
      <w:numFmt w:val="decimal"/>
      <w:start w:val="1"/>
    </w:lvl>
  </w:abstractNum>
  <w:abstractNum w:abstractNumId="52">
    <w:nsid w:val="354FE9F9"/>
    <w:multiLevelType w:val="hybridMultilevel"/>
    <w:lvl w:ilvl="0">
      <w:lvlJc w:val="left"/>
      <w:lvlText w:val="%1"/>
      <w:numFmt w:val="lowerLetter"/>
      <w:start w:val="1"/>
    </w:lvl>
    <w:lvl w:ilvl="1">
      <w:lvlJc w:val="left"/>
      <w:lvlText w:val="(%2)"/>
      <w:numFmt w:val="lowerRoman"/>
      <w:start w:val="3"/>
    </w:lvl>
  </w:abstractNum>
  <w:abstractNum w:abstractNumId="53">
    <w:nsid w:val="15B5AF5C"/>
    <w:multiLevelType w:val="hybridMultilevel"/>
    <w:lvl w:ilvl="0">
      <w:lvlJc w:val="left"/>
      <w:lvlText w:val="(%1)"/>
      <w:numFmt w:val="lowerLetter"/>
      <w:start w:val="7"/>
    </w:lvl>
    <w:lvl w:ilvl="1">
      <w:lvlJc w:val="left"/>
      <w:lvlText w:val="(%2)"/>
      <w:numFmt w:val="lowerRoman"/>
      <w:start w:val="1"/>
    </w:lvl>
  </w:abstractNum>
  <w:abstractNum w:abstractNumId="54">
    <w:nsid w:val="741226BB"/>
    <w:multiLevelType w:val="hybridMultilevel"/>
    <w:lvl w:ilvl="0">
      <w:lvlJc w:val="left"/>
      <w:lvlText w:val="(%1)"/>
      <w:numFmt w:val="lowerRoman"/>
      <w:start w:val="2"/>
    </w:lvl>
  </w:abstractNum>
  <w:abstractNum w:abstractNumId="55">
    <w:nsid w:val="D34B6A8"/>
    <w:multiLevelType w:val="hybridMultilevel"/>
    <w:lvl w:ilvl="0">
      <w:lvlJc w:val="left"/>
      <w:lvlText w:val="(%1)"/>
      <w:numFmt w:val="lowerLetter"/>
      <w:start w:val="8"/>
    </w:lvl>
  </w:abstractNum>
  <w:abstractNum w:abstractNumId="56">
    <w:nsid w:val="10233C99"/>
    <w:multiLevelType w:val="hybridMultilevel"/>
    <w:lvl w:ilvl="0">
      <w:lvlJc w:val="left"/>
      <w:lvlText w:val="(%1)"/>
      <w:numFmt w:val="lowerRoman"/>
      <w:start w:val="1"/>
    </w:lvl>
    <w:lvl w:ilvl="1">
      <w:lvlJc w:val="left"/>
      <w:lvlText w:val="(%2)"/>
      <w:numFmt w:val="decimal"/>
      <w:start w:val="1"/>
    </w:lvl>
  </w:abstractNum>
  <w:abstractNum w:abstractNumId="57">
    <w:nsid w:val="3F6AB60F"/>
    <w:multiLevelType w:val="hybridMultilevel"/>
    <w:lvl w:ilvl="0">
      <w:lvlJc w:val="left"/>
      <w:lvlText w:val="%1"/>
      <w:numFmt w:val="lowerLetter"/>
      <w:start w:val="1"/>
    </w:lvl>
    <w:lvl w:ilvl="1">
      <w:lvlJc w:val="left"/>
      <w:lvlText w:val="(%2)"/>
      <w:numFmt w:val="lowerRoman"/>
      <w:start w:val="3"/>
    </w:lvl>
    <w:lvl w:ilvl="2">
      <w:lvlJc w:val="left"/>
      <w:lvlText w:val="(%3)"/>
      <w:numFmt w:val="decimal"/>
      <w:start w:val="1"/>
    </w:lvl>
  </w:abstractNum>
  <w:abstractNum w:abstractNumId="58">
    <w:nsid w:val="61574095"/>
    <w:multiLevelType w:val="hybridMultilevel"/>
    <w:lvl w:ilvl="0">
      <w:lvlJc w:val="left"/>
      <w:lvlText w:val="(%1)"/>
      <w:numFmt w:val="lowerLetter"/>
      <w:start w:val="9"/>
    </w:lvl>
    <w:lvl w:ilvl="1">
      <w:lvlJc w:val="left"/>
      <w:lvlText w:val="%2"/>
      <w:numFmt w:val="lowerRoman"/>
      <w:start w:val="1"/>
    </w:lvl>
    <w:lvl w:ilvl="2">
      <w:lvlJc w:val="left"/>
      <w:lvlText w:val="%3"/>
      <w:numFmt w:val="decimal"/>
      <w:start w:val="1"/>
    </w:lvl>
  </w:abstractNum>
  <w:abstractNum w:abstractNumId="59">
    <w:nsid w:val="7E0C57B1"/>
    <w:multiLevelType w:val="hybridMultilevel"/>
    <w:lvl w:ilvl="0">
      <w:lvlJc w:val="left"/>
      <w:lvlText w:val="(%1)"/>
      <w:numFmt w:val="lowerLetter"/>
      <w:start w:val="13"/>
    </w:lvl>
  </w:abstractNum>
  <w:abstractNum w:abstractNumId="60">
    <w:nsid w:val="77AE35EB"/>
    <w:multiLevelType w:val="hybridMultilevel"/>
    <w:lvl w:ilvl="0">
      <w:lvlJc w:val="left"/>
      <w:lvlText w:val="%1."/>
      <w:numFmt w:val="decimal"/>
      <w:start w:val="1"/>
    </w:lvl>
  </w:abstractNum>
  <w:abstractNum w:abstractNumId="61">
    <w:nsid w:val="579BE4F1"/>
    <w:multiLevelType w:val="hybridMultilevel"/>
    <w:lvl w:ilvl="0">
      <w:lvlJc w:val="left"/>
      <w:lvlText w:val="%1."/>
      <w:numFmt w:val="decimal"/>
      <w:start w:val="3"/>
    </w:lvl>
    <w:lvl w:ilvl="1">
      <w:lvlJc w:val="left"/>
      <w:lvlText w:val="(%2)"/>
      <w:numFmt w:val="lowerLetter"/>
      <w:start w:val="1"/>
    </w:lvl>
  </w:abstractNum>
  <w:abstractNum w:abstractNumId="62">
    <w:nsid w:val="310C50B3"/>
    <w:multiLevelType w:val="hybridMultilevel"/>
    <w:lvl w:ilvl="0">
      <w:lvlJc w:val="left"/>
      <w:lvlText w:val="%1."/>
      <w:numFmt w:val="decimal"/>
      <w:start w:val="1"/>
    </w:lvl>
    <w:lvl w:ilvl="1">
      <w:lvlJc w:val="left"/>
      <w:lvlText w:val="%2."/>
      <w:numFmt w:val="decimal"/>
      <w:start w:val="4"/>
    </w:lvl>
    <w:lvl w:ilvl="2">
      <w:lvlJc w:val="left"/>
      <w:lvlText w:val="(%3)"/>
      <w:numFmt w:val="lowerLetter"/>
      <w:start w:val="1"/>
    </w:lvl>
  </w:abstractNum>
  <w:abstractNum w:abstractNumId="63">
    <w:nsid w:val="5FF87E05"/>
    <w:multiLevelType w:val="hybridMultilevel"/>
    <w:lvl w:ilvl="0">
      <w:lvlJc w:val="left"/>
      <w:lvlText w:val="%1."/>
      <w:numFmt w:val="decimal"/>
      <w:start w:val="1"/>
    </w:lvl>
    <w:lvl w:ilvl="1">
      <w:lvlJc w:val="left"/>
      <w:lvlText w:val="%2."/>
      <w:numFmt w:val="decimal"/>
      <w:start w:val="4"/>
    </w:lvl>
    <w:lvl w:ilvl="2">
      <w:lvlJc w:val="left"/>
      <w:lvlText w:val="(%3)"/>
      <w:numFmt w:val="lowerLetter"/>
      <w:start w:val="1"/>
    </w:lvl>
  </w:abstractNum>
  <w:abstractNum w:abstractNumId="64">
    <w:nsid w:val="2F305DEF"/>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24" Type="http://schemas.openxmlformats.org/officeDocument/2006/relationships/image" Target="media/image110.png"/><Relationship Id="rId125" Type="http://schemas.openxmlformats.org/officeDocument/2006/relationships/image" Target="media/image111.jpeg"/><Relationship Id="rId126" Type="http://schemas.openxmlformats.org/officeDocument/2006/relationships/image" Target="media/image112.png"/><Relationship Id="rId127" Type="http://schemas.openxmlformats.org/officeDocument/2006/relationships/image" Target="media/image113.jpeg"/><Relationship Id="rId128" Type="http://schemas.openxmlformats.org/officeDocument/2006/relationships/image" Target="media/image114.png"/><Relationship Id="rId129" Type="http://schemas.openxmlformats.org/officeDocument/2006/relationships/image" Target="media/image115.jpeg"/><Relationship Id="rId130" Type="http://schemas.openxmlformats.org/officeDocument/2006/relationships/image" Target="media/image116.png"/><Relationship Id="rId131" Type="http://schemas.openxmlformats.org/officeDocument/2006/relationships/image" Target="media/image117.jpeg"/><Relationship Id="rId132" Type="http://schemas.openxmlformats.org/officeDocument/2006/relationships/image" Target="media/image118.png"/><Relationship Id="rId133" Type="http://schemas.openxmlformats.org/officeDocument/2006/relationships/image" Target="media/image119.png"/><Relationship Id="rId134" Type="http://schemas.openxmlformats.org/officeDocument/2006/relationships/image" Target="media/image120.png"/><Relationship Id="rId135" Type="http://schemas.openxmlformats.org/officeDocument/2006/relationships/image" Target="media/image121.png"/><Relationship Id="rId136" Type="http://schemas.openxmlformats.org/officeDocument/2006/relationships/image" Target="media/image122.png"/><Relationship Id="rId117" Type="http://schemas.openxmlformats.org/officeDocument/2006/relationships/hyperlink" Target="https://www.sec.gov/ix?doc=/Archives/edgar/data/1964333/000162828023033325/bhrb-20230929.htm#i00f4b8bdfca949b68ea6b35e7fd34430_7380" TargetMode="External"/><Relationship Id="rId118" Type="http://schemas.openxmlformats.org/officeDocument/2006/relationships/hyperlink" Target="https://www.sec.gov/Archives/edgar/data/1964333/000196433324000219/bhrb-ex341q202410xq.htm" TargetMode="External"/><Relationship Id="rId119" Type="http://schemas.openxmlformats.org/officeDocument/2006/relationships/hyperlink" Target="https://www.sec.gov/Archives/edgar/data/811808/000081180820000040/exhibit101.htm" TargetMode="External"/><Relationship Id="rId120" Type="http://schemas.openxmlformats.org/officeDocument/2006/relationships/hyperlink" Target="https://www.sec.gov/Archives/edgar/data/811808/000081180821000045/exhibit41.htm" TargetMode="External"/><Relationship Id="rId121" Type="http://schemas.openxmlformats.org/officeDocument/2006/relationships/hyperlink" Target="https://www.sec.gov/Archives/edgar/data/1964333/000196433324000129/bhrbemploymentagreementcha.htm" TargetMode="External"/><Relationship Id="rId122" Type="http://schemas.openxmlformats.org/officeDocument/2006/relationships/hyperlink" Target="https://www.sec.gov/Archives/edgar/data/1964333/000196433324000129/a2024-2025mergerincentivep.htm" TargetMode="External"/><Relationship Id="rId123" Type="http://schemas.openxmlformats.org/officeDocument/2006/relationships/hyperlink" Target="https://www.sec.gov/Archives/edgar/data/1964333/000196433324000129/bhrb-formofeps2024prsuawar.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2024-08-13T15:28:31Z</dcterms:created>
  <dcterms:modified xsi:type="dcterms:W3CDTF">2024-08-13T15:28:31Z</dcterms:modified>
</cp:coreProperties>
</file>